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D307" w14:textId="77777777" w:rsidR="00E17FD3" w:rsidRDefault="00E17FD3"/>
    <w:p w14:paraId="7920D308" w14:textId="77777777" w:rsidR="00E17FD3" w:rsidRDefault="00000000">
      <w:pPr>
        <w:spacing w:before="239" w:after="239" w:line="240" w:lineRule="auto"/>
        <w:textAlignment w:val="top"/>
      </w:pPr>
      <w:r>
        <w:rPr>
          <w:rFonts w:eastAsia="Calibri" w:cs="Calibri"/>
        </w:rPr>
        <w:t xml:space="preserve"> </w:t>
      </w:r>
    </w:p>
    <w:p w14:paraId="7920D313" w14:textId="77777777" w:rsidR="00E17FD3" w:rsidRDefault="00000000">
      <w:pPr>
        <w:pStyle w:val="Kop2"/>
        <w:spacing w:before="199" w:after="199" w:line="240" w:lineRule="auto"/>
      </w:pPr>
      <w:r>
        <w:t xml:space="preserve">CONCEPTOVEREENKOMST </w:t>
      </w:r>
      <w:r>
        <w:rPr>
          <w:i/>
          <w:iCs/>
        </w:rPr>
        <w:t>ten behoeve van Software Analyse Tool VLOG</w:t>
      </w:r>
      <w:r>
        <w:t xml:space="preserve"> </w:t>
      </w:r>
    </w:p>
    <w:p w14:paraId="7920D314" w14:textId="77777777" w:rsidR="00E17FD3" w:rsidRDefault="00000000">
      <w:r>
        <w:rPr>
          <w:b/>
          <w:bCs/>
          <w:i/>
          <w:iCs/>
        </w:rPr>
        <w:t>REFERENTIE: TN 577351</w:t>
      </w:r>
    </w:p>
    <w:p w14:paraId="7920D315" w14:textId="77777777" w:rsidR="00E17FD3" w:rsidRPr="00996FCB" w:rsidRDefault="00000000">
      <w:pPr>
        <w:spacing w:before="239" w:after="239" w:line="240" w:lineRule="auto"/>
        <w:textAlignment w:val="top"/>
        <w:rPr>
          <w:rFonts w:cstheme="minorHAnsi"/>
        </w:rPr>
      </w:pPr>
      <w:r w:rsidRPr="00996FCB">
        <w:rPr>
          <w:rFonts w:eastAsia="Calibri" w:cstheme="minorHAnsi"/>
          <w:b/>
          <w:bCs/>
        </w:rPr>
        <w:t>Ondergetekenden</w:t>
      </w:r>
    </w:p>
    <w:p w14:paraId="7920D316" w14:textId="77777777" w:rsidR="00E17FD3" w:rsidRPr="00996FCB" w:rsidRDefault="00000000">
      <w:pPr>
        <w:numPr>
          <w:ilvl w:val="0"/>
          <w:numId w:val="4"/>
        </w:numPr>
        <w:spacing w:line="240" w:lineRule="auto"/>
        <w:rPr>
          <w:rFonts w:eastAsia="Calibri" w:cstheme="minorHAnsi"/>
        </w:rPr>
      </w:pPr>
      <w:r w:rsidRPr="00996FCB">
        <w:rPr>
          <w:rFonts w:eastAsia="Calibri" w:cstheme="minorHAnsi"/>
        </w:rPr>
        <w:t>De publiekrechtelijke rechtspersoon gemeente Helmond, te dezen rechtsgeldig vertegenwoordigd door Werner Sanderse, Afdelingsmanager Realisatie &amp; Beheer, hierna te noemen "</w:t>
      </w:r>
      <w:r w:rsidRPr="00996FCB">
        <w:rPr>
          <w:rFonts w:eastAsia="Calibri" w:cstheme="minorHAnsi"/>
          <w:b/>
          <w:bCs/>
        </w:rPr>
        <w:t>Opdrachtgever</w:t>
      </w:r>
      <w:r w:rsidRPr="00996FCB">
        <w:rPr>
          <w:rFonts w:eastAsia="Calibri" w:cstheme="minorHAnsi"/>
        </w:rPr>
        <w:t>";</w:t>
      </w:r>
    </w:p>
    <w:p w14:paraId="7920D317" w14:textId="77777777" w:rsidR="00E17FD3" w:rsidRPr="00996FCB" w:rsidRDefault="00000000">
      <w:pPr>
        <w:spacing w:before="239" w:after="239" w:line="240" w:lineRule="auto"/>
        <w:textAlignment w:val="top"/>
        <w:rPr>
          <w:rFonts w:cstheme="minorHAnsi"/>
        </w:rPr>
      </w:pPr>
      <w:r w:rsidRPr="00996FCB">
        <w:rPr>
          <w:rFonts w:eastAsia="Calibri" w:cstheme="minorHAnsi"/>
        </w:rPr>
        <w:t>en</w:t>
      </w:r>
    </w:p>
    <w:p w14:paraId="7920D318" w14:textId="77777777" w:rsidR="00E17FD3" w:rsidRPr="00996FCB" w:rsidRDefault="00000000">
      <w:pPr>
        <w:numPr>
          <w:ilvl w:val="0"/>
          <w:numId w:val="4"/>
        </w:numPr>
        <w:spacing w:line="240" w:lineRule="auto"/>
        <w:rPr>
          <w:rFonts w:eastAsia="Calibri" w:cstheme="minorHAnsi"/>
        </w:rPr>
      </w:pPr>
      <w:r w:rsidRPr="00996FCB">
        <w:rPr>
          <w:rFonts w:eastAsia="Calibri" w:cstheme="minorHAnsi"/>
        </w:rPr>
        <w:t>("NAAM_HIER") met Kamer van Koophandel nummer ("KvK_Hier") gevestigd en kantoorhoudende te ("PLAATS_HIER") aan de ("ADRES_HIER") ("POSTCODE_HIER"), te dezen rechtsgeldig vertegenwoordigd door , hierna te noemen "</w:t>
      </w:r>
      <w:r w:rsidRPr="00996FCB">
        <w:rPr>
          <w:rFonts w:eastAsia="Calibri" w:cstheme="minorHAnsi"/>
          <w:b/>
          <w:bCs/>
        </w:rPr>
        <w:t>Leverancier</w:t>
      </w:r>
      <w:r w:rsidRPr="00996FCB">
        <w:rPr>
          <w:rFonts w:eastAsia="Calibri" w:cstheme="minorHAnsi"/>
        </w:rPr>
        <w:t>";</w:t>
      </w:r>
    </w:p>
    <w:p w14:paraId="7920D319" w14:textId="77777777" w:rsidR="00E17FD3" w:rsidRPr="00996FCB" w:rsidRDefault="00000000">
      <w:pPr>
        <w:spacing w:before="239" w:after="239" w:line="240" w:lineRule="auto"/>
        <w:textAlignment w:val="top"/>
        <w:rPr>
          <w:rFonts w:cstheme="minorHAnsi"/>
        </w:rPr>
      </w:pPr>
      <w:r w:rsidRPr="00996FCB">
        <w:rPr>
          <w:rFonts w:eastAsia="Calibri" w:cstheme="minorHAnsi"/>
        </w:rPr>
        <w:t>tezamen hierna verder aan te duiden als "partijen" dan wel afzonderlijk als "partij",</w:t>
      </w:r>
    </w:p>
    <w:p w14:paraId="7920D31A" w14:textId="77777777" w:rsidR="00E17FD3" w:rsidRPr="00996FCB" w:rsidRDefault="00000000">
      <w:pPr>
        <w:spacing w:before="239" w:after="239" w:line="240" w:lineRule="auto"/>
        <w:textAlignment w:val="top"/>
        <w:rPr>
          <w:rFonts w:cstheme="minorHAnsi"/>
        </w:rPr>
      </w:pPr>
      <w:r w:rsidRPr="00996FCB">
        <w:rPr>
          <w:rFonts w:eastAsia="Calibri" w:cstheme="minorHAnsi"/>
          <w:b/>
          <w:bCs/>
        </w:rPr>
        <w:t>overwegende dat:</w:t>
      </w:r>
    </w:p>
    <w:p w14:paraId="7920D31B" w14:textId="77777777" w:rsidR="00E17FD3" w:rsidRPr="00996FCB" w:rsidRDefault="00000000">
      <w:pPr>
        <w:numPr>
          <w:ilvl w:val="0"/>
          <w:numId w:val="4"/>
        </w:numPr>
        <w:spacing w:line="240" w:lineRule="auto"/>
        <w:rPr>
          <w:rFonts w:eastAsia="Calibri" w:cstheme="minorHAnsi"/>
        </w:rPr>
      </w:pPr>
      <w:r w:rsidRPr="00996FCB">
        <w:rPr>
          <w:rFonts w:eastAsia="Calibri" w:cstheme="minorHAns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2020 voor Leverancier bekend behoorde te zijn, een en ander voor zover dat gebruik in onderhavige Overeenkomst niet uitdrukkelijk is uitgesloten of beperkt;</w:t>
      </w:r>
    </w:p>
    <w:p w14:paraId="7920D31C" w14:textId="77777777" w:rsidR="00E17FD3" w:rsidRPr="00996FCB" w:rsidRDefault="00000000">
      <w:pPr>
        <w:numPr>
          <w:ilvl w:val="0"/>
          <w:numId w:val="4"/>
        </w:numPr>
        <w:spacing w:line="240" w:lineRule="auto"/>
        <w:rPr>
          <w:rFonts w:eastAsia="Calibri" w:cstheme="minorHAnsi"/>
        </w:rPr>
      </w:pPr>
      <w:r w:rsidRPr="00996FCB">
        <w:rPr>
          <w:rFonts w:eastAsia="Calibri" w:cstheme="minorHAnsi"/>
        </w:rPr>
        <w:t>Opdrachtgever in verband met hetgeen hiervoor is overwogen, tot Europese aanbesteding van de ICT Prestatie is overgegaan;</w:t>
      </w:r>
    </w:p>
    <w:p w14:paraId="7920D31D" w14:textId="77777777" w:rsidR="00E17FD3" w:rsidRPr="00996FCB" w:rsidRDefault="00000000">
      <w:pPr>
        <w:numPr>
          <w:ilvl w:val="0"/>
          <w:numId w:val="4"/>
        </w:numPr>
        <w:spacing w:line="240" w:lineRule="auto"/>
        <w:rPr>
          <w:rFonts w:eastAsia="Calibri" w:cstheme="minorHAnsi"/>
        </w:rPr>
      </w:pPr>
      <w:r w:rsidRPr="00996FCB">
        <w:rPr>
          <w:rFonts w:eastAsia="Calibri" w:cstheme="minorHAnsi"/>
        </w:rPr>
        <w:t>Partijen de uit het bovenstaande voortvloeiende rechtsverhouding schriftelijk wensen vast te leggen;</w:t>
      </w:r>
    </w:p>
    <w:p w14:paraId="7920D31E" w14:textId="77777777" w:rsidR="00E17FD3" w:rsidRPr="00996FCB" w:rsidRDefault="00000000">
      <w:pPr>
        <w:spacing w:before="239" w:after="239" w:line="240" w:lineRule="auto"/>
        <w:textAlignment w:val="top"/>
        <w:rPr>
          <w:rFonts w:cstheme="minorHAnsi"/>
        </w:rPr>
      </w:pPr>
      <w:r w:rsidRPr="00996FCB">
        <w:rPr>
          <w:rFonts w:eastAsia="Calibri" w:cstheme="minorHAnsi"/>
          <w:b/>
          <w:bCs/>
        </w:rPr>
        <w:t>zijn als volgt overeengekomen:</w:t>
      </w:r>
    </w:p>
    <w:p w14:paraId="7920D31F"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Voorwerp van de Overeenkomst</w:t>
      </w:r>
    </w:p>
    <w:p w14:paraId="7920D320" w14:textId="77777777" w:rsidR="00E17FD3" w:rsidRPr="00996FCB" w:rsidRDefault="00000000" w:rsidP="002778E4">
      <w:pPr>
        <w:pStyle w:val="ArticleLevel2"/>
        <w:spacing w:line="240" w:lineRule="auto"/>
        <w:textAlignment w:val="top"/>
        <w:rPr>
          <w:rFonts w:cstheme="minorHAnsi"/>
        </w:rPr>
      </w:pPr>
      <w:r w:rsidRPr="00996FCB">
        <w:rPr>
          <w:rFonts w:eastAsia="Calibri" w:cstheme="minorHAnsi"/>
        </w:rPr>
        <w:t>Leverancier verplicht zich tot het leveren van de ICT Prestatie zoals beschreven in:</w:t>
      </w:r>
    </w:p>
    <w:p w14:paraId="7920D321"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color w:val="000000"/>
        </w:rPr>
        <w:t>De Nota van Inlichtingen;</w:t>
      </w:r>
    </w:p>
    <w:p w14:paraId="7920D322"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color w:val="000000"/>
        </w:rPr>
        <w:t>Het Programma van Eisen;</w:t>
      </w:r>
    </w:p>
    <w:p w14:paraId="7920D323"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color w:val="000000"/>
        </w:rPr>
        <w:t>Het Beschrijvend Document;</w:t>
      </w:r>
    </w:p>
    <w:p w14:paraId="7920D324"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color w:val="000000"/>
        </w:rPr>
        <w:t>GIBIT 2020;</w:t>
      </w:r>
    </w:p>
    <w:p w14:paraId="7920D325" w14:textId="51ECD686" w:rsidR="00E17FD3" w:rsidRPr="00996FCB" w:rsidRDefault="00000000" w:rsidP="002778E4">
      <w:pPr>
        <w:pStyle w:val="Indentedbullets"/>
        <w:spacing w:line="240" w:lineRule="auto"/>
        <w:textAlignment w:val="top"/>
        <w:rPr>
          <w:rFonts w:cstheme="minorHAnsi"/>
        </w:rPr>
      </w:pPr>
      <w:r w:rsidRPr="00996FCB">
        <w:rPr>
          <w:rFonts w:eastAsia="Calibri" w:cstheme="minorHAnsi"/>
          <w:color w:val="000000"/>
        </w:rPr>
        <w:lastRenderedPageBreak/>
        <w:t>De Offerte van de Leverancier</w:t>
      </w:r>
      <w:r w:rsidR="002778E4" w:rsidRPr="00996FCB">
        <w:rPr>
          <w:rFonts w:eastAsia="Calibri" w:cstheme="minorHAnsi"/>
          <w:color w:val="000000"/>
        </w:rPr>
        <w:t>;</w:t>
      </w:r>
    </w:p>
    <w:p w14:paraId="6E2E6D73" w14:textId="16F47EF3" w:rsidR="002778E4" w:rsidRPr="00996FCB" w:rsidRDefault="002778E4" w:rsidP="002778E4">
      <w:pPr>
        <w:pStyle w:val="Indentedbullets"/>
        <w:spacing w:line="240" w:lineRule="auto"/>
        <w:textAlignment w:val="top"/>
        <w:rPr>
          <w:rFonts w:cstheme="minorHAnsi"/>
        </w:rPr>
      </w:pPr>
      <w:r w:rsidRPr="00996FCB">
        <w:rPr>
          <w:rFonts w:eastAsia="Calibri" w:cstheme="minorHAnsi"/>
          <w:color w:val="000000"/>
        </w:rPr>
        <w:t>En de andere gepubliceerde aanbestedingsstukken.</w:t>
      </w:r>
    </w:p>
    <w:p w14:paraId="7920D326" w14:textId="612E829F"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Bovengenoemde bijlagen zijn reeds eerder verstrekt aan Leverancier (tijdens de aanbestedingsprocedure) en derhalve in diens bezit.</w:t>
      </w:r>
    </w:p>
    <w:p w14:paraId="7920D327"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color w:val="000000"/>
          <w:shd w:val="clear" w:color="auto" w:fill="FFFFFF"/>
        </w:rPr>
        <w:t>De in het eerste lid bedoelde activiteiten zullen plaatsvinden onder de voorwaarden als beschreven in het onderhavige document en de hierin genoemde bijlagen (hierna gezamenlijk: "de Overeenkomst").</w:t>
      </w:r>
    </w:p>
    <w:p w14:paraId="7920D328"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Specificaties</w:t>
      </w:r>
    </w:p>
    <w:p w14:paraId="7920D329"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Tot het Overeengekomen gebruik behoort dat de ICT Prestatie voldoet aan hetgeen beschreven is in de in artikel 1.1. genoemde documenten.</w:t>
      </w:r>
    </w:p>
    <w:p w14:paraId="7920D32A" w14:textId="77777777" w:rsidR="00E17FD3" w:rsidRPr="00996FCB" w:rsidRDefault="00000000">
      <w:pPr>
        <w:spacing w:before="239" w:after="239" w:line="240" w:lineRule="auto"/>
        <w:textAlignment w:val="top"/>
        <w:rPr>
          <w:rFonts w:cstheme="minorHAnsi"/>
        </w:rPr>
      </w:pPr>
      <w:r w:rsidRPr="00996FCB">
        <w:rPr>
          <w:rFonts w:eastAsia="Calibri" w:cstheme="minorHAnsi"/>
        </w:rPr>
        <w:t xml:space="preserve"> </w:t>
      </w:r>
    </w:p>
    <w:p w14:paraId="7920D32B" w14:textId="5FC3E1AA" w:rsidR="00E17FD3" w:rsidRPr="00F07B82" w:rsidRDefault="00000000" w:rsidP="00F07B82">
      <w:pPr>
        <w:pStyle w:val="ArticleLevel1"/>
        <w:spacing w:before="239" w:after="239" w:line="240" w:lineRule="auto"/>
        <w:textAlignment w:val="top"/>
        <w:rPr>
          <w:rFonts w:cstheme="minorHAnsi"/>
        </w:rPr>
      </w:pPr>
      <w:r w:rsidRPr="00996FCB">
        <w:rPr>
          <w:rFonts w:eastAsia="Calibri" w:cstheme="minorHAnsi"/>
        </w:rPr>
        <w:t>Gemeentelijke ICT-Kwaliteitsnormen, Interoperabiliteitseisen, normen en</w:t>
      </w:r>
      <w:r w:rsidR="00F07B82">
        <w:rPr>
          <w:rFonts w:eastAsia="Calibri" w:cstheme="minorHAnsi"/>
        </w:rPr>
        <w:t xml:space="preserve"> </w:t>
      </w:r>
      <w:r w:rsidR="00F07B82">
        <w:rPr>
          <w:rFonts w:cstheme="minorHAnsi"/>
        </w:rPr>
        <w:t xml:space="preserve">     </w:t>
      </w:r>
      <w:r w:rsidRPr="00F07B82">
        <w:rPr>
          <w:rFonts w:eastAsia="Calibri" w:cstheme="minorHAnsi"/>
        </w:rPr>
        <w:t>standaarden</w:t>
      </w:r>
    </w:p>
    <w:p w14:paraId="7920D32C" w14:textId="77777777" w:rsidR="00E17FD3" w:rsidRPr="00996FCB" w:rsidRDefault="00000000" w:rsidP="002778E4">
      <w:pPr>
        <w:pStyle w:val="ArticleLevel2"/>
        <w:spacing w:line="240" w:lineRule="auto"/>
        <w:textAlignment w:val="top"/>
        <w:rPr>
          <w:rFonts w:cstheme="minorHAnsi"/>
        </w:rPr>
      </w:pPr>
      <w:r w:rsidRPr="00996FCB">
        <w:rPr>
          <w:rFonts w:eastAsia="Calibri" w:cstheme="minorHAnsi"/>
        </w:rPr>
        <w:t>De ICT-Prestatie zal gedurende de looptijd van de Overeenkomst voor de volgende ICT-kwaliteitsgebieden blijven voldoen aan de Gemeentelijke ICT-Kwaliteitsnormen:</w:t>
      </w:r>
    </w:p>
    <w:p w14:paraId="7920D32D"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Interoperabiliteit;</w:t>
      </w:r>
    </w:p>
    <w:p w14:paraId="7920D32E"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Informatiebeveiliging en privacy;</w:t>
      </w:r>
    </w:p>
    <w:p w14:paraId="7920D32F"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Dataportabiliteit;</w:t>
      </w:r>
    </w:p>
    <w:p w14:paraId="7920D330"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Toegankelijkheid;</w:t>
      </w:r>
    </w:p>
    <w:p w14:paraId="7920D331"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Archivering;</w:t>
      </w:r>
    </w:p>
    <w:p w14:paraId="7920D332"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Infrastructuur;</w:t>
      </w:r>
    </w:p>
    <w:p w14:paraId="7920D333"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Documentatie;</w:t>
      </w:r>
    </w:p>
    <w:p w14:paraId="7920D334" w14:textId="77777777" w:rsidR="00E17FD3" w:rsidRPr="00996FCB" w:rsidRDefault="00000000" w:rsidP="002778E4">
      <w:pPr>
        <w:pStyle w:val="Indentedbullets"/>
        <w:spacing w:line="240" w:lineRule="auto"/>
        <w:textAlignment w:val="top"/>
        <w:rPr>
          <w:rFonts w:cstheme="minorHAnsi"/>
        </w:rPr>
      </w:pPr>
      <w:r w:rsidRPr="00996FCB">
        <w:rPr>
          <w:rFonts w:eastAsia="Calibri" w:cstheme="minorHAnsi"/>
        </w:rPr>
        <w:t>E-facturering.</w:t>
      </w:r>
    </w:p>
    <w:p w14:paraId="7920D335"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Looptijd</w:t>
      </w:r>
    </w:p>
    <w:p w14:paraId="7920D336"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Overeenkomst treedt in werking op 1 augustus 2026.</w:t>
      </w:r>
    </w:p>
    <w:p w14:paraId="7920D337"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Na afloop van de voornoemde looptijd wordt de overeenkomst slechts op verzoek van Opdrachtgever verlengd. Opdrachtgever geeft uiterlijk drie (3) maanden voor einde looptijd aan de Overeenkomst te verlengen.</w:t>
      </w:r>
    </w:p>
    <w:p w14:paraId="7920D338"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 xml:space="preserve">De Overeenkomst mag maximaal eenmalig worden verlengd. </w:t>
      </w:r>
    </w:p>
    <w:p w14:paraId="7920D339"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Bij verlenging wordt de Overeenkomst verlengd met een periode van twee (2) jaar.</w:t>
      </w:r>
    </w:p>
    <w:p w14:paraId="7920D33A"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looptijd van de Gebruiksrechten is gelijk aan artikel 17.3 GIBIT 2020.</w:t>
      </w:r>
    </w:p>
    <w:p w14:paraId="7920D33B"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 xml:space="preserve">De looptijd van de Hosting-diensten is gelijk aan de looptijd van de Overeenkomst. De volgende onderdelen van de ICT Prestatie worden voor </w:t>
      </w:r>
      <w:r w:rsidRPr="00996FCB">
        <w:rPr>
          <w:rFonts w:eastAsia="Calibri" w:cstheme="minorHAnsi"/>
        </w:rPr>
        <w:lastRenderedPageBreak/>
        <w:t>wat betreft looptijd in ieder geval als afzonderlijke Overeenkomsten beschouwd in de zin van artikel 20.3 GIBIT 2020:</w:t>
      </w:r>
    </w:p>
    <w:p w14:paraId="7920D33D"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Implementatie</w:t>
      </w:r>
    </w:p>
    <w:p w14:paraId="7920D33E"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Implementatie geschiedt volgens een in nader overleg vast te stellen Implementatieplan.</w:t>
      </w:r>
    </w:p>
    <w:p w14:paraId="7920D33F"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einddatum waarop de Implementatie dient te zijn voltooid wordt in nader overleg bepaald.</w:t>
      </w:r>
    </w:p>
    <w:p w14:paraId="7920D340"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Acceptatie</w:t>
      </w:r>
    </w:p>
    <w:p w14:paraId="7920D341"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 xml:space="preserve">De Acceptatieprocedure verloopt conform het opgestelde testprotocol in het Implementatieplan. </w:t>
      </w:r>
    </w:p>
    <w:p w14:paraId="7920D342"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Onderhoud</w:t>
      </w:r>
    </w:p>
    <w:p w14:paraId="7920D343" w14:textId="77777777" w:rsidR="00E17FD3" w:rsidRPr="00996FCB" w:rsidRDefault="00000000" w:rsidP="00F07B82">
      <w:pPr>
        <w:pStyle w:val="ArticleLevel2"/>
        <w:spacing w:line="240" w:lineRule="auto"/>
        <w:textAlignment w:val="top"/>
        <w:rPr>
          <w:rFonts w:cstheme="minorHAnsi"/>
        </w:rPr>
      </w:pPr>
      <w:r w:rsidRPr="00996FCB">
        <w:rPr>
          <w:rFonts w:eastAsia="Calibri" w:cstheme="minorHAnsi"/>
        </w:rPr>
        <w:t>Het Onderhoud wordt verricht overeenkomstig:</w:t>
      </w:r>
    </w:p>
    <w:p w14:paraId="7920D344" w14:textId="29F81561" w:rsidR="00E17FD3" w:rsidRPr="00996FCB" w:rsidRDefault="00000000" w:rsidP="00F07B82">
      <w:pPr>
        <w:pStyle w:val="Indentedbullets"/>
        <w:spacing w:line="240" w:lineRule="auto"/>
        <w:textAlignment w:val="top"/>
        <w:rPr>
          <w:rFonts w:cstheme="minorHAnsi"/>
        </w:rPr>
      </w:pPr>
      <w:r w:rsidRPr="00996FCB">
        <w:rPr>
          <w:rFonts w:eastAsia="Calibri" w:cstheme="minorHAnsi"/>
          <w:lang w:val="en-US"/>
        </w:rPr>
        <w:t>In een service level agreement</w:t>
      </w:r>
      <w:r w:rsidR="00754A84" w:rsidRPr="00996FCB">
        <w:rPr>
          <w:rFonts w:eastAsia="Calibri" w:cstheme="minorHAnsi"/>
          <w:lang w:val="en-US"/>
        </w:rPr>
        <w:t xml:space="preserve"> (SLA)</w:t>
      </w:r>
      <w:r w:rsidRPr="00996FCB">
        <w:rPr>
          <w:rFonts w:eastAsia="Calibri" w:cstheme="minorHAnsi"/>
          <w:lang w:val="en-US"/>
        </w:rPr>
        <w:t xml:space="preserve">. </w:t>
      </w:r>
      <w:r w:rsidRPr="00996FCB">
        <w:rPr>
          <w:rFonts w:eastAsia="Calibri" w:cstheme="minorHAnsi"/>
        </w:rPr>
        <w:t>Artikel 8 GIBIT vormt voor onvoorziene omstandigheden het vangnet.</w:t>
      </w:r>
    </w:p>
    <w:p w14:paraId="7920D345"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Leverancier verzorgt de Implementatie van Updates en Upgrades zodra deze beschikbaar zijn, doch zonder nadere vergoeding. Bij Implementatie van een Update zal in beginsel geen Acceptatieprocedure plaatsvinden.</w:t>
      </w:r>
    </w:p>
    <w:p w14:paraId="7920D346"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Gebruiksrechten</w:t>
      </w:r>
    </w:p>
    <w:p w14:paraId="0809FA9E" w14:textId="77777777" w:rsidR="00AA5FFA" w:rsidRPr="00996FCB" w:rsidRDefault="00000000">
      <w:pPr>
        <w:pStyle w:val="ArticleLevel2"/>
        <w:spacing w:before="239" w:after="239" w:line="240" w:lineRule="auto"/>
        <w:textAlignment w:val="top"/>
        <w:rPr>
          <w:rFonts w:cstheme="minorHAnsi"/>
        </w:rPr>
      </w:pPr>
      <w:r w:rsidRPr="00996FCB">
        <w:rPr>
          <w:rFonts w:eastAsia="Calibri" w:cstheme="minorHAnsi"/>
        </w:rPr>
        <w:t xml:space="preserve">Leverancier levert Gebruiksrechten zoals gespecificeerd in de in artikel 1.1. genoemde documenten. </w:t>
      </w:r>
    </w:p>
    <w:p w14:paraId="2387B57D" w14:textId="72522C1C" w:rsidR="00A83E61" w:rsidRPr="00996FCB" w:rsidRDefault="00A83E61" w:rsidP="00A83E61">
      <w:pPr>
        <w:pStyle w:val="ArticleLevel1"/>
        <w:spacing w:before="239" w:after="239" w:line="240" w:lineRule="auto"/>
        <w:textAlignment w:val="top"/>
        <w:rPr>
          <w:rFonts w:cstheme="minorHAnsi"/>
        </w:rPr>
      </w:pPr>
      <w:r w:rsidRPr="00996FCB">
        <w:rPr>
          <w:rFonts w:eastAsia="Calibri" w:cstheme="minorHAnsi"/>
        </w:rPr>
        <w:t>Hosting</w:t>
      </w:r>
    </w:p>
    <w:p w14:paraId="186496BA" w14:textId="35AB17F5" w:rsidR="00AA5FFA" w:rsidRPr="00996FCB" w:rsidRDefault="006B44FE" w:rsidP="006B44FE">
      <w:pPr>
        <w:spacing w:before="239" w:after="239" w:line="240" w:lineRule="auto"/>
        <w:textAlignment w:val="top"/>
        <w:rPr>
          <w:rFonts w:cstheme="minorHAnsi"/>
          <w:lang w:val="nl-NL"/>
        </w:rPr>
      </w:pPr>
      <w:r w:rsidRPr="00996FCB">
        <w:rPr>
          <w:rFonts w:eastAsia="Calibri" w:cstheme="minorHAnsi"/>
          <w:lang w:val="nl-NL"/>
        </w:rPr>
        <w:t xml:space="preserve">9.1 </w:t>
      </w:r>
      <w:r w:rsidRPr="00996FCB">
        <w:rPr>
          <w:rFonts w:eastAsia="Calibri" w:cstheme="minorHAnsi"/>
          <w:lang w:val="nl-NL"/>
        </w:rPr>
        <w:tab/>
      </w:r>
      <w:r w:rsidRPr="00996FCB">
        <w:rPr>
          <w:rFonts w:eastAsia="Calibri" w:cstheme="minorHAnsi"/>
          <w:lang w:val="nl-NL"/>
        </w:rPr>
        <w:tab/>
      </w:r>
      <w:r w:rsidRPr="00996FCB">
        <w:rPr>
          <w:rFonts w:eastAsia="Calibri" w:cstheme="minorHAnsi"/>
        </w:rPr>
        <w:t>Op de Hosting-diensten zijn de Service Levels van toepassing zoals</w:t>
      </w:r>
      <w:r w:rsidRPr="00996FCB">
        <w:rPr>
          <w:rFonts w:eastAsia="Calibri" w:cstheme="minorHAnsi"/>
          <w:lang w:val="nl-NL"/>
        </w:rPr>
        <w:br/>
        <w:t xml:space="preserve"> </w:t>
      </w:r>
      <w:r w:rsidRPr="00996FCB">
        <w:rPr>
          <w:rFonts w:eastAsia="Calibri" w:cstheme="minorHAnsi"/>
          <w:lang w:val="nl-NL"/>
        </w:rPr>
        <w:tab/>
      </w:r>
      <w:r w:rsidRPr="00996FCB">
        <w:rPr>
          <w:rFonts w:eastAsia="Calibri" w:cstheme="minorHAnsi"/>
          <w:lang w:val="nl-NL"/>
        </w:rPr>
        <w:tab/>
      </w:r>
      <w:r w:rsidRPr="00996FCB">
        <w:rPr>
          <w:rFonts w:eastAsia="Calibri" w:cstheme="minorHAnsi"/>
        </w:rPr>
        <w:t>omschreven in een service level agreement</w:t>
      </w:r>
      <w:r w:rsidRPr="00996FCB">
        <w:rPr>
          <w:rFonts w:eastAsia="Calibri" w:cstheme="minorHAnsi"/>
          <w:lang w:val="nl-NL"/>
        </w:rPr>
        <w:t>.</w:t>
      </w:r>
    </w:p>
    <w:p w14:paraId="7920D349"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Exit-plan</w:t>
      </w:r>
    </w:p>
    <w:p w14:paraId="7920D34A"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 xml:space="preserve">Leverancier verplicht zich reeds nu </w:t>
      </w:r>
      <w:r w:rsidRPr="00996FCB">
        <w:rPr>
          <w:rFonts w:eastAsia="Calibri" w:cstheme="minorHAnsi"/>
          <w:b/>
          <w:bCs/>
        </w:rPr>
        <w:t>uiterlijk vóór 1 december 2026</w:t>
      </w:r>
      <w:r w:rsidRPr="00996FCB">
        <w:rPr>
          <w:rFonts w:eastAsia="Calibri" w:cstheme="minorHAnsi"/>
        </w:rPr>
        <w:t xml:space="preserve"> een exit-plan als bedoeld in artikel 22 GIBIT 2020 op te stellen. Het exit-plan wordt nader uitgewerkt in een na overleg op te stellen bijlage.</w:t>
      </w:r>
    </w:p>
    <w:p w14:paraId="7920D34B"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Verwerking van persoonsgegevens</w:t>
      </w:r>
    </w:p>
    <w:p w14:paraId="7920D34C"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Leverancier handelt als verwerker in de zin van de Algemene verordening gegevensbescherming.</w:t>
      </w:r>
    </w:p>
    <w:p w14:paraId="7920D34D"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standaard Verwerkersovereenkomst is opgenomen in bijlage Bijlage 7..</w:t>
      </w:r>
    </w:p>
    <w:p w14:paraId="7920D34E"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lastRenderedPageBreak/>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 verwijderen danwel vernietigen op de wijze als door de Opdrachtgever bepaald. De vernietiging moet, binnen nader overeen te komen termijn, uitgevoerd worden en hiervan wordt een verslag gemaakt. </w:t>
      </w:r>
    </w:p>
    <w:p w14:paraId="7920D34F"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Leverancier zal alle subverwerkers die betrokken zijn bij de verwerking van de persoonsgegevens op de hoogte stellen van de beëindiging van de overeenkomst en zal waarborgen dat alle subverwerkers de persoonsgegevens retourneren, verwijderen danwel (laten) vernietigen, zoals in het vorige lid bepaald.</w:t>
      </w:r>
    </w:p>
    <w:p w14:paraId="7920D350" w14:textId="339BC2BA"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Vergoedingen</w:t>
      </w:r>
    </w:p>
    <w:p w14:paraId="7920D351"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vergoeding van het Onderhoud is nader gespecificeerd in de offerte van Leverancier.</w:t>
      </w:r>
    </w:p>
    <w:p w14:paraId="7920D352"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vergoeding voor de Gebruiksrechten is nader gespecificeerd in de offerte van Leverancier.</w:t>
      </w:r>
    </w:p>
    <w:p w14:paraId="7920D353"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Na ingebruikname voor productieve doeleinden wordt van de vergoeding voor de Gebruiksrechten opeisbaar.</w:t>
      </w:r>
    </w:p>
    <w:p w14:paraId="7920D354"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vergoeding voor de Hosting-diensten is nader gespecificeerd in de offerte van Leverancier.</w:t>
      </w:r>
    </w:p>
    <w:p w14:paraId="7920D355"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Het exit-plan maakt onderdeel uit van de dienstverlening en daarom is er geen aanvullende vergoeding verschuldigd.</w:t>
      </w:r>
    </w:p>
    <w:p w14:paraId="7920D356"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De vergoeding voor de Implementatie is nader gespecificeerd in de offerte van Leverancier.</w:t>
      </w:r>
    </w:p>
    <w:p w14:paraId="7920D357"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Van de totale Vergoeding is dertig (30) % eerst opeisbaar na integrale Acceptatie.</w:t>
      </w:r>
    </w:p>
    <w:p w14:paraId="5E8800B9" w14:textId="77777777" w:rsidR="00EF5A88" w:rsidRPr="00996FCB" w:rsidRDefault="00EF5A88" w:rsidP="00EF5A88">
      <w:pPr>
        <w:pStyle w:val="ArticleLevel2"/>
        <w:rPr>
          <w:rFonts w:eastAsia="Calibri" w:cstheme="minorHAnsi"/>
        </w:rPr>
      </w:pPr>
      <w:r w:rsidRPr="00996FCB">
        <w:rPr>
          <w:rFonts w:eastAsia="Calibri" w:cstheme="minorHAnsi"/>
        </w:rPr>
        <w:t>Leverancier verzendt de factuur (met routenummer: ERP NUMMER) aan Opdrachtgever elektronisch overeenkomstig de geldende eisen voor facturatie zoals opgenomen in de Gemeentelijke ICT-kwaliteitsnormen. De e-factuur wordt in ubl-formaat aangeleverd via het open PEPPOL netwerk van Simpler Invoicing. Het OIN nummer van de Opdrachtgever is 0190:00000001001600291000. Kosten verband houdende met e-facturatie komen voor rekening van Leverancier.</w:t>
      </w:r>
    </w:p>
    <w:p w14:paraId="7920D359"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lastRenderedPageBreak/>
        <w:t>De in GIBIT 2020 artikel 9.8 benoemde index J62, althans sectie J, conform CPA 2008, van het Centraal Bureau voor de Statistiek, wordt logisch opgevolgd door index J 6202.</w:t>
      </w:r>
    </w:p>
    <w:p w14:paraId="7920D35A"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Contactpersonen en bevoegdheden</w:t>
      </w:r>
    </w:p>
    <w:p w14:paraId="7920D35B" w14:textId="7A05EB26"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Partijen wijzen de in een bijlage gespecificeerde personen aan als contactpersoon namens hun organisatie gedurende de looptijd van de Overeenkomst.</w:t>
      </w:r>
    </w:p>
    <w:p w14:paraId="7920D35C"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7920D35D"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Een partij mag haar contactpersonen wijzigen middels schriftelijke mededeling aan de andere partij. De wijziging zal minimaal een week van tevoren worden gemeld, behoudens in spoedgevallen.</w:t>
      </w:r>
    </w:p>
    <w:p w14:paraId="7920D35E"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Evaluatie</w:t>
      </w:r>
    </w:p>
    <w:p w14:paraId="7920D35F" w14:textId="77777777" w:rsidR="00E17FD3" w:rsidRPr="00996FCB" w:rsidRDefault="00000000" w:rsidP="00C60C69">
      <w:pPr>
        <w:pStyle w:val="ArticleLevel2"/>
        <w:spacing w:line="240" w:lineRule="auto"/>
        <w:textAlignment w:val="top"/>
        <w:rPr>
          <w:rFonts w:cstheme="minorHAnsi"/>
        </w:rPr>
      </w:pPr>
      <w:r w:rsidRPr="00996FCB">
        <w:rPr>
          <w:rFonts w:eastAsia="Calibri" w:cstheme="minorHAnsi"/>
        </w:rPr>
        <w:t>Opdrachtgever evalueert minimaal één (1) maal per jaar de uitvoering van de opdracht en het resultaat van de ICT Prestatie. De onderwerpen van evaluatie omvatten in ieder geval en indien van toepassing:</w:t>
      </w:r>
    </w:p>
    <w:p w14:paraId="7920D360" w14:textId="77777777" w:rsidR="00E17FD3" w:rsidRPr="00996FCB" w:rsidRDefault="00000000" w:rsidP="00C60C69">
      <w:pPr>
        <w:pStyle w:val="Indentedbullets"/>
        <w:spacing w:line="240" w:lineRule="auto"/>
        <w:textAlignment w:val="top"/>
        <w:rPr>
          <w:rFonts w:cstheme="minorHAnsi"/>
        </w:rPr>
      </w:pPr>
      <w:r w:rsidRPr="00996FCB">
        <w:rPr>
          <w:rFonts w:eastAsia="Calibri" w:cstheme="minorHAnsi"/>
        </w:rPr>
        <w:t xml:space="preserve">de kwaliteit  </w:t>
      </w:r>
    </w:p>
    <w:p w14:paraId="7920D361" w14:textId="77777777" w:rsidR="00E17FD3" w:rsidRPr="00996FCB" w:rsidRDefault="00000000" w:rsidP="00C60C69">
      <w:pPr>
        <w:pStyle w:val="Indentedbullets"/>
        <w:spacing w:line="240" w:lineRule="auto"/>
        <w:textAlignment w:val="top"/>
        <w:rPr>
          <w:rFonts w:cstheme="minorHAnsi"/>
        </w:rPr>
      </w:pPr>
      <w:r w:rsidRPr="00996FCB">
        <w:rPr>
          <w:rFonts w:eastAsia="Calibri" w:cstheme="minorHAnsi"/>
        </w:rPr>
        <w:t xml:space="preserve">service </w:t>
      </w:r>
    </w:p>
    <w:p w14:paraId="7920D362" w14:textId="77777777" w:rsidR="00E17FD3" w:rsidRPr="00996FCB" w:rsidRDefault="00000000" w:rsidP="00C60C69">
      <w:pPr>
        <w:pStyle w:val="Indentedbullets"/>
        <w:spacing w:line="240" w:lineRule="auto"/>
        <w:textAlignment w:val="top"/>
        <w:rPr>
          <w:rFonts w:cstheme="minorHAnsi"/>
        </w:rPr>
      </w:pPr>
      <w:r w:rsidRPr="00996FCB">
        <w:rPr>
          <w:rFonts w:eastAsia="Calibri" w:cstheme="minorHAnsi"/>
        </w:rPr>
        <w:t xml:space="preserve">nazorg   </w:t>
      </w:r>
    </w:p>
    <w:p w14:paraId="7920D363" w14:textId="4884CA31" w:rsidR="00E17FD3" w:rsidRPr="00996FCB" w:rsidRDefault="00000000" w:rsidP="00CE2E7F">
      <w:pPr>
        <w:pStyle w:val="Indentedbullets"/>
        <w:spacing w:line="240" w:lineRule="auto"/>
        <w:textAlignment w:val="top"/>
        <w:rPr>
          <w:rFonts w:cstheme="minorHAnsi"/>
        </w:rPr>
      </w:pPr>
      <w:r w:rsidRPr="00996FCB">
        <w:rPr>
          <w:rFonts w:cstheme="minorHAnsi"/>
        </w:rPr>
        <w:t xml:space="preserve">algemene ervaringen met Leverancier  </w:t>
      </w:r>
    </w:p>
    <w:p w14:paraId="7920D364"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Verder worden de tussen Partijen gesloten contractbijlagen minimaal , of op verzoek van de Partijen, geëvalueerd.</w:t>
      </w:r>
      <w:r w:rsidRPr="00996FCB">
        <w:rPr>
          <w:rFonts w:eastAsia="Calibri" w:cstheme="minorHAnsi"/>
        </w:rPr>
        <w:br/>
        <w:t xml:space="preserve">Partijen kunnen voorstellen doen om de betreffende deelovereenkomst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twee (2) weken voor het evaluatieoverleg ingediend worden.  </w:t>
      </w:r>
    </w:p>
    <w:p w14:paraId="7920D365" w14:textId="77777777" w:rsidR="00E17FD3" w:rsidRPr="00996FCB" w:rsidRDefault="00000000">
      <w:pPr>
        <w:pStyle w:val="ArticleLevel1"/>
        <w:spacing w:before="239" w:after="239" w:line="240" w:lineRule="auto"/>
        <w:textAlignment w:val="top"/>
        <w:rPr>
          <w:rFonts w:cstheme="minorHAnsi"/>
        </w:rPr>
      </w:pPr>
      <w:r w:rsidRPr="00996FCB">
        <w:rPr>
          <w:rFonts w:eastAsia="Calibri" w:cstheme="minorHAnsi"/>
        </w:rPr>
        <w:t>Voorwaarden en overige afspraken</w:t>
      </w:r>
    </w:p>
    <w:p w14:paraId="7920D366"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Op deze Overeenkomst is de GIBIT 2020 van toepassing, zoals bijgesloten als bijlage. Leverancier verklaart een exemplaar van de GIBIT 2020 te hebben ontvangen.</w:t>
      </w:r>
    </w:p>
    <w:p w14:paraId="7920D367"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Eventuele leveringsvoorwaarden van Leverancier zijn uitdrukkelijk niet van toepassing.</w:t>
      </w:r>
    </w:p>
    <w:p w14:paraId="7920D368" w14:textId="77777777" w:rsidR="00E17FD3" w:rsidRPr="00996FCB" w:rsidRDefault="00000000" w:rsidP="00CE2E7F">
      <w:pPr>
        <w:pStyle w:val="ArticleLevel2"/>
        <w:spacing w:line="240" w:lineRule="auto"/>
        <w:textAlignment w:val="top"/>
        <w:rPr>
          <w:rFonts w:cstheme="minorHAnsi"/>
        </w:rPr>
      </w:pPr>
      <w:r w:rsidRPr="00996FCB">
        <w:rPr>
          <w:rFonts w:eastAsia="Calibri" w:cstheme="minorHAnsi"/>
        </w:rPr>
        <w:lastRenderedPageBreak/>
        <w:t>De navolgende stukken vormen gezamenlijk de Overeenkomst. Voor zover deze stukken met elkaar in tegenspraak zijn, prevaleert het eerder genoemde stuk boven het later genoemde:</w:t>
      </w:r>
    </w:p>
    <w:p w14:paraId="7920D369" w14:textId="77777777" w:rsidR="00E17FD3" w:rsidRPr="00996FCB" w:rsidRDefault="00000000" w:rsidP="00CE2E7F">
      <w:pPr>
        <w:pStyle w:val="Indentedbullets"/>
        <w:spacing w:line="240" w:lineRule="auto"/>
        <w:textAlignment w:val="top"/>
        <w:rPr>
          <w:rFonts w:cstheme="minorHAnsi"/>
        </w:rPr>
      </w:pPr>
      <w:r w:rsidRPr="00996FCB">
        <w:rPr>
          <w:rFonts w:eastAsia="Calibri" w:cstheme="minorHAnsi"/>
        </w:rPr>
        <w:t>Het onderhavige document;</w:t>
      </w:r>
    </w:p>
    <w:p w14:paraId="7920D36A" w14:textId="77777777" w:rsidR="00E17FD3" w:rsidRPr="00996FCB" w:rsidRDefault="00000000" w:rsidP="00CE2E7F">
      <w:pPr>
        <w:pStyle w:val="Indentedbullets"/>
        <w:spacing w:line="240" w:lineRule="auto"/>
        <w:textAlignment w:val="top"/>
        <w:rPr>
          <w:rFonts w:cstheme="minorHAnsi"/>
        </w:rPr>
      </w:pPr>
      <w:r w:rsidRPr="00996FCB">
        <w:rPr>
          <w:rFonts w:eastAsia="Calibri" w:cstheme="minorHAnsi"/>
        </w:rPr>
        <w:t>De verwerkersovereenkomst;</w:t>
      </w:r>
    </w:p>
    <w:p w14:paraId="7920D36B" w14:textId="588E7C56" w:rsidR="00E17FD3" w:rsidRPr="00996FCB" w:rsidRDefault="00000000" w:rsidP="00CE2E7F">
      <w:pPr>
        <w:pStyle w:val="Indentedbullets"/>
        <w:spacing w:line="240" w:lineRule="auto"/>
        <w:textAlignment w:val="top"/>
        <w:rPr>
          <w:rFonts w:cstheme="minorHAnsi"/>
        </w:rPr>
      </w:pPr>
      <w:r w:rsidRPr="00996FCB">
        <w:rPr>
          <w:rFonts w:eastAsia="Calibri" w:cstheme="minorHAnsi"/>
        </w:rPr>
        <w:t>De in artikel 1.1. genoemde documenten (in de daar genoemde volgorde).</w:t>
      </w:r>
    </w:p>
    <w:p w14:paraId="7920D36C" w14:textId="77777777" w:rsidR="00E17FD3" w:rsidRPr="00996FCB" w:rsidRDefault="00000000">
      <w:pPr>
        <w:pStyle w:val="ArticleLevel2"/>
        <w:spacing w:before="239" w:after="239" w:line="240" w:lineRule="auto"/>
        <w:textAlignment w:val="top"/>
        <w:rPr>
          <w:rFonts w:cstheme="minorHAnsi"/>
        </w:rPr>
      </w:pPr>
      <w:r w:rsidRPr="00996FCB">
        <w:rPr>
          <w:rFonts w:eastAsia="Calibri" w:cstheme="minorHAnsi"/>
        </w:rPr>
        <w:t>In de Overeenkomst wordt een aantal begrippen met een beginhoofdletter gebruikt. Aan deze begrippen komt de betekenis toe die hieraan is gegeven in de GIBIT 2020.</w:t>
      </w:r>
    </w:p>
    <w:p w14:paraId="06862C5B" w14:textId="5A40F586" w:rsidR="00FA0AB0" w:rsidRPr="00996FCB" w:rsidRDefault="00FA0AB0" w:rsidP="00FA0AB0">
      <w:pPr>
        <w:rPr>
          <w:rFonts w:cstheme="minorHAnsi"/>
          <w:b/>
          <w:bCs/>
        </w:rPr>
      </w:pPr>
      <w:r w:rsidRPr="00996FCB">
        <w:rPr>
          <w:rFonts w:cstheme="minorHAnsi"/>
          <w:b/>
          <w:bCs/>
        </w:rPr>
        <w:t>Artikel 1</w:t>
      </w:r>
      <w:r w:rsidRPr="00996FCB">
        <w:rPr>
          <w:rFonts w:cstheme="minorHAnsi"/>
          <w:b/>
          <w:bCs/>
          <w:lang w:val="nl-NL"/>
        </w:rPr>
        <w:t>5</w:t>
      </w:r>
      <w:r w:rsidRPr="00996FCB">
        <w:rPr>
          <w:rFonts w:cstheme="minorHAnsi"/>
          <w:b/>
          <w:bCs/>
        </w:rPr>
        <w:t>.</w:t>
      </w:r>
      <w:r w:rsidRPr="00996FCB">
        <w:rPr>
          <w:rFonts w:cstheme="minorHAnsi"/>
          <w:b/>
          <w:bCs/>
        </w:rPr>
        <w:tab/>
        <w:t>Rangorde</w:t>
      </w:r>
    </w:p>
    <w:p w14:paraId="646043C6" w14:textId="77777777" w:rsidR="00FA0AB0" w:rsidRPr="00996FCB" w:rsidRDefault="00FA0AB0" w:rsidP="00FA0AB0">
      <w:pPr>
        <w:rPr>
          <w:rFonts w:cstheme="minorHAnsi"/>
        </w:rPr>
      </w:pPr>
      <w:r w:rsidRPr="00996FCB">
        <w:rPr>
          <w:rFonts w:cstheme="minorHAnsi"/>
        </w:rPr>
        <w:t>De navolgende documenten, behorende bij de aanbesteding van Opdrachtgever met</w:t>
      </w:r>
    </w:p>
    <w:p w14:paraId="5C14DCEB" w14:textId="5EC7FD3E" w:rsidR="00FA0AB0" w:rsidRPr="00996FCB" w:rsidRDefault="00FA0AB0" w:rsidP="00FA0AB0">
      <w:pPr>
        <w:rPr>
          <w:rFonts w:cstheme="minorHAnsi"/>
        </w:rPr>
      </w:pPr>
      <w:r w:rsidRPr="00996FCB">
        <w:rPr>
          <w:rFonts w:cstheme="minorHAnsi"/>
        </w:rPr>
        <w:t xml:space="preserve">kenmerk TN </w:t>
      </w:r>
      <w:r w:rsidRPr="00996FCB">
        <w:rPr>
          <w:rFonts w:cstheme="minorHAnsi"/>
          <w:lang w:val="nl-NL"/>
        </w:rPr>
        <w:t>577351</w:t>
      </w:r>
      <w:r w:rsidRPr="00996FCB">
        <w:rPr>
          <w:rFonts w:cstheme="minorHAnsi"/>
        </w:rPr>
        <w:t>, maken deel uit van deze overeenkomst. Voor zover deze documenten</w:t>
      </w:r>
    </w:p>
    <w:p w14:paraId="276C02FB" w14:textId="77777777" w:rsidR="00FA0AB0" w:rsidRPr="00996FCB" w:rsidRDefault="00FA0AB0" w:rsidP="00FA0AB0">
      <w:pPr>
        <w:rPr>
          <w:rFonts w:cstheme="minorHAnsi"/>
        </w:rPr>
      </w:pPr>
      <w:r w:rsidRPr="00996FCB">
        <w:rPr>
          <w:rFonts w:cstheme="minorHAnsi"/>
        </w:rPr>
        <w:t>met elkaar in tegenspraak zijn prevaleert het eerder genoemde document boven het later</w:t>
      </w:r>
    </w:p>
    <w:p w14:paraId="75BB2854" w14:textId="77777777" w:rsidR="00FA0AB0" w:rsidRPr="00996FCB" w:rsidRDefault="00FA0AB0" w:rsidP="00FA0AB0">
      <w:pPr>
        <w:rPr>
          <w:rFonts w:cstheme="minorHAnsi"/>
        </w:rPr>
      </w:pPr>
      <w:r w:rsidRPr="00996FCB">
        <w:rPr>
          <w:rFonts w:cstheme="minorHAnsi"/>
        </w:rPr>
        <w:t xml:space="preserve">genoemde: </w:t>
      </w:r>
    </w:p>
    <w:p w14:paraId="280713DB" w14:textId="77777777" w:rsidR="00FA0AB0" w:rsidRPr="00996FCB" w:rsidRDefault="00FA0AB0" w:rsidP="00FA0AB0">
      <w:pPr>
        <w:rPr>
          <w:rFonts w:cstheme="minorHAnsi"/>
        </w:rPr>
      </w:pPr>
      <w:r w:rsidRPr="00996FCB">
        <w:rPr>
          <w:rFonts w:cstheme="minorHAnsi"/>
        </w:rPr>
        <w:t>a.</w:t>
      </w:r>
      <w:r w:rsidRPr="00996FCB">
        <w:rPr>
          <w:rFonts w:cstheme="minorHAnsi"/>
        </w:rPr>
        <w:tab/>
        <w:t xml:space="preserve">Deze Overeenkomst; </w:t>
      </w:r>
    </w:p>
    <w:p w14:paraId="32917D6B" w14:textId="77777777" w:rsidR="00FA0AB0" w:rsidRPr="00996FCB" w:rsidRDefault="00FA0AB0" w:rsidP="00FA0AB0">
      <w:pPr>
        <w:rPr>
          <w:rFonts w:cstheme="minorHAnsi"/>
        </w:rPr>
      </w:pPr>
      <w:r w:rsidRPr="00996FCB">
        <w:rPr>
          <w:rFonts w:cstheme="minorHAnsi"/>
        </w:rPr>
        <w:t>b.</w:t>
      </w:r>
      <w:r w:rsidRPr="00996FCB">
        <w:rPr>
          <w:rFonts w:cstheme="minorHAnsi"/>
        </w:rPr>
        <w:tab/>
        <w:t xml:space="preserve">Nota van Inlichtingen d.d. &lt;..&gt;;  </w:t>
      </w:r>
    </w:p>
    <w:p w14:paraId="128548F1" w14:textId="77777777" w:rsidR="00FA0AB0" w:rsidRPr="00996FCB" w:rsidRDefault="00FA0AB0" w:rsidP="00FA0AB0">
      <w:pPr>
        <w:rPr>
          <w:rFonts w:cstheme="minorHAnsi"/>
        </w:rPr>
      </w:pPr>
      <w:r w:rsidRPr="00996FCB">
        <w:rPr>
          <w:rFonts w:cstheme="minorHAnsi"/>
        </w:rPr>
        <w:t>c.</w:t>
      </w:r>
      <w:r w:rsidRPr="00996FCB">
        <w:rPr>
          <w:rFonts w:cstheme="minorHAnsi"/>
        </w:rPr>
        <w:tab/>
        <w:t>De Verwerkersovereenkomst;</w:t>
      </w:r>
    </w:p>
    <w:p w14:paraId="1E4BFB94" w14:textId="77777777" w:rsidR="00FA0AB0" w:rsidRPr="00996FCB" w:rsidRDefault="00FA0AB0" w:rsidP="00FA0AB0">
      <w:pPr>
        <w:rPr>
          <w:rFonts w:cstheme="minorHAnsi"/>
        </w:rPr>
      </w:pPr>
      <w:r w:rsidRPr="00996FCB">
        <w:rPr>
          <w:rFonts w:cstheme="minorHAnsi"/>
        </w:rPr>
        <w:t>d.</w:t>
      </w:r>
      <w:r w:rsidRPr="00996FCB">
        <w:rPr>
          <w:rFonts w:cstheme="minorHAnsi"/>
        </w:rPr>
        <w:tab/>
        <w:t xml:space="preserve">Aanbestedingsleidraad (inclusief bijlagen ) d.d. &lt;..&gt;; </w:t>
      </w:r>
    </w:p>
    <w:p w14:paraId="63FF0ED1" w14:textId="77777777" w:rsidR="00FA0AB0" w:rsidRPr="00996FCB" w:rsidRDefault="00FA0AB0" w:rsidP="00FA0AB0">
      <w:pPr>
        <w:rPr>
          <w:rFonts w:cstheme="minorHAnsi"/>
        </w:rPr>
      </w:pPr>
      <w:r w:rsidRPr="00996FCB">
        <w:rPr>
          <w:rFonts w:cstheme="minorHAnsi"/>
        </w:rPr>
        <w:t>e.</w:t>
      </w:r>
      <w:r w:rsidRPr="00996FCB">
        <w:rPr>
          <w:rFonts w:cstheme="minorHAnsi"/>
        </w:rPr>
        <w:tab/>
        <w:t xml:space="preserve">GIBIT 2020;  </w:t>
      </w:r>
    </w:p>
    <w:p w14:paraId="4AE84EA7" w14:textId="77777777" w:rsidR="00FA0AB0" w:rsidRPr="00996FCB" w:rsidRDefault="00FA0AB0" w:rsidP="00FA0AB0">
      <w:pPr>
        <w:rPr>
          <w:rFonts w:cstheme="minorHAnsi"/>
        </w:rPr>
      </w:pPr>
      <w:r w:rsidRPr="00996FCB">
        <w:rPr>
          <w:rFonts w:cstheme="minorHAnsi"/>
        </w:rPr>
        <w:t>f.</w:t>
      </w:r>
      <w:r w:rsidRPr="00996FCB">
        <w:rPr>
          <w:rFonts w:cstheme="minorHAnsi"/>
        </w:rPr>
        <w:tab/>
        <w:t xml:space="preserve">De door de Opdrachtnemer ingediende inschrijving d.d. &lt;..&gt;; </w:t>
      </w:r>
    </w:p>
    <w:p w14:paraId="4D1E37A1" w14:textId="77777777" w:rsidR="00FA0AB0" w:rsidRPr="00996FCB" w:rsidRDefault="00FA0AB0" w:rsidP="00FA0AB0">
      <w:pPr>
        <w:rPr>
          <w:rFonts w:cstheme="minorHAnsi"/>
        </w:rPr>
      </w:pPr>
    </w:p>
    <w:p w14:paraId="5FD13D42" w14:textId="77777777" w:rsidR="00FA0AB0" w:rsidRPr="00996FCB" w:rsidRDefault="00FA0AB0" w:rsidP="00FA0AB0">
      <w:pPr>
        <w:rPr>
          <w:rFonts w:cstheme="minorHAnsi"/>
        </w:rPr>
      </w:pPr>
    </w:p>
    <w:p w14:paraId="7927E5EA" w14:textId="77777777" w:rsidR="00FA0AB0" w:rsidRPr="00996FCB" w:rsidRDefault="00FA0AB0" w:rsidP="00FA0AB0">
      <w:pPr>
        <w:rPr>
          <w:rFonts w:cstheme="minorHAnsi"/>
        </w:rPr>
      </w:pPr>
      <w:r w:rsidRPr="00996FCB">
        <w:rPr>
          <w:rFonts w:cstheme="minorHAnsi"/>
        </w:rPr>
        <w:t xml:space="preserve">Aldus overeengekomen te Helmond,  </w:t>
      </w:r>
    </w:p>
    <w:p w14:paraId="0AAC3327" w14:textId="77777777" w:rsidR="00FA0AB0" w:rsidRPr="00996FCB" w:rsidRDefault="00FA0AB0" w:rsidP="00FA0AB0">
      <w:pPr>
        <w:rPr>
          <w:rFonts w:cstheme="minorHAnsi"/>
        </w:rPr>
      </w:pPr>
      <w:r w:rsidRPr="00996FCB">
        <w:rPr>
          <w:rFonts w:cstheme="minorHAnsi"/>
        </w:rPr>
        <w:t xml:space="preserve"> </w:t>
      </w:r>
    </w:p>
    <w:p w14:paraId="0B331D70" w14:textId="77777777" w:rsidR="00FA0AB0" w:rsidRPr="00996FCB" w:rsidRDefault="00FA0AB0" w:rsidP="00FA0AB0">
      <w:pPr>
        <w:rPr>
          <w:rFonts w:cstheme="minorHAnsi"/>
        </w:rPr>
      </w:pPr>
      <w:r w:rsidRPr="00996FCB">
        <w:rPr>
          <w:rFonts w:cstheme="minorHAnsi"/>
        </w:rPr>
        <w:t>Gemeente Helmond</w:t>
      </w:r>
      <w:r w:rsidRPr="00996FCB">
        <w:rPr>
          <w:rFonts w:cstheme="minorHAnsi"/>
        </w:rPr>
        <w:tab/>
      </w:r>
      <w:r w:rsidRPr="00996FCB">
        <w:rPr>
          <w:rFonts w:cstheme="minorHAnsi"/>
        </w:rPr>
        <w:tab/>
      </w:r>
      <w:r w:rsidRPr="00996FCB">
        <w:rPr>
          <w:rFonts w:cstheme="minorHAnsi"/>
        </w:rPr>
        <w:tab/>
      </w:r>
      <w:r w:rsidRPr="00996FCB">
        <w:rPr>
          <w:rFonts w:cstheme="minorHAnsi"/>
        </w:rPr>
        <w:tab/>
      </w:r>
      <w:r w:rsidRPr="00996FCB">
        <w:rPr>
          <w:rFonts w:cstheme="minorHAnsi"/>
        </w:rPr>
        <w:tab/>
        <w:t xml:space="preserve">&lt;statutaire naam contractspartij&gt; </w:t>
      </w:r>
    </w:p>
    <w:p w14:paraId="42FD02FE" w14:textId="77777777" w:rsidR="00FA0AB0" w:rsidRPr="00996FCB" w:rsidRDefault="00FA0AB0" w:rsidP="00FA0AB0">
      <w:pPr>
        <w:rPr>
          <w:rFonts w:cstheme="minorHAnsi"/>
        </w:rPr>
      </w:pPr>
      <w:r w:rsidRPr="00996FCB">
        <w:rPr>
          <w:rFonts w:cstheme="minorHAnsi"/>
        </w:rPr>
        <w:t xml:space="preserve"> </w:t>
      </w:r>
    </w:p>
    <w:p w14:paraId="7F6891AD" w14:textId="65C9A625" w:rsidR="00FA0AB0" w:rsidRPr="00996FCB" w:rsidRDefault="00FA0AB0" w:rsidP="00FA0AB0">
      <w:pPr>
        <w:rPr>
          <w:rFonts w:cstheme="minorHAnsi"/>
        </w:rPr>
      </w:pPr>
      <w:r w:rsidRPr="00996FCB">
        <w:rPr>
          <w:rFonts w:cstheme="minorHAnsi"/>
        </w:rPr>
        <w:t xml:space="preserve">Naam: door </w:t>
      </w:r>
      <w:r w:rsidR="008F2833" w:rsidRPr="00996FCB">
        <w:rPr>
          <w:rFonts w:cstheme="minorHAnsi"/>
          <w:lang w:val="nl-NL"/>
        </w:rPr>
        <w:t>Werner Sanderse</w:t>
      </w:r>
      <w:r w:rsidRPr="00996FCB">
        <w:rPr>
          <w:rFonts w:cstheme="minorHAnsi"/>
        </w:rPr>
        <w:tab/>
      </w:r>
      <w:r w:rsidRPr="00996FCB">
        <w:rPr>
          <w:rFonts w:cstheme="minorHAnsi"/>
        </w:rPr>
        <w:tab/>
      </w:r>
      <w:r w:rsidRPr="00996FCB">
        <w:rPr>
          <w:rFonts w:cstheme="minorHAnsi"/>
        </w:rPr>
        <w:tab/>
        <w:t xml:space="preserve">Naam: </w:t>
      </w:r>
    </w:p>
    <w:p w14:paraId="69A99E05" w14:textId="2FFD0092" w:rsidR="00FA0AB0" w:rsidRPr="00996FCB" w:rsidRDefault="00FA0AB0" w:rsidP="00FA0AB0">
      <w:pPr>
        <w:rPr>
          <w:rFonts w:cstheme="minorHAnsi"/>
        </w:rPr>
      </w:pPr>
      <w:r w:rsidRPr="00996FCB">
        <w:rPr>
          <w:rFonts w:cstheme="minorHAnsi"/>
        </w:rPr>
        <w:t xml:space="preserve">Functie: </w:t>
      </w:r>
      <w:r w:rsidR="008F2833" w:rsidRPr="00996FCB">
        <w:rPr>
          <w:rFonts w:cstheme="minorHAnsi"/>
          <w:lang w:val="nl-NL"/>
        </w:rPr>
        <w:t>Afdelingsmanager Realisatie &amp; Beheer</w:t>
      </w:r>
      <w:r w:rsidRPr="00996FCB">
        <w:rPr>
          <w:rFonts w:cstheme="minorHAnsi"/>
        </w:rPr>
        <w:tab/>
        <w:t xml:space="preserve">Functie: </w:t>
      </w:r>
    </w:p>
    <w:p w14:paraId="2B200F8B" w14:textId="180BB017" w:rsidR="00FA0AB0" w:rsidRPr="00996FCB" w:rsidRDefault="00FA0AB0" w:rsidP="00FA0AB0">
      <w:pPr>
        <w:rPr>
          <w:rFonts w:cstheme="minorHAnsi"/>
        </w:rPr>
      </w:pPr>
      <w:r w:rsidRPr="00996FCB">
        <w:rPr>
          <w:rFonts w:cstheme="minorHAnsi"/>
        </w:rPr>
        <w:t xml:space="preserve">Datum: </w:t>
      </w:r>
      <w:r w:rsidRPr="00996FCB">
        <w:rPr>
          <w:rFonts w:cstheme="minorHAnsi"/>
        </w:rPr>
        <w:tab/>
      </w:r>
      <w:r w:rsidRPr="00996FCB">
        <w:rPr>
          <w:rFonts w:cstheme="minorHAnsi"/>
        </w:rPr>
        <w:tab/>
      </w:r>
      <w:r w:rsidRPr="00996FCB">
        <w:rPr>
          <w:rFonts w:cstheme="minorHAnsi"/>
        </w:rPr>
        <w:tab/>
      </w:r>
      <w:r w:rsidRPr="00996FCB">
        <w:rPr>
          <w:rFonts w:cstheme="minorHAnsi"/>
        </w:rPr>
        <w:tab/>
      </w:r>
      <w:r w:rsidRPr="00996FCB">
        <w:rPr>
          <w:rFonts w:cstheme="minorHAnsi"/>
        </w:rPr>
        <w:tab/>
      </w:r>
      <w:r w:rsidRPr="00996FCB">
        <w:rPr>
          <w:rFonts w:cstheme="minorHAnsi"/>
        </w:rPr>
        <w:tab/>
        <w:t xml:space="preserve">Datum: </w:t>
      </w:r>
    </w:p>
    <w:p w14:paraId="7920D36F" w14:textId="70A03503" w:rsidR="00E17FD3" w:rsidRPr="00996FCB" w:rsidRDefault="00FA0AB0" w:rsidP="00FA0AB0">
      <w:pPr>
        <w:rPr>
          <w:rFonts w:cstheme="minorHAnsi"/>
          <w:lang w:val="nl-NL"/>
        </w:rPr>
      </w:pPr>
      <w:r w:rsidRPr="00996FCB">
        <w:rPr>
          <w:rFonts w:cstheme="minorHAnsi"/>
        </w:rPr>
        <w:t>Handtekening:</w:t>
      </w:r>
      <w:r w:rsidRPr="00996FCB">
        <w:rPr>
          <w:rFonts w:cstheme="minorHAnsi"/>
        </w:rPr>
        <w:tab/>
      </w:r>
      <w:r w:rsidRPr="00996FCB">
        <w:rPr>
          <w:rFonts w:cstheme="minorHAnsi"/>
        </w:rPr>
        <w:tab/>
      </w:r>
      <w:r w:rsidRPr="00996FCB">
        <w:rPr>
          <w:rFonts w:cstheme="minorHAnsi"/>
        </w:rPr>
        <w:tab/>
      </w:r>
      <w:r w:rsidRPr="00996FCB">
        <w:rPr>
          <w:rFonts w:cstheme="minorHAnsi"/>
        </w:rPr>
        <w:tab/>
      </w:r>
      <w:r w:rsidRPr="00996FCB">
        <w:rPr>
          <w:rFonts w:cstheme="minorHAnsi"/>
        </w:rPr>
        <w:tab/>
      </w:r>
      <w:r w:rsidRPr="00996FCB">
        <w:rPr>
          <w:rFonts w:cstheme="minorHAnsi"/>
        </w:rPr>
        <w:tab/>
        <w:t>Handtekening</w:t>
      </w:r>
    </w:p>
    <w:sectPr w:rsidR="00E17FD3" w:rsidRPr="00996FCB">
      <w:footerReference w:type="even" r:id="rId10"/>
      <w:footerReference w:type="default" r:id="rId11"/>
      <w:footerReference w:type="first" r:id="rId12"/>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CA7E" w14:textId="77777777" w:rsidR="000C7E7B" w:rsidRDefault="000C7E7B">
      <w:pPr>
        <w:spacing w:line="240" w:lineRule="auto"/>
      </w:pPr>
      <w:r>
        <w:separator/>
      </w:r>
    </w:p>
  </w:endnote>
  <w:endnote w:type="continuationSeparator" w:id="0">
    <w:p w14:paraId="3C0BA894" w14:textId="77777777" w:rsidR="000C7E7B" w:rsidRDefault="000C7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D377" w14:textId="77777777" w:rsidR="00E17FD3" w:rsidRDefault="00E17F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D378" w14:textId="77777777" w:rsidR="00E17FD3" w:rsidRDefault="00000000">
    <w:pPr>
      <w:pStyle w:val="Voettekst"/>
      <w:tabs>
        <w:tab w:val="clear" w:pos="9026"/>
        <w:tab w:val="right" w:pos="9020"/>
      </w:tabs>
    </w:pPr>
    <w:r>
      <w:tab/>
    </w:r>
    <w:r>
      <w:tab/>
      <w:t>Pag</w:t>
    </w:r>
    <w:r>
      <w:rPr>
        <w:lang w:val="nl-NL"/>
      </w:rPr>
      <w:t>ina</w:t>
    </w:r>
    <w:r>
      <w:t xml:space="preserve"> </w:t>
    </w:r>
    <w:r>
      <w:fldChar w:fldCharType="begin"/>
    </w:r>
    <w:r>
      <w:instrText xml:space="preserve"> PAGE \* ARABIC </w:instrText>
    </w:r>
    <w:r>
      <w:fldChar w:fldCharType="separate"/>
    </w:r>
    <w:r>
      <w:t>8</w:t>
    </w:r>
    <w:r>
      <w:fldChar w:fldCharType="end"/>
    </w:r>
    <w:r>
      <w:t xml:space="preserve"> </w:t>
    </w:r>
    <w:r>
      <w:rPr>
        <w:lang w:val="nl-NL"/>
      </w:rPr>
      <w:t>van</w:t>
    </w:r>
    <w:r>
      <w:t xml:space="preserve"> </w:t>
    </w:r>
    <w:r>
      <w:fldChar w:fldCharType="begin"/>
    </w:r>
    <w:r>
      <w:instrText xml:space="preserve"> NUMPAGES \* ARABIC </w:instrText>
    </w:r>
    <w:r>
      <w:fldChar w:fldCharType="separate"/>
    </w:r>
    <w: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D379" w14:textId="77777777" w:rsidR="00E17FD3" w:rsidRDefault="00000000">
    <w:pPr>
      <w:pStyle w:val="Voettekst"/>
      <w:tabs>
        <w:tab w:val="clear" w:pos="9026"/>
        <w:tab w:val="right" w:pos="9020"/>
      </w:tabs>
    </w:pPr>
    <w:r>
      <w:tab/>
    </w:r>
    <w:r>
      <w:tab/>
      <w:t>Pag</w:t>
    </w:r>
    <w:r>
      <w:rPr>
        <w:lang w:val="nl-NL"/>
      </w:rPr>
      <w:t>ina</w:t>
    </w:r>
    <w:r>
      <w:t xml:space="preserve"> </w:t>
    </w:r>
    <w:r>
      <w:fldChar w:fldCharType="begin"/>
    </w:r>
    <w:r>
      <w:instrText xml:space="preserve"> PAGE \* ARABIC </w:instrText>
    </w:r>
    <w:r>
      <w:fldChar w:fldCharType="separate"/>
    </w:r>
    <w:r>
      <w:t>8</w:t>
    </w:r>
    <w:r>
      <w:fldChar w:fldCharType="end"/>
    </w:r>
    <w:r>
      <w:t xml:space="preserve"> </w:t>
    </w:r>
    <w:r>
      <w:rPr>
        <w:lang w:val="nl-NL"/>
      </w:rPr>
      <w:t>van</w:t>
    </w:r>
    <w:r>
      <w:t xml:space="preserve"> </w:t>
    </w:r>
    <w:r>
      <w:fldChar w:fldCharType="begin"/>
    </w:r>
    <w:r>
      <w:instrText xml:space="preserve"> NUMPAGES \* ARABIC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12CC" w14:textId="77777777" w:rsidR="000C7E7B" w:rsidRDefault="000C7E7B">
      <w:pPr>
        <w:spacing w:line="240" w:lineRule="auto"/>
      </w:pPr>
      <w:r>
        <w:separator/>
      </w:r>
    </w:p>
  </w:footnote>
  <w:footnote w:type="continuationSeparator" w:id="0">
    <w:p w14:paraId="4BE39D2B" w14:textId="77777777" w:rsidR="000C7E7B" w:rsidRDefault="000C7E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648B4"/>
    <w:multiLevelType w:val="multilevel"/>
    <w:tmpl w:val="E45E7168"/>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6771089"/>
    <w:multiLevelType w:val="multilevel"/>
    <w:tmpl w:val="1204887A"/>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616533C3"/>
    <w:multiLevelType w:val="multilevel"/>
    <w:tmpl w:val="F7FC0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1F24047"/>
    <w:multiLevelType w:val="multilevel"/>
    <w:tmpl w:val="3AE000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C01351B"/>
    <w:multiLevelType w:val="hybridMultilevel"/>
    <w:tmpl w:val="056677B6"/>
    <w:lvl w:ilvl="0" w:tplc="36643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ABC4CB5"/>
    <w:multiLevelType w:val="multilevel"/>
    <w:tmpl w:val="08CA7A90"/>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B4B49E8"/>
    <w:multiLevelType w:val="hybridMultilevel"/>
    <w:tmpl w:val="04E28ED2"/>
    <w:lvl w:ilvl="0" w:tplc="20077843">
      <w:start w:val="1"/>
      <w:numFmt w:val="decimal"/>
      <w:lvlText w:val="%1."/>
      <w:lvlJc w:val="left"/>
      <w:pPr>
        <w:ind w:left="720" w:hanging="360"/>
      </w:pPr>
    </w:lvl>
    <w:lvl w:ilvl="1" w:tplc="20077843" w:tentative="1">
      <w:start w:val="1"/>
      <w:numFmt w:val="lowerLetter"/>
      <w:lvlText w:val="%2."/>
      <w:lvlJc w:val="left"/>
      <w:pPr>
        <w:ind w:left="1440" w:hanging="360"/>
      </w:pPr>
    </w:lvl>
    <w:lvl w:ilvl="2" w:tplc="20077843" w:tentative="1">
      <w:start w:val="1"/>
      <w:numFmt w:val="lowerRoman"/>
      <w:lvlText w:val="%3."/>
      <w:lvlJc w:val="right"/>
      <w:pPr>
        <w:ind w:left="2160" w:hanging="180"/>
      </w:pPr>
    </w:lvl>
    <w:lvl w:ilvl="3" w:tplc="20077843" w:tentative="1">
      <w:start w:val="1"/>
      <w:numFmt w:val="decimal"/>
      <w:lvlText w:val="%4."/>
      <w:lvlJc w:val="left"/>
      <w:pPr>
        <w:ind w:left="2880" w:hanging="360"/>
      </w:pPr>
    </w:lvl>
    <w:lvl w:ilvl="4" w:tplc="20077843" w:tentative="1">
      <w:start w:val="1"/>
      <w:numFmt w:val="lowerLetter"/>
      <w:lvlText w:val="%5."/>
      <w:lvlJc w:val="left"/>
      <w:pPr>
        <w:ind w:left="3600" w:hanging="360"/>
      </w:pPr>
    </w:lvl>
    <w:lvl w:ilvl="5" w:tplc="20077843" w:tentative="1">
      <w:start w:val="1"/>
      <w:numFmt w:val="lowerRoman"/>
      <w:lvlText w:val="%6."/>
      <w:lvlJc w:val="right"/>
      <w:pPr>
        <w:ind w:left="4320" w:hanging="180"/>
      </w:pPr>
    </w:lvl>
    <w:lvl w:ilvl="6" w:tplc="20077843" w:tentative="1">
      <w:start w:val="1"/>
      <w:numFmt w:val="decimal"/>
      <w:lvlText w:val="%7."/>
      <w:lvlJc w:val="left"/>
      <w:pPr>
        <w:ind w:left="5040" w:hanging="360"/>
      </w:pPr>
    </w:lvl>
    <w:lvl w:ilvl="7" w:tplc="20077843" w:tentative="1">
      <w:start w:val="1"/>
      <w:numFmt w:val="lowerLetter"/>
      <w:lvlText w:val="%8."/>
      <w:lvlJc w:val="left"/>
      <w:pPr>
        <w:ind w:left="5760" w:hanging="360"/>
      </w:pPr>
    </w:lvl>
    <w:lvl w:ilvl="8" w:tplc="20077843" w:tentative="1">
      <w:start w:val="1"/>
      <w:numFmt w:val="lowerRoman"/>
      <w:lvlText w:val="%9."/>
      <w:lvlJc w:val="right"/>
      <w:pPr>
        <w:ind w:left="6480" w:hanging="180"/>
      </w:pPr>
    </w:lvl>
  </w:abstractNum>
  <w:num w:numId="1" w16cid:durableId="1743599151">
    <w:abstractNumId w:val="1"/>
  </w:num>
  <w:num w:numId="2" w16cid:durableId="940182190">
    <w:abstractNumId w:val="0"/>
  </w:num>
  <w:num w:numId="3" w16cid:durableId="1079331498">
    <w:abstractNumId w:val="5"/>
  </w:num>
  <w:num w:numId="4" w16cid:durableId="400442488">
    <w:abstractNumId w:val="3"/>
  </w:num>
  <w:num w:numId="5" w16cid:durableId="958073850">
    <w:abstractNumId w:val="2"/>
  </w:num>
  <w:num w:numId="6" w16cid:durableId="1183084068">
    <w:abstractNumId w:val="4"/>
  </w:num>
  <w:num w:numId="7" w16cid:durableId="1373264701">
    <w:abstractNumId w:val="6"/>
  </w:num>
  <w:num w:numId="8" w16cid:durableId="597762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144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D3"/>
    <w:rsid w:val="000C7E7B"/>
    <w:rsid w:val="002778E4"/>
    <w:rsid w:val="00373D63"/>
    <w:rsid w:val="003F33A0"/>
    <w:rsid w:val="006B44FE"/>
    <w:rsid w:val="00754A84"/>
    <w:rsid w:val="007E7930"/>
    <w:rsid w:val="00832097"/>
    <w:rsid w:val="008F2833"/>
    <w:rsid w:val="00902A4C"/>
    <w:rsid w:val="00934C32"/>
    <w:rsid w:val="00996FCB"/>
    <w:rsid w:val="00A22E70"/>
    <w:rsid w:val="00A30977"/>
    <w:rsid w:val="00A83E61"/>
    <w:rsid w:val="00AA5FFA"/>
    <w:rsid w:val="00C60C69"/>
    <w:rsid w:val="00CE2E7F"/>
    <w:rsid w:val="00E17FD3"/>
    <w:rsid w:val="00EF5711"/>
    <w:rsid w:val="00EF5A88"/>
    <w:rsid w:val="00F07B82"/>
    <w:rsid w:val="00FA0AB0"/>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D307"/>
  <w15:docId w15:val="{41CBAA7D-3272-46F1-9C12-2BFE5AB2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lang w:val="nl-NL"/>
    </w:rPr>
  </w:style>
  <w:style w:type="character" w:customStyle="1" w:styleId="ArticleLevel2Char">
    <w:name w:val="Article Level 2 Char"/>
    <w:basedOn w:val="Standaardalinea-lettertype"/>
    <w:link w:val="ArticleLevel2"/>
    <w:qFormat/>
    <w:rsid w:val="00341C1E"/>
    <w:rPr>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lang w:val="nl-NL"/>
    </w:rPr>
  </w:style>
  <w:style w:type="paragraph" w:customStyle="1" w:styleId="ArticleLevel2">
    <w:name w:val="Article Level 2"/>
    <w:basedOn w:val="Standaard"/>
    <w:link w:val="ArticleLevel2Char"/>
    <w:qFormat/>
    <w:rsid w:val="00341C1E"/>
    <w:pPr>
      <w:numPr>
        <w:ilvl w:val="1"/>
        <w:numId w:val="1"/>
      </w:numPr>
      <w:ind w:left="1418" w:hanging="1418"/>
    </w:pPr>
    <w:rPr>
      <w:lang w:val="nl-NL"/>
    </w:r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rPr>
      <w:lang w:val="nl-NL"/>
    </w:rPr>
  </w:style>
  <w:style w:type="paragraph" w:customStyle="1" w:styleId="ArticleLevel4">
    <w:name w:val="Article Level 4"/>
    <w:basedOn w:val="Standaard"/>
    <w:qFormat/>
    <w:rsid w:val="009818D2"/>
    <w:pPr>
      <w:numPr>
        <w:ilvl w:val="3"/>
        <w:numId w:val="1"/>
      </w:numPr>
      <w:ind w:left="1418" w:hanging="1418"/>
    </w:pPr>
    <w:rPr>
      <w:lang w:val="nl-NL"/>
    </w:rPr>
  </w:style>
  <w:style w:type="paragraph" w:customStyle="1" w:styleId="ArticleLevel5">
    <w:name w:val="Article Level 5"/>
    <w:basedOn w:val="Standaard"/>
    <w:qFormat/>
    <w:rsid w:val="009818D2"/>
    <w:pPr>
      <w:numPr>
        <w:ilvl w:val="4"/>
        <w:numId w:val="1"/>
      </w:numPr>
      <w:ind w:left="1843" w:hanging="425"/>
    </w:pPr>
    <w:rPr>
      <w:lang w:val="nl-NL"/>
    </w:rPr>
  </w:style>
  <w:style w:type="paragraph" w:customStyle="1" w:styleId="ArticleLevel6">
    <w:name w:val="Article Level 6"/>
    <w:basedOn w:val="Standaard"/>
    <w:qFormat/>
    <w:rsid w:val="00380DE6"/>
    <w:pPr>
      <w:numPr>
        <w:ilvl w:val="5"/>
        <w:numId w:val="1"/>
      </w:numPr>
      <w:tabs>
        <w:tab w:val="left" w:pos="851"/>
      </w:tabs>
      <w:ind w:left="1843" w:hanging="425"/>
    </w:pPr>
    <w:rPr>
      <w:lang w:val="nl-NL"/>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rPr>
      <w:lang w:val="nl-NL"/>
    </w:r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0">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0">
    <w:name w:val="footnote Text PHPDOCX"/>
    <w:basedOn w:val="Standaard"/>
    <w:uiPriority w:val="99"/>
    <w:semiHidden/>
    <w:unhideWhenUsed/>
    <w:qFormat/>
    <w:rsid w:val="006E0FDA"/>
    <w:pPr>
      <w:spacing w:line="240" w:lineRule="auto"/>
    </w:pPr>
    <w:rPr>
      <w:sz w:val="20"/>
      <w:szCs w:val="20"/>
    </w:rPr>
  </w:style>
  <w:style w:type="paragraph" w:customStyle="1" w:styleId="endnoteTextPHPDOCX0">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67622e-00e8-44e3-8ec3-3630235fb44a">
      <Terms xmlns="http://schemas.microsoft.com/office/infopath/2007/PartnerControls"/>
    </lcf76f155ced4ddcb4097134ff3c332f>
    <TaxCatchAll xmlns="bf34c93b-7d99-4e52-9779-ad132d4fe8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F2E015108DD48B2A3A8BB66C4FD88" ma:contentTypeVersion="10" ma:contentTypeDescription="Create a new document." ma:contentTypeScope="" ma:versionID="45123921e31c67366ce322b775b5fa0b">
  <xsd:schema xmlns:xsd="http://www.w3.org/2001/XMLSchema" xmlns:xs="http://www.w3.org/2001/XMLSchema" xmlns:p="http://schemas.microsoft.com/office/2006/metadata/properties" xmlns:ns2="8467622e-00e8-44e3-8ec3-3630235fb44a" xmlns:ns3="bf34c93b-7d99-4e52-9779-ad132d4fe894" targetNamespace="http://schemas.microsoft.com/office/2006/metadata/properties" ma:root="true" ma:fieldsID="565f10d680b0350a523b4fb95e8c4cc7" ns2:_="" ns3:_="">
    <xsd:import namespace="8467622e-00e8-44e3-8ec3-3630235fb44a"/>
    <xsd:import namespace="bf34c93b-7d99-4e52-9779-ad132d4fe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7622e-00e8-44e3-8ec3-3630235fb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34c93b-7d99-4e52-9779-ad132d4fe8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b8cc51-84d9-44dc-a5e6-d73b6ffefc5b}" ma:internalName="TaxCatchAll" ma:showField="CatchAllData" ma:web="bf34c93b-7d99-4e52-9779-ad132d4fe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06342-964C-4F57-A2CB-3A628B0FB51D}">
  <ds:schemaRefs>
    <ds:schemaRef ds:uri="http://schemas.microsoft.com/office/2006/metadata/properties"/>
    <ds:schemaRef ds:uri="http://schemas.microsoft.com/office/infopath/2007/PartnerControls"/>
    <ds:schemaRef ds:uri="8467622e-00e8-44e3-8ec3-3630235fb44a"/>
    <ds:schemaRef ds:uri="bf34c93b-7d99-4e52-9779-ad132d4fe894"/>
  </ds:schemaRefs>
</ds:datastoreItem>
</file>

<file path=customXml/itemProps2.xml><?xml version="1.0" encoding="utf-8"?>
<ds:datastoreItem xmlns:ds="http://schemas.openxmlformats.org/officeDocument/2006/customXml" ds:itemID="{9D121901-685E-4C4F-9AE1-654B4D732870}">
  <ds:schemaRefs>
    <ds:schemaRef ds:uri="http://schemas.microsoft.com/sharepoint/v3/contenttype/forms"/>
  </ds:schemaRefs>
</ds:datastoreItem>
</file>

<file path=customXml/itemProps3.xml><?xml version="1.0" encoding="utf-8"?>
<ds:datastoreItem xmlns:ds="http://schemas.openxmlformats.org/officeDocument/2006/customXml" ds:itemID="{9A21B141-B0D9-43BD-9043-A768F9F4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7622e-00e8-44e3-8ec3-3630235fb44a"/>
    <ds:schemaRef ds:uri="bf34c93b-7d99-4e52-9779-ad132d4fe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1512</Words>
  <Characters>8322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Concept Overeenkomst Software Analyse Tool VLOG</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Software Analyse Tool VLOG</dc:title>
  <dc:subject/>
  <dc:creator>Michael Janssen</dc:creator>
  <dc:description/>
  <cp:lastModifiedBy>Janssen, Michael</cp:lastModifiedBy>
  <cp:revision>27</cp:revision>
  <dcterms:created xsi:type="dcterms:W3CDTF">2020-09-07T08:54:00Z</dcterms:created>
  <dcterms:modified xsi:type="dcterms:W3CDTF">2026-03-26T10:14:00Z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0x010100AD2F2E015108DD48B2A3A8BB66C4FD88</vt:lpwstr>
  </property>
  <property fmtid="{D5CDD505-2E9C-101B-9397-08002B2CF9AE}" pid="3" name="MSIP_Label_809b38bc-0ed8-48ce-ab09-5250aa17f0d6_Enabled">
    <vt:lpwstr>true</vt:lpwstr>
  </property>
  <property fmtid="{D5CDD505-2E9C-101B-9397-08002B2CF9AE}" pid="4" name="MSIP_Label_809b38bc-0ed8-48ce-ab09-5250aa17f0d6_SetDate">
    <vt:lpwstr>2026-03-26T09:53:47Z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9f472517-bb21-44a3-b328-be3359d9bbdc</vt:lpwstr>
  </property>
  <property fmtid="{D5CDD505-2E9C-101B-9397-08002B2CF9AE}" pid="9" name="MSIP_Label_809b38bc-0ed8-48ce-ab09-5250aa17f0d6_ContentBits">
    <vt:lpwstr>0</vt:lpwstr>
  </property>
  <property fmtid="{D5CDD505-2E9C-101B-9397-08002B2CF9AE}" pid="10" name="MSIP_Label_809b38bc-0ed8-48ce-ab09-5250aa17f0d6_Tag">
    <vt:lpwstr>10, 3, 0, 1</vt:lpwstr>
  </property>
  <property fmtid="{D5CDD505-2E9C-101B-9397-08002B2CF9AE}" pid="11" name="MediaServiceImageTags">
    <vt:lpwstr/>
  </property>
</Properties>
</file>