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</w:t>
      </w:r>
      <w:proofErr w:type="spellEnd"/>
      <w:r w:rsidR="009B7A73" w:rsidRPr="00DA68C3">
        <w:rPr>
          <w:szCs w:val="22"/>
        </w:rPr>
        <w:t>.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1F9A1A59" w:rsidR="001C23E4" w:rsidRPr="00DA68C3" w:rsidRDefault="005B0A0A">
            <w:pPr>
              <w:rPr>
                <w:b/>
                <w:bCs/>
                <w:szCs w:val="22"/>
              </w:rPr>
            </w:pPr>
            <w:r w:rsidRPr="005B0A0A">
              <w:rPr>
                <w:b/>
                <w:bCs/>
                <w:szCs w:val="22"/>
              </w:rPr>
              <w:t xml:space="preserve">TN 570399 Levering schouderprothesen (fractuur reverse en </w:t>
            </w:r>
            <w:proofErr w:type="spellStart"/>
            <w:r w:rsidRPr="005B0A0A">
              <w:rPr>
                <w:b/>
                <w:bCs/>
                <w:szCs w:val="22"/>
              </w:rPr>
              <w:t>hemi</w:t>
            </w:r>
            <w:proofErr w:type="spellEnd"/>
            <w:r w:rsidRPr="005B0A0A">
              <w:rPr>
                <w:b/>
                <w:bCs/>
                <w:szCs w:val="22"/>
              </w:rPr>
              <w:t>) incl. instrumentarium en ondersteuning</w:t>
            </w:r>
            <w:bookmarkStart w:id="1" w:name="_GoBack"/>
            <w:bookmarkEnd w:id="1"/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4E3E954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5B0A0A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5B0A0A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B0A0A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2026-04-01T12:22:00Z</dcterms:modified>
  <cp:contentStatus/>
</cp:coreProperties>
</file>