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3134" w14:textId="55F3743F" w:rsidR="00223320" w:rsidRPr="002848A5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9075A4">
        <w:rPr>
          <w:rFonts w:ascii="Aptos" w:eastAsia="Times New Roman" w:hAnsi="Aptos" w:cstheme="minorHAnsi"/>
          <w:b/>
          <w:bCs/>
          <w:lang w:eastAsia="nl-NL"/>
        </w:rPr>
        <w:t>3</w:t>
      </w: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2848A5">
        <w:rPr>
          <w:rFonts w:ascii="Aptos" w:eastAsia="Times New Roman" w:hAnsi="Aptos" w:cstheme="minorHAnsi"/>
          <w:b/>
          <w:bCs/>
          <w:lang w:eastAsia="nl-NL"/>
        </w:rPr>
        <w:tab/>
      </w:r>
      <w:r w:rsidR="00223320" w:rsidRPr="002848A5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223320" w:rsidRPr="002848A5">
        <w:rPr>
          <w:rFonts w:ascii="Aptos" w:eastAsia="Times New Roman" w:hAnsi="Aptos" w:cstheme="minorHAnsi"/>
          <w:lang w:eastAsia="nl-NL"/>
        </w:rPr>
        <w:t> </w:t>
      </w:r>
      <w:r w:rsidR="00E82028" w:rsidRPr="002848A5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94C" w14:textId="42FA5788" w:rsidR="00003FB3" w:rsidRDefault="00726A13">
    <w:pPr>
      <w:pStyle w:val="Voettekst"/>
    </w:pPr>
    <w:fldSimple w:instr=" FILENAME   \* MERGEFORMAT ">
      <w:r w:rsidR="00003FB3">
        <w:rPr>
          <w:noProof/>
        </w:rPr>
        <w:t xml:space="preserve">Bijlage </w:t>
      </w:r>
      <w:r>
        <w:rPr>
          <w:noProof/>
        </w:rPr>
        <w:t>2</w:t>
      </w:r>
      <w:r w:rsidR="00003FB3">
        <w:rPr>
          <w:noProof/>
        </w:rPr>
        <w:t xml:space="preserve"> - Conformiteitenlijst</w:t>
      </w:r>
    </w:fldSimple>
    <w:r w:rsidR="00003FB3">
      <w:tab/>
    </w:r>
    <w:r w:rsidR="00003FB3">
      <w:tab/>
      <w:t xml:space="preserve">blad </w:t>
    </w:r>
    <w:r w:rsidR="00003FB3">
      <w:fldChar w:fldCharType="begin"/>
    </w:r>
    <w:r w:rsidR="00003FB3">
      <w:instrText xml:space="preserve"> PAGE   \* MERGEFORMAT </w:instrText>
    </w:r>
    <w:r w:rsidR="00003FB3">
      <w:fldChar w:fldCharType="separate"/>
    </w:r>
    <w:r w:rsidR="00003FB3">
      <w:rPr>
        <w:noProof/>
      </w:rPr>
      <w:t>1</w:t>
    </w:r>
    <w:r w:rsidR="00003FB3">
      <w:fldChar w:fldCharType="end"/>
    </w:r>
    <w:r w:rsidR="00003FB3">
      <w:t xml:space="preserve"> van </w:t>
    </w:r>
    <w:fldSimple w:instr=" NUMPAGES   \* MERGEFORMAT ">
      <w:r w:rsidR="00003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848A5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26A13"/>
    <w:rsid w:val="00735D50"/>
    <w:rsid w:val="00747C77"/>
    <w:rsid w:val="00783116"/>
    <w:rsid w:val="007938CC"/>
    <w:rsid w:val="007D40B3"/>
    <w:rsid w:val="007F5A16"/>
    <w:rsid w:val="00814D5F"/>
    <w:rsid w:val="008D242C"/>
    <w:rsid w:val="009075A4"/>
    <w:rsid w:val="0091779C"/>
    <w:rsid w:val="0095216D"/>
    <w:rsid w:val="00952D85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6E7F4B"/>
    <w:rsid w:val="0091779C"/>
    <w:rsid w:val="00952D85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9440501B0F044B2E9ECF2C5F90CE9" ma:contentTypeVersion="7" ma:contentTypeDescription="Een nieuw document maken." ma:contentTypeScope="" ma:versionID="48133a56ad7900018a50305486abd351">
  <xsd:schema xmlns:xsd="http://www.w3.org/2001/XMLSchema" xmlns:xs="http://www.w3.org/2001/XMLSchema" xmlns:p="http://schemas.microsoft.com/office/2006/metadata/properties" xmlns:ns2="a6717c1e-7d45-4617-86a1-3d83b92e5938" targetNamespace="http://schemas.microsoft.com/office/2006/metadata/properties" ma:root="true" ma:fieldsID="ea4ab98a21fe6256e691b98cdd2c4e34" ns2:_="">
    <xsd:import namespace="a6717c1e-7d45-4617-86a1-3d83b92e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17c1e-7d45-4617-86a1-3d83b92e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2D5F8-F3A3-4571-BCA4-CA143F0D32CB}"/>
</file>

<file path=customXml/itemProps3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Abdi, S. (Smail)</cp:lastModifiedBy>
  <cp:revision>31</cp:revision>
  <dcterms:created xsi:type="dcterms:W3CDTF">2022-07-01T06:37:00Z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0x010100B9C9440501B0F044B2E9ECF2C5F90CE9</vt:lpwstr>
  </property>
  <property fmtid="{D5CDD505-2E9C-101B-9397-08002B2CF9AE}" pid="3" name="MediaServiceImageTags">
    <vt:lpwstr/>
  </property>
</Properties>
</file>