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9DF4" w14:textId="419C9C8D" w:rsidR="00B80347" w:rsidRPr="005C53EA" w:rsidRDefault="000240B5" w:rsidP="00CB24EF">
      <w:pPr>
        <w:pStyle w:val="Ondertitel"/>
        <w:rPr>
          <w:rFonts w:ascii="Verdana" w:hAnsi="Verdana"/>
          <w:b w:val="0"/>
          <w:bCs/>
          <w:i w:val="0"/>
          <w:iCs/>
        </w:rPr>
      </w:pPr>
      <w:r w:rsidRPr="00222306">
        <w:rPr>
          <w:noProof/>
        </w:rPr>
        <mc:AlternateContent>
          <mc:Choice Requires="wps">
            <w:drawing>
              <wp:anchor distT="0" distB="0" distL="114300" distR="114300" simplePos="0" relativeHeight="251664384" behindDoc="0" locked="0" layoutInCell="1" allowOverlap="1" wp14:anchorId="1F353F04" wp14:editId="707A9046">
                <wp:simplePos x="0" y="0"/>
                <wp:positionH relativeFrom="column">
                  <wp:posOffset>-392430</wp:posOffset>
                </wp:positionH>
                <wp:positionV relativeFrom="paragraph">
                  <wp:posOffset>-716280</wp:posOffset>
                </wp:positionV>
                <wp:extent cx="609600" cy="1360170"/>
                <wp:effectExtent l="0" t="0" r="0" b="0"/>
                <wp:wrapNone/>
                <wp:docPr id="9" name="Tekstvak 9"/>
                <wp:cNvGraphicFramePr/>
                <a:graphic xmlns:a="http://schemas.openxmlformats.org/drawingml/2006/main">
                  <a:graphicData uri="http://schemas.microsoft.com/office/word/2010/wordprocessingShape">
                    <wps:wsp>
                      <wps:cNvSpPr txBox="1"/>
                      <wps:spPr>
                        <a:xfrm>
                          <a:off x="0" y="0"/>
                          <a:ext cx="609600" cy="1360170"/>
                        </a:xfrm>
                        <a:prstGeom prst="rect">
                          <a:avLst/>
                        </a:prstGeom>
                        <a:noFill/>
                        <a:ln w="6350">
                          <a:noFill/>
                        </a:ln>
                      </wps:spPr>
                      <wps:txbx>
                        <w:txbxContent>
                          <w:p w14:paraId="67562EC9" w14:textId="320B200E" w:rsidR="00B8619A" w:rsidRDefault="00B8619A" w:rsidP="005C53EA">
                            <w:pPr>
                              <w:pStyle w:val="Basisalinea"/>
                              <w:spacing w:line="240" w:lineRule="auto"/>
                              <w:rPr>
                                <w:rFonts w:ascii="Corbel" w:hAnsi="Corbel" w:cs="Corbel"/>
                                <w:b/>
                                <w:bCs/>
                                <w:color w:val="00355F"/>
                                <w:spacing w:val="-10"/>
                                <w:sz w:val="52"/>
                                <w:szCs w:val="52"/>
                                <w:lang w:val="nl-NL"/>
                              </w:rPr>
                            </w:pPr>
                          </w:p>
                          <w:p w14:paraId="18A68874" w14:textId="77777777" w:rsidR="005C53EA" w:rsidRPr="000240B5" w:rsidRDefault="005C53EA" w:rsidP="005C53EA">
                            <w:pPr>
                              <w:pStyle w:val="Basisalinea"/>
                              <w:spacing w:line="240" w:lineRule="auto"/>
                              <w:rPr>
                                <w:rFonts w:ascii="Corbel" w:hAnsi="Corbel" w:cs="Corbel"/>
                                <w:b/>
                                <w:bCs/>
                                <w:color w:val="00355F"/>
                                <w:spacing w:val="-10"/>
                                <w:sz w:val="52"/>
                                <w:szCs w:val="52"/>
                                <w:lang w:val="nl-NL"/>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3F04" id="_x0000_t202" coordsize="21600,21600" o:spt="202" path="m,l,21600r21600,l21600,xe">
                <v:stroke joinstyle="miter"/>
                <v:path gradientshapeok="t" o:connecttype="rect"/>
              </v:shapetype>
              <v:shape id="Tekstvak 9" o:spid="_x0000_s1026" type="#_x0000_t202" style="position:absolute;margin-left:-30.9pt;margin-top:-56.4pt;width:48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" filled="f" stroked="f" strokeweight=".5pt">
                <v:textbox style="layout-flow:vertical;mso-layout-flow-alt:bottom-to-top">
                  <w:txbxContent>
                    <w:p w14:paraId="67562EC9" w14:textId="320B200E" w:rsidR="00B8619A" w:rsidRDefault="00B8619A" w:rsidP="005C53EA">
                      <w:pPr>
                        <w:pStyle w:val="Basisalinea"/>
                        <w:spacing w:line="240" w:lineRule="auto"/>
                        <w:rPr>
                          <w:rFonts w:ascii="Corbel" w:hAnsi="Corbel" w:cs="Corbel"/>
                          <w:b/>
                          <w:bCs/>
                          <w:color w:val="00355F"/>
                          <w:spacing w:val="-10"/>
                          <w:sz w:val="52"/>
                          <w:szCs w:val="52"/>
                          <w:lang w:val="nl-NL"/>
                        </w:rPr>
                      </w:pPr>
                    </w:p>
                    <w:p w14:paraId="18A68874" w14:textId="77777777" w:rsidR="005C53EA" w:rsidRPr="000240B5" w:rsidRDefault="005C53EA" w:rsidP="005C53EA">
                      <w:pPr>
                        <w:pStyle w:val="Basisalinea"/>
                        <w:spacing w:line="240" w:lineRule="auto"/>
                        <w:rPr>
                          <w:rFonts w:ascii="Corbel" w:hAnsi="Corbel" w:cs="Corbel"/>
                          <w:b/>
                          <w:bCs/>
                          <w:color w:val="00355F"/>
                          <w:spacing w:val="-10"/>
                          <w:sz w:val="52"/>
                          <w:szCs w:val="52"/>
                          <w:lang w:val="nl-NL"/>
                        </w:rPr>
                      </w:pPr>
                    </w:p>
                  </w:txbxContent>
                </v:textbox>
              </v:shape>
            </w:pict>
          </mc:Fallback>
        </mc:AlternateContent>
      </w:r>
      <w:r w:rsidR="00B30718" w:rsidRPr="005C53EA">
        <w:rPr>
          <w:rFonts w:ascii="Verdana" w:hAnsi="Verdana"/>
          <w:b w:val="0"/>
          <w:bCs/>
          <w:i w:val="0"/>
          <w:iCs/>
        </w:rPr>
        <w:t>Leidraad Openbare aanbestedingsprocedure</w:t>
      </w:r>
    </w:p>
    <w:p w14:paraId="52B16D60" w14:textId="4A271A7E" w:rsidR="00FF065F" w:rsidRPr="00FF065F" w:rsidRDefault="678E9691" w:rsidP="00FF065F">
      <w:pPr>
        <w:pStyle w:val="Titel"/>
        <w:rPr>
          <w:b/>
          <w:bCs/>
        </w:rPr>
      </w:pPr>
      <w:bookmarkStart w:id="0" w:name="_Hlk212623013"/>
      <w:r w:rsidRPr="2D0FBD75">
        <w:rPr>
          <w:b/>
          <w:bCs/>
        </w:rPr>
        <w:t>Vervanging, beheer en</w:t>
      </w:r>
      <w:r w:rsidR="00A603CF" w:rsidRPr="2D0FBD75">
        <w:rPr>
          <w:b/>
          <w:bCs/>
        </w:rPr>
        <w:t xml:space="preserve"> onderhoud </w:t>
      </w:r>
      <w:r w:rsidR="38EAE8CD" w:rsidRPr="2D0FBD75">
        <w:rPr>
          <w:b/>
          <w:bCs/>
        </w:rPr>
        <w:t>D</w:t>
      </w:r>
      <w:r w:rsidR="00A603CF" w:rsidRPr="2D0FBD75">
        <w:rPr>
          <w:b/>
          <w:bCs/>
        </w:rPr>
        <w:t>RIS-display</w:t>
      </w:r>
      <w:r w:rsidR="00FF065F">
        <w:rPr>
          <w:b/>
          <w:bCs/>
        </w:rPr>
        <w:t>s</w:t>
      </w:r>
    </w:p>
    <w:bookmarkEnd w:id="0"/>
    <w:p w14:paraId="2235EDA7" w14:textId="6C68A133" w:rsidR="00613EC3" w:rsidRPr="00222306" w:rsidRDefault="00613EC3">
      <w:pPr>
        <w:spacing w:line="240" w:lineRule="auto"/>
        <w:rPr>
          <w:rFonts w:eastAsiaTheme="majorEastAsia" w:cstheme="majorBidi"/>
          <w:color w:val="00365F"/>
          <w:spacing w:val="-10"/>
          <w:kern w:val="28"/>
          <w:sz w:val="80"/>
          <w:szCs w:val="56"/>
        </w:rPr>
      </w:pPr>
      <w:r w:rsidRPr="00222306">
        <w:br w:type="page"/>
      </w:r>
    </w:p>
    <w:sdt>
      <w:sdtPr>
        <w:rPr>
          <w:rFonts w:ascii="Corbel" w:hAnsi="Corbel" w:cstheme="minorBidi"/>
          <w:noProof/>
          <w:color w:val="auto"/>
          <w:sz w:val="22"/>
          <w:szCs w:val="22"/>
          <w:lang w:val="nl-NL"/>
        </w:rPr>
        <w:id w:val="912971502"/>
        <w:docPartObj>
          <w:docPartGallery w:val="Table of Contents"/>
          <w:docPartUnique/>
        </w:docPartObj>
      </w:sdtPr>
      <w:sdtEndPr/>
      <w:sdtContent>
        <w:p w14:paraId="05AC309A" w14:textId="77777777" w:rsidR="00CB24EF" w:rsidRPr="00222306" w:rsidRDefault="00CB24EF" w:rsidP="005C47DB">
          <w:pPr>
            <w:pStyle w:val="Geenalineastijl"/>
            <w:suppressAutoHyphens/>
            <w:spacing w:after="600" w:line="360" w:lineRule="exact"/>
            <w:ind w:left="851" w:hanging="851"/>
            <w:rPr>
              <w:color w:val="00A585"/>
              <w:sz w:val="30"/>
              <w:szCs w:val="30"/>
              <w:lang w:val="nl-NL"/>
            </w:rPr>
          </w:pPr>
          <w:r w:rsidRPr="2D0FBD75">
            <w:rPr>
              <w:rFonts w:ascii="Corbel" w:hAnsi="Corbel" w:cs="Corbel"/>
              <w:color w:val="00355F"/>
              <w:sz w:val="60"/>
              <w:szCs w:val="60"/>
              <w:lang w:val="nl-NL"/>
            </w:rPr>
            <w:t>Inhoud</w:t>
          </w:r>
        </w:p>
        <w:p w14:paraId="2F99A495" w14:textId="3EDCE96B" w:rsidR="001B37C7" w:rsidRDefault="2D0FBD75">
          <w:pPr>
            <w:pStyle w:val="Inhopg1"/>
            <w:rPr>
              <w:rFonts w:asciiTheme="minorHAnsi" w:eastAsiaTheme="minorEastAsia" w:hAnsiTheme="minorHAnsi" w:cstheme="minorBidi"/>
              <w:b w:val="0"/>
              <w:bCs w:val="0"/>
              <w:iCs w:val="0"/>
              <w:noProof/>
              <w:color w:val="auto"/>
              <w:kern w:val="2"/>
              <w:sz w:val="24"/>
              <w:lang w:eastAsia="nl-NL"/>
              <w14:ligatures w14:val="standardContextual"/>
            </w:rPr>
          </w:pPr>
          <w:r>
            <w:fldChar w:fldCharType="begin"/>
          </w:r>
          <w:r w:rsidR="00E42795">
            <w:instrText>TOC \o "1-3" \z \u \h</w:instrText>
          </w:r>
          <w:r>
            <w:fldChar w:fldCharType="separate"/>
          </w:r>
          <w:hyperlink w:anchor="_Toc225942277" w:history="1">
            <w:r w:rsidR="001B37C7" w:rsidRPr="00E95256">
              <w:rPr>
                <w:rStyle w:val="Hyperlink"/>
                <w:noProof/>
              </w:rPr>
              <w:t>1</w:t>
            </w:r>
            <w:r w:rsidR="001B37C7">
              <w:rPr>
                <w:rFonts w:asciiTheme="minorHAnsi" w:eastAsiaTheme="minorEastAsia" w:hAnsiTheme="minorHAnsi" w:cstheme="minorBidi"/>
                <w:b w:val="0"/>
                <w:bCs w:val="0"/>
                <w:iCs w:val="0"/>
                <w:noProof/>
                <w:color w:val="auto"/>
                <w:kern w:val="2"/>
                <w:sz w:val="24"/>
                <w:lang w:eastAsia="nl-NL"/>
                <w14:ligatures w14:val="standardContextual"/>
              </w:rPr>
              <w:tab/>
            </w:r>
            <w:r w:rsidR="001B37C7" w:rsidRPr="00E95256">
              <w:rPr>
                <w:rStyle w:val="Hyperlink"/>
                <w:noProof/>
              </w:rPr>
              <w:t>Algemeen</w:t>
            </w:r>
            <w:r w:rsidR="001B37C7">
              <w:rPr>
                <w:noProof/>
                <w:webHidden/>
              </w:rPr>
              <w:tab/>
            </w:r>
            <w:r w:rsidR="001B37C7">
              <w:rPr>
                <w:noProof/>
                <w:webHidden/>
              </w:rPr>
              <w:fldChar w:fldCharType="begin"/>
            </w:r>
            <w:r w:rsidR="001B37C7">
              <w:rPr>
                <w:noProof/>
                <w:webHidden/>
              </w:rPr>
              <w:instrText xml:space="preserve"> PAGEREF _Toc225942277 \h </w:instrText>
            </w:r>
            <w:r w:rsidR="001B37C7">
              <w:rPr>
                <w:noProof/>
                <w:webHidden/>
              </w:rPr>
            </w:r>
            <w:r w:rsidR="001B37C7">
              <w:rPr>
                <w:noProof/>
                <w:webHidden/>
              </w:rPr>
              <w:fldChar w:fldCharType="separate"/>
            </w:r>
            <w:r w:rsidR="001B37C7">
              <w:rPr>
                <w:noProof/>
                <w:webHidden/>
              </w:rPr>
              <w:t>4</w:t>
            </w:r>
            <w:r w:rsidR="001B37C7">
              <w:rPr>
                <w:noProof/>
                <w:webHidden/>
              </w:rPr>
              <w:fldChar w:fldCharType="end"/>
            </w:r>
          </w:hyperlink>
        </w:p>
        <w:p w14:paraId="344BB66E" w14:textId="087C24DD"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78" w:history="1">
            <w:r w:rsidRPr="00E95256">
              <w:rPr>
                <w:rStyle w:val="Hyperlink"/>
                <w:noProof/>
              </w:rPr>
              <w:t>1.1</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Aard en omvang van de opdracht</w:t>
            </w:r>
            <w:r>
              <w:rPr>
                <w:noProof/>
                <w:webHidden/>
              </w:rPr>
              <w:tab/>
            </w:r>
            <w:r>
              <w:rPr>
                <w:noProof/>
                <w:webHidden/>
              </w:rPr>
              <w:fldChar w:fldCharType="begin"/>
            </w:r>
            <w:r>
              <w:rPr>
                <w:noProof/>
                <w:webHidden/>
              </w:rPr>
              <w:instrText xml:space="preserve"> PAGEREF _Toc225942278 \h </w:instrText>
            </w:r>
            <w:r>
              <w:rPr>
                <w:noProof/>
                <w:webHidden/>
              </w:rPr>
            </w:r>
            <w:r>
              <w:rPr>
                <w:noProof/>
                <w:webHidden/>
              </w:rPr>
              <w:fldChar w:fldCharType="separate"/>
            </w:r>
            <w:r>
              <w:rPr>
                <w:noProof/>
                <w:webHidden/>
              </w:rPr>
              <w:t>4</w:t>
            </w:r>
            <w:r>
              <w:rPr>
                <w:noProof/>
                <w:webHidden/>
              </w:rPr>
              <w:fldChar w:fldCharType="end"/>
            </w:r>
          </w:hyperlink>
        </w:p>
        <w:p w14:paraId="57A26CAE" w14:textId="72320EE8"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79" w:history="1">
            <w:r w:rsidRPr="00E95256">
              <w:rPr>
                <w:rStyle w:val="Hyperlink"/>
                <w:noProof/>
              </w:rPr>
              <w:t>1.2</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Implementatieovereenkomst</w:t>
            </w:r>
            <w:r>
              <w:rPr>
                <w:noProof/>
                <w:webHidden/>
              </w:rPr>
              <w:tab/>
            </w:r>
            <w:r>
              <w:rPr>
                <w:noProof/>
                <w:webHidden/>
              </w:rPr>
              <w:fldChar w:fldCharType="begin"/>
            </w:r>
            <w:r>
              <w:rPr>
                <w:noProof/>
                <w:webHidden/>
              </w:rPr>
              <w:instrText xml:space="preserve"> PAGEREF _Toc225942279 \h </w:instrText>
            </w:r>
            <w:r>
              <w:rPr>
                <w:noProof/>
                <w:webHidden/>
              </w:rPr>
            </w:r>
            <w:r>
              <w:rPr>
                <w:noProof/>
                <w:webHidden/>
              </w:rPr>
              <w:fldChar w:fldCharType="separate"/>
            </w:r>
            <w:r>
              <w:rPr>
                <w:noProof/>
                <w:webHidden/>
              </w:rPr>
              <w:t>6</w:t>
            </w:r>
            <w:r>
              <w:rPr>
                <w:noProof/>
                <w:webHidden/>
              </w:rPr>
              <w:fldChar w:fldCharType="end"/>
            </w:r>
          </w:hyperlink>
        </w:p>
        <w:p w14:paraId="0D303D6F" w14:textId="22CA1212"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0" w:history="1">
            <w:r w:rsidRPr="00E95256">
              <w:rPr>
                <w:rStyle w:val="Hyperlink"/>
                <w:noProof/>
              </w:rPr>
              <w:t>1.3</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Wachtkamerovereenkomst</w:t>
            </w:r>
            <w:r>
              <w:rPr>
                <w:noProof/>
                <w:webHidden/>
              </w:rPr>
              <w:tab/>
            </w:r>
            <w:r>
              <w:rPr>
                <w:noProof/>
                <w:webHidden/>
              </w:rPr>
              <w:fldChar w:fldCharType="begin"/>
            </w:r>
            <w:r>
              <w:rPr>
                <w:noProof/>
                <w:webHidden/>
              </w:rPr>
              <w:instrText xml:space="preserve"> PAGEREF _Toc225942280 \h </w:instrText>
            </w:r>
            <w:r>
              <w:rPr>
                <w:noProof/>
                <w:webHidden/>
              </w:rPr>
            </w:r>
            <w:r>
              <w:rPr>
                <w:noProof/>
                <w:webHidden/>
              </w:rPr>
              <w:fldChar w:fldCharType="separate"/>
            </w:r>
            <w:r>
              <w:rPr>
                <w:noProof/>
                <w:webHidden/>
              </w:rPr>
              <w:t>7</w:t>
            </w:r>
            <w:r>
              <w:rPr>
                <w:noProof/>
                <w:webHidden/>
              </w:rPr>
              <w:fldChar w:fldCharType="end"/>
            </w:r>
          </w:hyperlink>
        </w:p>
        <w:p w14:paraId="0EB18639" w14:textId="2A171475" w:rsidR="001B37C7" w:rsidRDefault="001B37C7">
          <w:pPr>
            <w:pStyle w:val="Inhopg1"/>
            <w:rPr>
              <w:rFonts w:asciiTheme="minorHAnsi" w:eastAsiaTheme="minorEastAsia" w:hAnsiTheme="minorHAnsi" w:cstheme="minorBidi"/>
              <w:b w:val="0"/>
              <w:bCs w:val="0"/>
              <w:iCs w:val="0"/>
              <w:noProof/>
              <w:color w:val="auto"/>
              <w:kern w:val="2"/>
              <w:sz w:val="24"/>
              <w:lang w:eastAsia="nl-NL"/>
              <w14:ligatures w14:val="standardContextual"/>
            </w:rPr>
          </w:pPr>
          <w:hyperlink w:anchor="_Toc225942281" w:history="1">
            <w:r w:rsidRPr="00E95256">
              <w:rPr>
                <w:rStyle w:val="Hyperlink"/>
                <w:noProof/>
              </w:rPr>
              <w:t>2</w:t>
            </w:r>
            <w:r>
              <w:rPr>
                <w:rFonts w:asciiTheme="minorHAnsi" w:eastAsiaTheme="minorEastAsia" w:hAnsiTheme="minorHAnsi" w:cstheme="minorBidi"/>
                <w:b w:val="0"/>
                <w:bCs w:val="0"/>
                <w:iCs w:val="0"/>
                <w:noProof/>
                <w:color w:val="auto"/>
                <w:kern w:val="2"/>
                <w:sz w:val="24"/>
                <w:lang w:eastAsia="nl-NL"/>
                <w14:ligatures w14:val="standardContextual"/>
              </w:rPr>
              <w:tab/>
            </w:r>
            <w:r w:rsidRPr="00E95256">
              <w:rPr>
                <w:rStyle w:val="Hyperlink"/>
                <w:noProof/>
              </w:rPr>
              <w:t>Aanbestedingsprocedure</w:t>
            </w:r>
            <w:r>
              <w:rPr>
                <w:noProof/>
                <w:webHidden/>
              </w:rPr>
              <w:tab/>
            </w:r>
            <w:r>
              <w:rPr>
                <w:noProof/>
                <w:webHidden/>
              </w:rPr>
              <w:fldChar w:fldCharType="begin"/>
            </w:r>
            <w:r>
              <w:rPr>
                <w:noProof/>
                <w:webHidden/>
              </w:rPr>
              <w:instrText xml:space="preserve"> PAGEREF _Toc225942281 \h </w:instrText>
            </w:r>
            <w:r>
              <w:rPr>
                <w:noProof/>
                <w:webHidden/>
              </w:rPr>
            </w:r>
            <w:r>
              <w:rPr>
                <w:noProof/>
                <w:webHidden/>
              </w:rPr>
              <w:fldChar w:fldCharType="separate"/>
            </w:r>
            <w:r>
              <w:rPr>
                <w:noProof/>
                <w:webHidden/>
              </w:rPr>
              <w:t>8</w:t>
            </w:r>
            <w:r>
              <w:rPr>
                <w:noProof/>
                <w:webHidden/>
              </w:rPr>
              <w:fldChar w:fldCharType="end"/>
            </w:r>
          </w:hyperlink>
        </w:p>
        <w:p w14:paraId="4B76E357" w14:textId="78D1B84D"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2" w:history="1">
            <w:r w:rsidRPr="00E95256">
              <w:rPr>
                <w:rStyle w:val="Hyperlink"/>
                <w:noProof/>
              </w:rPr>
              <w:t>2.1</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Procedure</w:t>
            </w:r>
            <w:r>
              <w:rPr>
                <w:noProof/>
                <w:webHidden/>
              </w:rPr>
              <w:tab/>
            </w:r>
            <w:r>
              <w:rPr>
                <w:noProof/>
                <w:webHidden/>
              </w:rPr>
              <w:fldChar w:fldCharType="begin"/>
            </w:r>
            <w:r>
              <w:rPr>
                <w:noProof/>
                <w:webHidden/>
              </w:rPr>
              <w:instrText xml:space="preserve"> PAGEREF _Toc225942282 \h </w:instrText>
            </w:r>
            <w:r>
              <w:rPr>
                <w:noProof/>
                <w:webHidden/>
              </w:rPr>
            </w:r>
            <w:r>
              <w:rPr>
                <w:noProof/>
                <w:webHidden/>
              </w:rPr>
              <w:fldChar w:fldCharType="separate"/>
            </w:r>
            <w:r>
              <w:rPr>
                <w:noProof/>
                <w:webHidden/>
              </w:rPr>
              <w:t>8</w:t>
            </w:r>
            <w:r>
              <w:rPr>
                <w:noProof/>
                <w:webHidden/>
              </w:rPr>
              <w:fldChar w:fldCharType="end"/>
            </w:r>
          </w:hyperlink>
        </w:p>
        <w:p w14:paraId="2AFC6802" w14:textId="120C3DE3"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3" w:history="1">
            <w:r w:rsidRPr="00E95256">
              <w:rPr>
                <w:rStyle w:val="Hyperlink"/>
                <w:noProof/>
              </w:rPr>
              <w:t>2.2</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Aanbestedingsplanning</w:t>
            </w:r>
            <w:r>
              <w:rPr>
                <w:noProof/>
                <w:webHidden/>
              </w:rPr>
              <w:tab/>
            </w:r>
            <w:r>
              <w:rPr>
                <w:noProof/>
                <w:webHidden/>
              </w:rPr>
              <w:fldChar w:fldCharType="begin"/>
            </w:r>
            <w:r>
              <w:rPr>
                <w:noProof/>
                <w:webHidden/>
              </w:rPr>
              <w:instrText xml:space="preserve"> PAGEREF _Toc225942283 \h </w:instrText>
            </w:r>
            <w:r>
              <w:rPr>
                <w:noProof/>
                <w:webHidden/>
              </w:rPr>
            </w:r>
            <w:r>
              <w:rPr>
                <w:noProof/>
                <w:webHidden/>
              </w:rPr>
              <w:fldChar w:fldCharType="separate"/>
            </w:r>
            <w:r>
              <w:rPr>
                <w:noProof/>
                <w:webHidden/>
              </w:rPr>
              <w:t>8</w:t>
            </w:r>
            <w:r>
              <w:rPr>
                <w:noProof/>
                <w:webHidden/>
              </w:rPr>
              <w:fldChar w:fldCharType="end"/>
            </w:r>
          </w:hyperlink>
        </w:p>
        <w:p w14:paraId="302EE1AE" w14:textId="22CFE586"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4" w:history="1">
            <w:r w:rsidRPr="00E95256">
              <w:rPr>
                <w:rStyle w:val="Hyperlink"/>
                <w:noProof/>
              </w:rPr>
              <w:t>2.3</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Rechtsverwerking</w:t>
            </w:r>
            <w:r>
              <w:rPr>
                <w:noProof/>
                <w:webHidden/>
              </w:rPr>
              <w:tab/>
            </w:r>
            <w:r>
              <w:rPr>
                <w:noProof/>
                <w:webHidden/>
              </w:rPr>
              <w:fldChar w:fldCharType="begin"/>
            </w:r>
            <w:r>
              <w:rPr>
                <w:noProof/>
                <w:webHidden/>
              </w:rPr>
              <w:instrText xml:space="preserve"> PAGEREF _Toc225942284 \h </w:instrText>
            </w:r>
            <w:r>
              <w:rPr>
                <w:noProof/>
                <w:webHidden/>
              </w:rPr>
            </w:r>
            <w:r>
              <w:rPr>
                <w:noProof/>
                <w:webHidden/>
              </w:rPr>
              <w:fldChar w:fldCharType="separate"/>
            </w:r>
            <w:r>
              <w:rPr>
                <w:noProof/>
                <w:webHidden/>
              </w:rPr>
              <w:t>8</w:t>
            </w:r>
            <w:r>
              <w:rPr>
                <w:noProof/>
                <w:webHidden/>
              </w:rPr>
              <w:fldChar w:fldCharType="end"/>
            </w:r>
          </w:hyperlink>
        </w:p>
        <w:p w14:paraId="11949898" w14:textId="05554764"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5" w:history="1">
            <w:r w:rsidRPr="00E95256">
              <w:rPr>
                <w:rStyle w:val="Hyperlink"/>
                <w:noProof/>
              </w:rPr>
              <w:t>2.4</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Inlichtingen en communicatie</w:t>
            </w:r>
            <w:r>
              <w:rPr>
                <w:noProof/>
                <w:webHidden/>
              </w:rPr>
              <w:tab/>
            </w:r>
            <w:r>
              <w:rPr>
                <w:noProof/>
                <w:webHidden/>
              </w:rPr>
              <w:fldChar w:fldCharType="begin"/>
            </w:r>
            <w:r>
              <w:rPr>
                <w:noProof/>
                <w:webHidden/>
              </w:rPr>
              <w:instrText xml:space="preserve"> PAGEREF _Toc225942285 \h </w:instrText>
            </w:r>
            <w:r>
              <w:rPr>
                <w:noProof/>
                <w:webHidden/>
              </w:rPr>
            </w:r>
            <w:r>
              <w:rPr>
                <w:noProof/>
                <w:webHidden/>
              </w:rPr>
              <w:fldChar w:fldCharType="separate"/>
            </w:r>
            <w:r>
              <w:rPr>
                <w:noProof/>
                <w:webHidden/>
              </w:rPr>
              <w:t>9</w:t>
            </w:r>
            <w:r>
              <w:rPr>
                <w:noProof/>
                <w:webHidden/>
              </w:rPr>
              <w:fldChar w:fldCharType="end"/>
            </w:r>
          </w:hyperlink>
        </w:p>
        <w:p w14:paraId="0CAEC488" w14:textId="2C831A4E"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6" w:history="1">
            <w:r w:rsidRPr="00E95256">
              <w:rPr>
                <w:rStyle w:val="Hyperlink"/>
                <w:noProof/>
              </w:rPr>
              <w:t>2.5</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Opening kluis met inschrijvingen</w:t>
            </w:r>
            <w:r>
              <w:rPr>
                <w:noProof/>
                <w:webHidden/>
              </w:rPr>
              <w:tab/>
            </w:r>
            <w:r>
              <w:rPr>
                <w:noProof/>
                <w:webHidden/>
              </w:rPr>
              <w:fldChar w:fldCharType="begin"/>
            </w:r>
            <w:r>
              <w:rPr>
                <w:noProof/>
                <w:webHidden/>
              </w:rPr>
              <w:instrText xml:space="preserve"> PAGEREF _Toc225942286 \h </w:instrText>
            </w:r>
            <w:r>
              <w:rPr>
                <w:noProof/>
                <w:webHidden/>
              </w:rPr>
            </w:r>
            <w:r>
              <w:rPr>
                <w:noProof/>
                <w:webHidden/>
              </w:rPr>
              <w:fldChar w:fldCharType="separate"/>
            </w:r>
            <w:r>
              <w:rPr>
                <w:noProof/>
                <w:webHidden/>
              </w:rPr>
              <w:t>9</w:t>
            </w:r>
            <w:r>
              <w:rPr>
                <w:noProof/>
                <w:webHidden/>
              </w:rPr>
              <w:fldChar w:fldCharType="end"/>
            </w:r>
          </w:hyperlink>
        </w:p>
        <w:p w14:paraId="27B6498F" w14:textId="3930EC51"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7" w:history="1">
            <w:r w:rsidRPr="00E95256">
              <w:rPr>
                <w:rStyle w:val="Hyperlink"/>
                <w:noProof/>
              </w:rPr>
              <w:t>2.6</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Beoordelingsprocedure</w:t>
            </w:r>
            <w:r>
              <w:rPr>
                <w:noProof/>
                <w:webHidden/>
              </w:rPr>
              <w:tab/>
            </w:r>
            <w:r>
              <w:rPr>
                <w:noProof/>
                <w:webHidden/>
              </w:rPr>
              <w:fldChar w:fldCharType="begin"/>
            </w:r>
            <w:r>
              <w:rPr>
                <w:noProof/>
                <w:webHidden/>
              </w:rPr>
              <w:instrText xml:space="preserve"> PAGEREF _Toc225942287 \h </w:instrText>
            </w:r>
            <w:r>
              <w:rPr>
                <w:noProof/>
                <w:webHidden/>
              </w:rPr>
            </w:r>
            <w:r>
              <w:rPr>
                <w:noProof/>
                <w:webHidden/>
              </w:rPr>
              <w:fldChar w:fldCharType="separate"/>
            </w:r>
            <w:r>
              <w:rPr>
                <w:noProof/>
                <w:webHidden/>
              </w:rPr>
              <w:t>9</w:t>
            </w:r>
            <w:r>
              <w:rPr>
                <w:noProof/>
                <w:webHidden/>
              </w:rPr>
              <w:fldChar w:fldCharType="end"/>
            </w:r>
          </w:hyperlink>
        </w:p>
        <w:p w14:paraId="1730B69D" w14:textId="3FA0D6EE"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8" w:history="1">
            <w:r w:rsidRPr="00E95256">
              <w:rPr>
                <w:rStyle w:val="Hyperlink"/>
                <w:noProof/>
              </w:rPr>
              <w:t>2.7</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Verificatie</w:t>
            </w:r>
            <w:r>
              <w:rPr>
                <w:noProof/>
                <w:webHidden/>
              </w:rPr>
              <w:tab/>
            </w:r>
            <w:r>
              <w:rPr>
                <w:noProof/>
                <w:webHidden/>
              </w:rPr>
              <w:fldChar w:fldCharType="begin"/>
            </w:r>
            <w:r>
              <w:rPr>
                <w:noProof/>
                <w:webHidden/>
              </w:rPr>
              <w:instrText xml:space="preserve"> PAGEREF _Toc225942288 \h </w:instrText>
            </w:r>
            <w:r>
              <w:rPr>
                <w:noProof/>
                <w:webHidden/>
              </w:rPr>
            </w:r>
            <w:r>
              <w:rPr>
                <w:noProof/>
                <w:webHidden/>
              </w:rPr>
              <w:fldChar w:fldCharType="separate"/>
            </w:r>
            <w:r>
              <w:rPr>
                <w:noProof/>
                <w:webHidden/>
              </w:rPr>
              <w:t>10</w:t>
            </w:r>
            <w:r>
              <w:rPr>
                <w:noProof/>
                <w:webHidden/>
              </w:rPr>
              <w:fldChar w:fldCharType="end"/>
            </w:r>
          </w:hyperlink>
        </w:p>
        <w:p w14:paraId="42DA5956" w14:textId="0DBB8875"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89" w:history="1">
            <w:r w:rsidRPr="00E95256">
              <w:rPr>
                <w:rStyle w:val="Hyperlink"/>
                <w:noProof/>
              </w:rPr>
              <w:t>2.8</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Mededeling van de gunningbeslissing</w:t>
            </w:r>
            <w:r>
              <w:rPr>
                <w:noProof/>
                <w:webHidden/>
              </w:rPr>
              <w:tab/>
            </w:r>
            <w:r>
              <w:rPr>
                <w:noProof/>
                <w:webHidden/>
              </w:rPr>
              <w:fldChar w:fldCharType="begin"/>
            </w:r>
            <w:r>
              <w:rPr>
                <w:noProof/>
                <w:webHidden/>
              </w:rPr>
              <w:instrText xml:space="preserve"> PAGEREF _Toc225942289 \h </w:instrText>
            </w:r>
            <w:r>
              <w:rPr>
                <w:noProof/>
                <w:webHidden/>
              </w:rPr>
            </w:r>
            <w:r>
              <w:rPr>
                <w:noProof/>
                <w:webHidden/>
              </w:rPr>
              <w:fldChar w:fldCharType="separate"/>
            </w:r>
            <w:r>
              <w:rPr>
                <w:noProof/>
                <w:webHidden/>
              </w:rPr>
              <w:t>10</w:t>
            </w:r>
            <w:r>
              <w:rPr>
                <w:noProof/>
                <w:webHidden/>
              </w:rPr>
              <w:fldChar w:fldCharType="end"/>
            </w:r>
          </w:hyperlink>
        </w:p>
        <w:p w14:paraId="4DA209D7" w14:textId="25C3A3CA"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90" w:history="1">
            <w:r w:rsidRPr="00E95256">
              <w:rPr>
                <w:rStyle w:val="Hyperlink"/>
                <w:noProof/>
              </w:rPr>
              <w:t>2.9</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Klachten</w:t>
            </w:r>
            <w:r>
              <w:rPr>
                <w:noProof/>
                <w:webHidden/>
              </w:rPr>
              <w:tab/>
            </w:r>
            <w:r>
              <w:rPr>
                <w:noProof/>
                <w:webHidden/>
              </w:rPr>
              <w:fldChar w:fldCharType="begin"/>
            </w:r>
            <w:r>
              <w:rPr>
                <w:noProof/>
                <w:webHidden/>
              </w:rPr>
              <w:instrText xml:space="preserve"> PAGEREF _Toc225942290 \h </w:instrText>
            </w:r>
            <w:r>
              <w:rPr>
                <w:noProof/>
                <w:webHidden/>
              </w:rPr>
            </w:r>
            <w:r>
              <w:rPr>
                <w:noProof/>
                <w:webHidden/>
              </w:rPr>
              <w:fldChar w:fldCharType="separate"/>
            </w:r>
            <w:r>
              <w:rPr>
                <w:noProof/>
                <w:webHidden/>
              </w:rPr>
              <w:t>11</w:t>
            </w:r>
            <w:r>
              <w:rPr>
                <w:noProof/>
                <w:webHidden/>
              </w:rPr>
              <w:fldChar w:fldCharType="end"/>
            </w:r>
          </w:hyperlink>
        </w:p>
        <w:p w14:paraId="5C604F86" w14:textId="0F1E4A7E" w:rsidR="001B37C7" w:rsidRDefault="001B37C7">
          <w:pPr>
            <w:pStyle w:val="Inhopg1"/>
            <w:rPr>
              <w:rFonts w:asciiTheme="minorHAnsi" w:eastAsiaTheme="minorEastAsia" w:hAnsiTheme="minorHAnsi" w:cstheme="minorBidi"/>
              <w:b w:val="0"/>
              <w:bCs w:val="0"/>
              <w:iCs w:val="0"/>
              <w:noProof/>
              <w:color w:val="auto"/>
              <w:kern w:val="2"/>
              <w:sz w:val="24"/>
              <w:lang w:eastAsia="nl-NL"/>
              <w14:ligatures w14:val="standardContextual"/>
            </w:rPr>
          </w:pPr>
          <w:hyperlink w:anchor="_Toc225942291" w:history="1">
            <w:r w:rsidRPr="00E95256">
              <w:rPr>
                <w:rStyle w:val="Hyperlink"/>
                <w:noProof/>
              </w:rPr>
              <w:t>3</w:t>
            </w:r>
            <w:r>
              <w:rPr>
                <w:rFonts w:asciiTheme="minorHAnsi" w:eastAsiaTheme="minorEastAsia" w:hAnsiTheme="minorHAnsi" w:cstheme="minorBidi"/>
                <w:b w:val="0"/>
                <w:bCs w:val="0"/>
                <w:iCs w:val="0"/>
                <w:noProof/>
                <w:color w:val="auto"/>
                <w:kern w:val="2"/>
                <w:sz w:val="24"/>
                <w:lang w:eastAsia="nl-NL"/>
                <w14:ligatures w14:val="standardContextual"/>
              </w:rPr>
              <w:tab/>
            </w:r>
            <w:r w:rsidRPr="00E95256">
              <w:rPr>
                <w:rStyle w:val="Hyperlink"/>
                <w:noProof/>
              </w:rPr>
              <w:t>Inschrijvingsvoorwaarden</w:t>
            </w:r>
            <w:r>
              <w:rPr>
                <w:noProof/>
                <w:webHidden/>
              </w:rPr>
              <w:tab/>
            </w:r>
            <w:r>
              <w:rPr>
                <w:noProof/>
                <w:webHidden/>
              </w:rPr>
              <w:fldChar w:fldCharType="begin"/>
            </w:r>
            <w:r>
              <w:rPr>
                <w:noProof/>
                <w:webHidden/>
              </w:rPr>
              <w:instrText xml:space="preserve"> PAGEREF _Toc225942291 \h </w:instrText>
            </w:r>
            <w:r>
              <w:rPr>
                <w:noProof/>
                <w:webHidden/>
              </w:rPr>
            </w:r>
            <w:r>
              <w:rPr>
                <w:noProof/>
                <w:webHidden/>
              </w:rPr>
              <w:fldChar w:fldCharType="separate"/>
            </w:r>
            <w:r>
              <w:rPr>
                <w:noProof/>
                <w:webHidden/>
              </w:rPr>
              <w:t>12</w:t>
            </w:r>
            <w:r>
              <w:rPr>
                <w:noProof/>
                <w:webHidden/>
              </w:rPr>
              <w:fldChar w:fldCharType="end"/>
            </w:r>
          </w:hyperlink>
        </w:p>
        <w:p w14:paraId="75D7C063" w14:textId="16CCE74A"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92" w:history="1">
            <w:r w:rsidRPr="00E95256">
              <w:rPr>
                <w:rStyle w:val="Hyperlink"/>
                <w:noProof/>
              </w:rPr>
              <w:t>3.1</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Eisen aan de inschrijving</w:t>
            </w:r>
            <w:r>
              <w:rPr>
                <w:noProof/>
                <w:webHidden/>
              </w:rPr>
              <w:tab/>
            </w:r>
            <w:r>
              <w:rPr>
                <w:noProof/>
                <w:webHidden/>
              </w:rPr>
              <w:fldChar w:fldCharType="begin"/>
            </w:r>
            <w:r>
              <w:rPr>
                <w:noProof/>
                <w:webHidden/>
              </w:rPr>
              <w:instrText xml:space="preserve"> PAGEREF _Toc225942292 \h </w:instrText>
            </w:r>
            <w:r>
              <w:rPr>
                <w:noProof/>
                <w:webHidden/>
              </w:rPr>
            </w:r>
            <w:r>
              <w:rPr>
                <w:noProof/>
                <w:webHidden/>
              </w:rPr>
              <w:fldChar w:fldCharType="separate"/>
            </w:r>
            <w:r>
              <w:rPr>
                <w:noProof/>
                <w:webHidden/>
              </w:rPr>
              <w:t>12</w:t>
            </w:r>
            <w:r>
              <w:rPr>
                <w:noProof/>
                <w:webHidden/>
              </w:rPr>
              <w:fldChar w:fldCharType="end"/>
            </w:r>
          </w:hyperlink>
        </w:p>
        <w:p w14:paraId="70FC87B4" w14:textId="7FE56A93"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93" w:history="1">
            <w:r w:rsidRPr="00E95256">
              <w:rPr>
                <w:rStyle w:val="Hyperlink"/>
                <w:noProof/>
              </w:rPr>
              <w:t>3.2</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Voorwaarden voor een samenwerkingsverband (combinatie)</w:t>
            </w:r>
            <w:r>
              <w:rPr>
                <w:noProof/>
                <w:webHidden/>
              </w:rPr>
              <w:tab/>
            </w:r>
            <w:r>
              <w:rPr>
                <w:noProof/>
                <w:webHidden/>
              </w:rPr>
              <w:fldChar w:fldCharType="begin"/>
            </w:r>
            <w:r>
              <w:rPr>
                <w:noProof/>
                <w:webHidden/>
              </w:rPr>
              <w:instrText xml:space="preserve"> PAGEREF _Toc225942293 \h </w:instrText>
            </w:r>
            <w:r>
              <w:rPr>
                <w:noProof/>
                <w:webHidden/>
              </w:rPr>
            </w:r>
            <w:r>
              <w:rPr>
                <w:noProof/>
                <w:webHidden/>
              </w:rPr>
              <w:fldChar w:fldCharType="separate"/>
            </w:r>
            <w:r>
              <w:rPr>
                <w:noProof/>
                <w:webHidden/>
              </w:rPr>
              <w:t>14</w:t>
            </w:r>
            <w:r>
              <w:rPr>
                <w:noProof/>
                <w:webHidden/>
              </w:rPr>
              <w:fldChar w:fldCharType="end"/>
            </w:r>
          </w:hyperlink>
        </w:p>
        <w:p w14:paraId="22EEFA68" w14:textId="0A668FC4" w:rsidR="001B37C7" w:rsidRDefault="001B37C7">
          <w:pPr>
            <w:pStyle w:val="Inhopg1"/>
            <w:rPr>
              <w:rFonts w:asciiTheme="minorHAnsi" w:eastAsiaTheme="minorEastAsia" w:hAnsiTheme="minorHAnsi" w:cstheme="minorBidi"/>
              <w:b w:val="0"/>
              <w:bCs w:val="0"/>
              <w:iCs w:val="0"/>
              <w:noProof/>
              <w:color w:val="auto"/>
              <w:kern w:val="2"/>
              <w:sz w:val="24"/>
              <w:lang w:eastAsia="nl-NL"/>
              <w14:ligatures w14:val="standardContextual"/>
            </w:rPr>
          </w:pPr>
          <w:hyperlink w:anchor="_Toc225942294" w:history="1">
            <w:r w:rsidRPr="00E95256">
              <w:rPr>
                <w:rStyle w:val="Hyperlink"/>
                <w:noProof/>
              </w:rPr>
              <w:t>4</w:t>
            </w:r>
            <w:r>
              <w:rPr>
                <w:rFonts w:asciiTheme="minorHAnsi" w:eastAsiaTheme="minorEastAsia" w:hAnsiTheme="minorHAnsi" w:cstheme="minorBidi"/>
                <w:b w:val="0"/>
                <w:bCs w:val="0"/>
                <w:iCs w:val="0"/>
                <w:noProof/>
                <w:color w:val="auto"/>
                <w:kern w:val="2"/>
                <w:sz w:val="24"/>
                <w:lang w:eastAsia="nl-NL"/>
                <w14:ligatures w14:val="standardContextual"/>
              </w:rPr>
              <w:tab/>
            </w:r>
            <w:r w:rsidRPr="00E95256">
              <w:rPr>
                <w:rStyle w:val="Hyperlink"/>
                <w:noProof/>
              </w:rPr>
              <w:t>Uitsluitingsgronden en Geschiktheidseisen</w:t>
            </w:r>
            <w:r>
              <w:rPr>
                <w:noProof/>
                <w:webHidden/>
              </w:rPr>
              <w:tab/>
            </w:r>
            <w:r>
              <w:rPr>
                <w:noProof/>
                <w:webHidden/>
              </w:rPr>
              <w:fldChar w:fldCharType="begin"/>
            </w:r>
            <w:r>
              <w:rPr>
                <w:noProof/>
                <w:webHidden/>
              </w:rPr>
              <w:instrText xml:space="preserve"> PAGEREF _Toc225942294 \h </w:instrText>
            </w:r>
            <w:r>
              <w:rPr>
                <w:noProof/>
                <w:webHidden/>
              </w:rPr>
            </w:r>
            <w:r>
              <w:rPr>
                <w:noProof/>
                <w:webHidden/>
              </w:rPr>
              <w:fldChar w:fldCharType="separate"/>
            </w:r>
            <w:r>
              <w:rPr>
                <w:noProof/>
                <w:webHidden/>
              </w:rPr>
              <w:t>15</w:t>
            </w:r>
            <w:r>
              <w:rPr>
                <w:noProof/>
                <w:webHidden/>
              </w:rPr>
              <w:fldChar w:fldCharType="end"/>
            </w:r>
          </w:hyperlink>
        </w:p>
        <w:p w14:paraId="45091E8E" w14:textId="4BC18F8C"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95" w:history="1">
            <w:r w:rsidRPr="00E95256">
              <w:rPr>
                <w:rStyle w:val="Hyperlink"/>
                <w:noProof/>
              </w:rPr>
              <w:t>4.1</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Uitsluitingsgronden</w:t>
            </w:r>
            <w:r>
              <w:rPr>
                <w:noProof/>
                <w:webHidden/>
              </w:rPr>
              <w:tab/>
            </w:r>
            <w:r>
              <w:rPr>
                <w:noProof/>
                <w:webHidden/>
              </w:rPr>
              <w:fldChar w:fldCharType="begin"/>
            </w:r>
            <w:r>
              <w:rPr>
                <w:noProof/>
                <w:webHidden/>
              </w:rPr>
              <w:instrText xml:space="preserve"> PAGEREF _Toc225942295 \h </w:instrText>
            </w:r>
            <w:r>
              <w:rPr>
                <w:noProof/>
                <w:webHidden/>
              </w:rPr>
            </w:r>
            <w:r>
              <w:rPr>
                <w:noProof/>
                <w:webHidden/>
              </w:rPr>
              <w:fldChar w:fldCharType="separate"/>
            </w:r>
            <w:r>
              <w:rPr>
                <w:noProof/>
                <w:webHidden/>
              </w:rPr>
              <w:t>15</w:t>
            </w:r>
            <w:r>
              <w:rPr>
                <w:noProof/>
                <w:webHidden/>
              </w:rPr>
              <w:fldChar w:fldCharType="end"/>
            </w:r>
          </w:hyperlink>
        </w:p>
        <w:p w14:paraId="09E5FEF6" w14:textId="0CE0A1F0"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296" w:history="1">
            <w:r w:rsidRPr="00E95256">
              <w:rPr>
                <w:rStyle w:val="Hyperlink"/>
              </w:rPr>
              <w:t>4.1.1</w:t>
            </w:r>
            <w:r>
              <w:rPr>
                <w:rFonts w:asciiTheme="minorHAnsi" w:eastAsiaTheme="minorEastAsia" w:hAnsiTheme="minorHAnsi" w:cstheme="minorBidi"/>
                <w:kern w:val="2"/>
                <w:sz w:val="24"/>
                <w:szCs w:val="24"/>
                <w:lang w:eastAsia="nl-NL"/>
                <w14:ligatures w14:val="standardContextual"/>
              </w:rPr>
              <w:tab/>
            </w:r>
            <w:r w:rsidRPr="00E95256">
              <w:rPr>
                <w:rStyle w:val="Hyperlink"/>
              </w:rPr>
              <w:t>Uniform Europees Aanbestedingsdocument (UEA)</w:t>
            </w:r>
            <w:r>
              <w:rPr>
                <w:webHidden/>
              </w:rPr>
              <w:tab/>
            </w:r>
            <w:r>
              <w:rPr>
                <w:webHidden/>
              </w:rPr>
              <w:fldChar w:fldCharType="begin"/>
            </w:r>
            <w:r>
              <w:rPr>
                <w:webHidden/>
              </w:rPr>
              <w:instrText xml:space="preserve"> PAGEREF _Toc225942296 \h </w:instrText>
            </w:r>
            <w:r>
              <w:rPr>
                <w:webHidden/>
              </w:rPr>
            </w:r>
            <w:r>
              <w:rPr>
                <w:webHidden/>
              </w:rPr>
              <w:fldChar w:fldCharType="separate"/>
            </w:r>
            <w:r>
              <w:rPr>
                <w:webHidden/>
              </w:rPr>
              <w:t>15</w:t>
            </w:r>
            <w:r>
              <w:rPr>
                <w:webHidden/>
              </w:rPr>
              <w:fldChar w:fldCharType="end"/>
            </w:r>
          </w:hyperlink>
        </w:p>
        <w:p w14:paraId="5772E0E2" w14:textId="4811CD82"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297" w:history="1">
            <w:r w:rsidRPr="00E95256">
              <w:rPr>
                <w:rStyle w:val="Hyperlink"/>
              </w:rPr>
              <w:t>4.1.2</w:t>
            </w:r>
            <w:r>
              <w:rPr>
                <w:rFonts w:asciiTheme="minorHAnsi" w:eastAsiaTheme="minorEastAsia" w:hAnsiTheme="minorHAnsi" w:cstheme="minorBidi"/>
                <w:kern w:val="2"/>
                <w:sz w:val="24"/>
                <w:szCs w:val="24"/>
                <w:lang w:eastAsia="nl-NL"/>
                <w14:ligatures w14:val="standardContextual"/>
              </w:rPr>
              <w:tab/>
            </w:r>
            <w:r w:rsidRPr="00E95256">
              <w:rPr>
                <w:rStyle w:val="Hyperlink"/>
              </w:rPr>
              <w:t>Geen Russische betrokkenheid *</w:t>
            </w:r>
            <w:r>
              <w:rPr>
                <w:webHidden/>
              </w:rPr>
              <w:tab/>
            </w:r>
            <w:r>
              <w:rPr>
                <w:webHidden/>
              </w:rPr>
              <w:fldChar w:fldCharType="begin"/>
            </w:r>
            <w:r>
              <w:rPr>
                <w:webHidden/>
              </w:rPr>
              <w:instrText xml:space="preserve"> PAGEREF _Toc225942297 \h </w:instrText>
            </w:r>
            <w:r>
              <w:rPr>
                <w:webHidden/>
              </w:rPr>
            </w:r>
            <w:r>
              <w:rPr>
                <w:webHidden/>
              </w:rPr>
              <w:fldChar w:fldCharType="separate"/>
            </w:r>
            <w:r>
              <w:rPr>
                <w:webHidden/>
              </w:rPr>
              <w:t>15</w:t>
            </w:r>
            <w:r>
              <w:rPr>
                <w:webHidden/>
              </w:rPr>
              <w:fldChar w:fldCharType="end"/>
            </w:r>
          </w:hyperlink>
        </w:p>
        <w:p w14:paraId="6D2A1CCF" w14:textId="6D4F6FE9"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298" w:history="1">
            <w:r w:rsidRPr="00E95256">
              <w:rPr>
                <w:rStyle w:val="Hyperlink"/>
                <w:noProof/>
              </w:rPr>
              <w:t>4.2</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Geschiktheidseisen</w:t>
            </w:r>
            <w:r>
              <w:rPr>
                <w:noProof/>
                <w:webHidden/>
              </w:rPr>
              <w:tab/>
            </w:r>
            <w:r>
              <w:rPr>
                <w:noProof/>
                <w:webHidden/>
              </w:rPr>
              <w:fldChar w:fldCharType="begin"/>
            </w:r>
            <w:r>
              <w:rPr>
                <w:noProof/>
                <w:webHidden/>
              </w:rPr>
              <w:instrText xml:space="preserve"> PAGEREF _Toc225942298 \h </w:instrText>
            </w:r>
            <w:r>
              <w:rPr>
                <w:noProof/>
                <w:webHidden/>
              </w:rPr>
            </w:r>
            <w:r>
              <w:rPr>
                <w:noProof/>
                <w:webHidden/>
              </w:rPr>
              <w:fldChar w:fldCharType="separate"/>
            </w:r>
            <w:r>
              <w:rPr>
                <w:noProof/>
                <w:webHidden/>
              </w:rPr>
              <w:t>15</w:t>
            </w:r>
            <w:r>
              <w:rPr>
                <w:noProof/>
                <w:webHidden/>
              </w:rPr>
              <w:fldChar w:fldCharType="end"/>
            </w:r>
          </w:hyperlink>
        </w:p>
        <w:p w14:paraId="03A021D2" w14:textId="5D9D6DE0"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299" w:history="1">
            <w:r w:rsidRPr="00E95256">
              <w:rPr>
                <w:rStyle w:val="Hyperlink"/>
              </w:rPr>
              <w:t>4.2.1</w:t>
            </w:r>
            <w:r>
              <w:rPr>
                <w:rFonts w:asciiTheme="minorHAnsi" w:eastAsiaTheme="minorEastAsia" w:hAnsiTheme="minorHAnsi" w:cstheme="minorBidi"/>
                <w:kern w:val="2"/>
                <w:sz w:val="24"/>
                <w:szCs w:val="24"/>
                <w:lang w:eastAsia="nl-NL"/>
                <w14:ligatures w14:val="standardContextual"/>
              </w:rPr>
              <w:tab/>
            </w:r>
            <w:r w:rsidRPr="00E95256">
              <w:rPr>
                <w:rStyle w:val="Hyperlink"/>
              </w:rPr>
              <w:t>Financiële en economische draagkracht</w:t>
            </w:r>
            <w:r>
              <w:rPr>
                <w:webHidden/>
              </w:rPr>
              <w:tab/>
            </w:r>
            <w:r>
              <w:rPr>
                <w:webHidden/>
              </w:rPr>
              <w:fldChar w:fldCharType="begin"/>
            </w:r>
            <w:r>
              <w:rPr>
                <w:webHidden/>
              </w:rPr>
              <w:instrText xml:space="preserve"> PAGEREF _Toc225942299 \h </w:instrText>
            </w:r>
            <w:r>
              <w:rPr>
                <w:webHidden/>
              </w:rPr>
            </w:r>
            <w:r>
              <w:rPr>
                <w:webHidden/>
              </w:rPr>
              <w:fldChar w:fldCharType="separate"/>
            </w:r>
            <w:r>
              <w:rPr>
                <w:webHidden/>
              </w:rPr>
              <w:t>15</w:t>
            </w:r>
            <w:r>
              <w:rPr>
                <w:webHidden/>
              </w:rPr>
              <w:fldChar w:fldCharType="end"/>
            </w:r>
          </w:hyperlink>
        </w:p>
        <w:p w14:paraId="313E2911" w14:textId="6F823A23"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00" w:history="1">
            <w:r w:rsidRPr="00E95256">
              <w:rPr>
                <w:rStyle w:val="Hyperlink"/>
              </w:rPr>
              <w:t>4.2.2</w:t>
            </w:r>
            <w:r>
              <w:rPr>
                <w:rFonts w:asciiTheme="minorHAnsi" w:eastAsiaTheme="minorEastAsia" w:hAnsiTheme="minorHAnsi" w:cstheme="minorBidi"/>
                <w:kern w:val="2"/>
                <w:sz w:val="24"/>
                <w:szCs w:val="24"/>
                <w:lang w:eastAsia="nl-NL"/>
                <w14:ligatures w14:val="standardContextual"/>
              </w:rPr>
              <w:tab/>
            </w:r>
            <w:r w:rsidRPr="00E95256">
              <w:rPr>
                <w:rStyle w:val="Hyperlink"/>
              </w:rPr>
              <w:t>Beroepsbevoegdheid</w:t>
            </w:r>
            <w:r>
              <w:rPr>
                <w:webHidden/>
              </w:rPr>
              <w:tab/>
            </w:r>
            <w:r>
              <w:rPr>
                <w:webHidden/>
              </w:rPr>
              <w:fldChar w:fldCharType="begin"/>
            </w:r>
            <w:r>
              <w:rPr>
                <w:webHidden/>
              </w:rPr>
              <w:instrText xml:space="preserve"> PAGEREF _Toc225942300 \h </w:instrText>
            </w:r>
            <w:r>
              <w:rPr>
                <w:webHidden/>
              </w:rPr>
            </w:r>
            <w:r>
              <w:rPr>
                <w:webHidden/>
              </w:rPr>
              <w:fldChar w:fldCharType="separate"/>
            </w:r>
            <w:r>
              <w:rPr>
                <w:webHidden/>
              </w:rPr>
              <w:t>16</w:t>
            </w:r>
            <w:r>
              <w:rPr>
                <w:webHidden/>
              </w:rPr>
              <w:fldChar w:fldCharType="end"/>
            </w:r>
          </w:hyperlink>
        </w:p>
        <w:p w14:paraId="38BA385C" w14:textId="1B41B9B6"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01" w:history="1">
            <w:r w:rsidRPr="00E95256">
              <w:rPr>
                <w:rStyle w:val="Hyperlink"/>
              </w:rPr>
              <w:t>4.2.3</w:t>
            </w:r>
            <w:r>
              <w:rPr>
                <w:rFonts w:asciiTheme="minorHAnsi" w:eastAsiaTheme="minorEastAsia" w:hAnsiTheme="minorHAnsi" w:cstheme="minorBidi"/>
                <w:kern w:val="2"/>
                <w:sz w:val="24"/>
                <w:szCs w:val="24"/>
                <w:lang w:eastAsia="nl-NL"/>
                <w14:ligatures w14:val="standardContextual"/>
              </w:rPr>
              <w:tab/>
            </w:r>
            <w:r w:rsidRPr="00E95256">
              <w:rPr>
                <w:rStyle w:val="Hyperlink"/>
              </w:rPr>
              <w:t>Technische bekwaamheid</w:t>
            </w:r>
            <w:r>
              <w:rPr>
                <w:webHidden/>
              </w:rPr>
              <w:tab/>
            </w:r>
            <w:r>
              <w:rPr>
                <w:webHidden/>
              </w:rPr>
              <w:fldChar w:fldCharType="begin"/>
            </w:r>
            <w:r>
              <w:rPr>
                <w:webHidden/>
              </w:rPr>
              <w:instrText xml:space="preserve"> PAGEREF _Toc225942301 \h </w:instrText>
            </w:r>
            <w:r>
              <w:rPr>
                <w:webHidden/>
              </w:rPr>
            </w:r>
            <w:r>
              <w:rPr>
                <w:webHidden/>
              </w:rPr>
              <w:fldChar w:fldCharType="separate"/>
            </w:r>
            <w:r>
              <w:rPr>
                <w:webHidden/>
              </w:rPr>
              <w:t>16</w:t>
            </w:r>
            <w:r>
              <w:rPr>
                <w:webHidden/>
              </w:rPr>
              <w:fldChar w:fldCharType="end"/>
            </w:r>
          </w:hyperlink>
        </w:p>
        <w:p w14:paraId="5B10EA53" w14:textId="5C32BEDA"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02" w:history="1">
            <w:r w:rsidRPr="00E95256">
              <w:rPr>
                <w:rStyle w:val="Hyperlink"/>
              </w:rPr>
              <w:t>4.2.4</w:t>
            </w:r>
            <w:r>
              <w:rPr>
                <w:rFonts w:asciiTheme="minorHAnsi" w:eastAsiaTheme="minorEastAsia" w:hAnsiTheme="minorHAnsi" w:cstheme="minorBidi"/>
                <w:kern w:val="2"/>
                <w:sz w:val="24"/>
                <w:szCs w:val="24"/>
                <w:lang w:eastAsia="nl-NL"/>
                <w14:ligatures w14:val="standardContextual"/>
              </w:rPr>
              <w:tab/>
            </w:r>
            <w:r w:rsidRPr="00E95256">
              <w:rPr>
                <w:rStyle w:val="Hyperlink"/>
              </w:rPr>
              <w:t>Beroep op draagkracht van andere entiteiten (beroep op een derde)</w:t>
            </w:r>
            <w:r>
              <w:rPr>
                <w:webHidden/>
              </w:rPr>
              <w:tab/>
            </w:r>
            <w:r>
              <w:rPr>
                <w:webHidden/>
              </w:rPr>
              <w:fldChar w:fldCharType="begin"/>
            </w:r>
            <w:r>
              <w:rPr>
                <w:webHidden/>
              </w:rPr>
              <w:instrText xml:space="preserve"> PAGEREF _Toc225942302 \h </w:instrText>
            </w:r>
            <w:r>
              <w:rPr>
                <w:webHidden/>
              </w:rPr>
            </w:r>
            <w:r>
              <w:rPr>
                <w:webHidden/>
              </w:rPr>
              <w:fldChar w:fldCharType="separate"/>
            </w:r>
            <w:r>
              <w:rPr>
                <w:webHidden/>
              </w:rPr>
              <w:t>18</w:t>
            </w:r>
            <w:r>
              <w:rPr>
                <w:webHidden/>
              </w:rPr>
              <w:fldChar w:fldCharType="end"/>
            </w:r>
          </w:hyperlink>
        </w:p>
        <w:p w14:paraId="32FA683E" w14:textId="5C49BDB6"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303" w:history="1">
            <w:r w:rsidRPr="00E95256">
              <w:rPr>
                <w:rStyle w:val="Hyperlink"/>
                <w:noProof/>
              </w:rPr>
              <w:t>4.3</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Bewijsstukken na inschrijving</w:t>
            </w:r>
            <w:r>
              <w:rPr>
                <w:noProof/>
                <w:webHidden/>
              </w:rPr>
              <w:tab/>
            </w:r>
            <w:r>
              <w:rPr>
                <w:noProof/>
                <w:webHidden/>
              </w:rPr>
              <w:fldChar w:fldCharType="begin"/>
            </w:r>
            <w:r>
              <w:rPr>
                <w:noProof/>
                <w:webHidden/>
              </w:rPr>
              <w:instrText xml:space="preserve"> PAGEREF _Toc225942303 \h </w:instrText>
            </w:r>
            <w:r>
              <w:rPr>
                <w:noProof/>
                <w:webHidden/>
              </w:rPr>
            </w:r>
            <w:r>
              <w:rPr>
                <w:noProof/>
                <w:webHidden/>
              </w:rPr>
              <w:fldChar w:fldCharType="separate"/>
            </w:r>
            <w:r>
              <w:rPr>
                <w:noProof/>
                <w:webHidden/>
              </w:rPr>
              <w:t>19</w:t>
            </w:r>
            <w:r>
              <w:rPr>
                <w:noProof/>
                <w:webHidden/>
              </w:rPr>
              <w:fldChar w:fldCharType="end"/>
            </w:r>
          </w:hyperlink>
        </w:p>
        <w:p w14:paraId="4B7DD030" w14:textId="583D201F"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304" w:history="1">
            <w:r w:rsidRPr="00E95256">
              <w:rPr>
                <w:rStyle w:val="Hyperlink"/>
                <w:noProof/>
              </w:rPr>
              <w:t>4.4</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Informatie betreffende onderaannemers op wier draagkracht de ondernemer geen beroep doet (Deel II D)</w:t>
            </w:r>
            <w:r>
              <w:rPr>
                <w:noProof/>
                <w:webHidden/>
              </w:rPr>
              <w:tab/>
            </w:r>
            <w:r>
              <w:rPr>
                <w:noProof/>
                <w:webHidden/>
              </w:rPr>
              <w:fldChar w:fldCharType="begin"/>
            </w:r>
            <w:r>
              <w:rPr>
                <w:noProof/>
                <w:webHidden/>
              </w:rPr>
              <w:instrText xml:space="preserve"> PAGEREF _Toc225942304 \h </w:instrText>
            </w:r>
            <w:r>
              <w:rPr>
                <w:noProof/>
                <w:webHidden/>
              </w:rPr>
            </w:r>
            <w:r>
              <w:rPr>
                <w:noProof/>
                <w:webHidden/>
              </w:rPr>
              <w:fldChar w:fldCharType="separate"/>
            </w:r>
            <w:r>
              <w:rPr>
                <w:noProof/>
                <w:webHidden/>
              </w:rPr>
              <w:t>19</w:t>
            </w:r>
            <w:r>
              <w:rPr>
                <w:noProof/>
                <w:webHidden/>
              </w:rPr>
              <w:fldChar w:fldCharType="end"/>
            </w:r>
          </w:hyperlink>
        </w:p>
        <w:p w14:paraId="34A8AE16" w14:textId="5342AA57" w:rsidR="001B37C7" w:rsidRDefault="001B37C7">
          <w:pPr>
            <w:pStyle w:val="Inhopg1"/>
            <w:rPr>
              <w:rFonts w:asciiTheme="minorHAnsi" w:eastAsiaTheme="minorEastAsia" w:hAnsiTheme="minorHAnsi" w:cstheme="minorBidi"/>
              <w:b w:val="0"/>
              <w:bCs w:val="0"/>
              <w:iCs w:val="0"/>
              <w:noProof/>
              <w:color w:val="auto"/>
              <w:kern w:val="2"/>
              <w:sz w:val="24"/>
              <w:lang w:eastAsia="nl-NL"/>
              <w14:ligatures w14:val="standardContextual"/>
            </w:rPr>
          </w:pPr>
          <w:hyperlink w:anchor="_Toc225942305" w:history="1">
            <w:r w:rsidRPr="00E95256">
              <w:rPr>
                <w:rStyle w:val="Hyperlink"/>
                <w:noProof/>
              </w:rPr>
              <w:t>5</w:t>
            </w:r>
            <w:r>
              <w:rPr>
                <w:rFonts w:asciiTheme="minorHAnsi" w:eastAsiaTheme="minorEastAsia" w:hAnsiTheme="minorHAnsi" w:cstheme="minorBidi"/>
                <w:b w:val="0"/>
                <w:bCs w:val="0"/>
                <w:iCs w:val="0"/>
                <w:noProof/>
                <w:color w:val="auto"/>
                <w:kern w:val="2"/>
                <w:sz w:val="24"/>
                <w:lang w:eastAsia="nl-NL"/>
                <w14:ligatures w14:val="standardContextual"/>
              </w:rPr>
              <w:tab/>
            </w:r>
            <w:r w:rsidRPr="00E95256">
              <w:rPr>
                <w:rStyle w:val="Hyperlink"/>
                <w:noProof/>
              </w:rPr>
              <w:t>De gunning</w:t>
            </w:r>
            <w:r>
              <w:rPr>
                <w:noProof/>
                <w:webHidden/>
              </w:rPr>
              <w:tab/>
            </w:r>
            <w:r>
              <w:rPr>
                <w:noProof/>
                <w:webHidden/>
              </w:rPr>
              <w:fldChar w:fldCharType="begin"/>
            </w:r>
            <w:r>
              <w:rPr>
                <w:noProof/>
                <w:webHidden/>
              </w:rPr>
              <w:instrText xml:space="preserve"> PAGEREF _Toc225942305 \h </w:instrText>
            </w:r>
            <w:r>
              <w:rPr>
                <w:noProof/>
                <w:webHidden/>
              </w:rPr>
            </w:r>
            <w:r>
              <w:rPr>
                <w:noProof/>
                <w:webHidden/>
              </w:rPr>
              <w:fldChar w:fldCharType="separate"/>
            </w:r>
            <w:r>
              <w:rPr>
                <w:noProof/>
                <w:webHidden/>
              </w:rPr>
              <w:t>20</w:t>
            </w:r>
            <w:r>
              <w:rPr>
                <w:noProof/>
                <w:webHidden/>
              </w:rPr>
              <w:fldChar w:fldCharType="end"/>
            </w:r>
          </w:hyperlink>
        </w:p>
        <w:p w14:paraId="462B4401" w14:textId="37645FD9"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306" w:history="1">
            <w:r w:rsidRPr="00E95256">
              <w:rPr>
                <w:rStyle w:val="Hyperlink"/>
                <w:noProof/>
              </w:rPr>
              <w:t>5.1</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Laagste prijs.</w:t>
            </w:r>
            <w:r>
              <w:rPr>
                <w:noProof/>
                <w:webHidden/>
              </w:rPr>
              <w:tab/>
            </w:r>
            <w:r>
              <w:rPr>
                <w:noProof/>
                <w:webHidden/>
              </w:rPr>
              <w:fldChar w:fldCharType="begin"/>
            </w:r>
            <w:r>
              <w:rPr>
                <w:noProof/>
                <w:webHidden/>
              </w:rPr>
              <w:instrText xml:space="preserve"> PAGEREF _Toc225942306 \h </w:instrText>
            </w:r>
            <w:r>
              <w:rPr>
                <w:noProof/>
                <w:webHidden/>
              </w:rPr>
            </w:r>
            <w:r>
              <w:rPr>
                <w:noProof/>
                <w:webHidden/>
              </w:rPr>
              <w:fldChar w:fldCharType="separate"/>
            </w:r>
            <w:r>
              <w:rPr>
                <w:noProof/>
                <w:webHidden/>
              </w:rPr>
              <w:t>20</w:t>
            </w:r>
            <w:r>
              <w:rPr>
                <w:noProof/>
                <w:webHidden/>
              </w:rPr>
              <w:fldChar w:fldCharType="end"/>
            </w:r>
          </w:hyperlink>
        </w:p>
        <w:p w14:paraId="04DCB52E" w14:textId="2C45BAAA"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307" w:history="1">
            <w:r w:rsidRPr="00E95256">
              <w:rPr>
                <w:rStyle w:val="Hyperlink"/>
                <w:noProof/>
              </w:rPr>
              <w:t>5.2</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Beoordeling Prijs</w:t>
            </w:r>
            <w:r>
              <w:rPr>
                <w:noProof/>
                <w:webHidden/>
              </w:rPr>
              <w:tab/>
            </w:r>
            <w:r>
              <w:rPr>
                <w:noProof/>
                <w:webHidden/>
              </w:rPr>
              <w:fldChar w:fldCharType="begin"/>
            </w:r>
            <w:r>
              <w:rPr>
                <w:noProof/>
                <w:webHidden/>
              </w:rPr>
              <w:instrText xml:space="preserve"> PAGEREF _Toc225942307 \h </w:instrText>
            </w:r>
            <w:r>
              <w:rPr>
                <w:noProof/>
                <w:webHidden/>
              </w:rPr>
            </w:r>
            <w:r>
              <w:rPr>
                <w:noProof/>
                <w:webHidden/>
              </w:rPr>
              <w:fldChar w:fldCharType="separate"/>
            </w:r>
            <w:r>
              <w:rPr>
                <w:noProof/>
                <w:webHidden/>
              </w:rPr>
              <w:t>21</w:t>
            </w:r>
            <w:r>
              <w:rPr>
                <w:noProof/>
                <w:webHidden/>
              </w:rPr>
              <w:fldChar w:fldCharType="end"/>
            </w:r>
          </w:hyperlink>
        </w:p>
        <w:p w14:paraId="221F5EE2" w14:textId="26822929" w:rsidR="001B37C7" w:rsidRDefault="001B37C7">
          <w:pPr>
            <w:pStyle w:val="Inhopg2"/>
            <w:rPr>
              <w:rFonts w:asciiTheme="minorHAnsi" w:eastAsiaTheme="minorEastAsia" w:hAnsiTheme="minorHAnsi" w:cstheme="minorBidi"/>
              <w:iCs w:val="0"/>
              <w:noProof/>
              <w:color w:val="auto"/>
              <w:kern w:val="2"/>
              <w:szCs w:val="24"/>
              <w:lang w:eastAsia="nl-NL"/>
              <w14:ligatures w14:val="standardContextual"/>
            </w:rPr>
          </w:pPr>
          <w:hyperlink w:anchor="_Toc225942308" w:history="1">
            <w:r w:rsidRPr="00E95256">
              <w:rPr>
                <w:rStyle w:val="Hyperlink"/>
                <w:noProof/>
              </w:rPr>
              <w:t>5.3</w:t>
            </w:r>
            <w:r>
              <w:rPr>
                <w:rFonts w:asciiTheme="minorHAnsi" w:eastAsiaTheme="minorEastAsia" w:hAnsiTheme="minorHAnsi" w:cstheme="minorBidi"/>
                <w:iCs w:val="0"/>
                <w:noProof/>
                <w:color w:val="auto"/>
                <w:kern w:val="2"/>
                <w:szCs w:val="24"/>
                <w:lang w:eastAsia="nl-NL"/>
                <w14:ligatures w14:val="standardContextual"/>
              </w:rPr>
              <w:tab/>
            </w:r>
            <w:r w:rsidRPr="00E95256">
              <w:rPr>
                <w:rStyle w:val="Hyperlink"/>
                <w:noProof/>
              </w:rPr>
              <w:t>Gunning</w:t>
            </w:r>
            <w:r>
              <w:rPr>
                <w:noProof/>
                <w:webHidden/>
              </w:rPr>
              <w:tab/>
            </w:r>
            <w:r>
              <w:rPr>
                <w:noProof/>
                <w:webHidden/>
              </w:rPr>
              <w:fldChar w:fldCharType="begin"/>
            </w:r>
            <w:r>
              <w:rPr>
                <w:noProof/>
                <w:webHidden/>
              </w:rPr>
              <w:instrText xml:space="preserve"> PAGEREF _Toc225942308 \h </w:instrText>
            </w:r>
            <w:r>
              <w:rPr>
                <w:noProof/>
                <w:webHidden/>
              </w:rPr>
            </w:r>
            <w:r>
              <w:rPr>
                <w:noProof/>
                <w:webHidden/>
              </w:rPr>
              <w:fldChar w:fldCharType="separate"/>
            </w:r>
            <w:r>
              <w:rPr>
                <w:noProof/>
                <w:webHidden/>
              </w:rPr>
              <w:t>21</w:t>
            </w:r>
            <w:r>
              <w:rPr>
                <w:noProof/>
                <w:webHidden/>
              </w:rPr>
              <w:fldChar w:fldCharType="end"/>
            </w:r>
          </w:hyperlink>
        </w:p>
        <w:p w14:paraId="2887CE48" w14:textId="29F0665F" w:rsidR="001B37C7" w:rsidRDefault="001B37C7">
          <w:pPr>
            <w:pStyle w:val="Inhopg1"/>
            <w:rPr>
              <w:rFonts w:asciiTheme="minorHAnsi" w:eastAsiaTheme="minorEastAsia" w:hAnsiTheme="minorHAnsi" w:cstheme="minorBidi"/>
              <w:b w:val="0"/>
              <w:bCs w:val="0"/>
              <w:iCs w:val="0"/>
              <w:noProof/>
              <w:color w:val="auto"/>
              <w:kern w:val="2"/>
              <w:sz w:val="24"/>
              <w:lang w:eastAsia="nl-NL"/>
              <w14:ligatures w14:val="standardContextual"/>
            </w:rPr>
          </w:pPr>
          <w:hyperlink w:anchor="_Toc225942309" w:history="1">
            <w:r w:rsidRPr="00E95256">
              <w:rPr>
                <w:rStyle w:val="Hyperlink"/>
                <w:noProof/>
              </w:rPr>
              <w:t>6</w:t>
            </w:r>
            <w:r>
              <w:rPr>
                <w:rFonts w:asciiTheme="minorHAnsi" w:eastAsiaTheme="minorEastAsia" w:hAnsiTheme="minorHAnsi" w:cstheme="minorBidi"/>
                <w:b w:val="0"/>
                <w:bCs w:val="0"/>
                <w:iCs w:val="0"/>
                <w:noProof/>
                <w:color w:val="auto"/>
                <w:kern w:val="2"/>
                <w:sz w:val="24"/>
                <w:lang w:eastAsia="nl-NL"/>
                <w14:ligatures w14:val="standardContextual"/>
              </w:rPr>
              <w:tab/>
            </w:r>
            <w:r w:rsidRPr="00E95256">
              <w:rPr>
                <w:rStyle w:val="Hyperlink"/>
                <w:noProof/>
              </w:rPr>
              <w:t>Controlelijst</w:t>
            </w:r>
            <w:r>
              <w:rPr>
                <w:noProof/>
                <w:webHidden/>
              </w:rPr>
              <w:tab/>
            </w:r>
            <w:r>
              <w:rPr>
                <w:noProof/>
                <w:webHidden/>
              </w:rPr>
              <w:fldChar w:fldCharType="begin"/>
            </w:r>
            <w:r>
              <w:rPr>
                <w:noProof/>
                <w:webHidden/>
              </w:rPr>
              <w:instrText xml:space="preserve"> PAGEREF _Toc225942309 \h </w:instrText>
            </w:r>
            <w:r>
              <w:rPr>
                <w:noProof/>
                <w:webHidden/>
              </w:rPr>
            </w:r>
            <w:r>
              <w:rPr>
                <w:noProof/>
                <w:webHidden/>
              </w:rPr>
              <w:fldChar w:fldCharType="separate"/>
            </w:r>
            <w:r>
              <w:rPr>
                <w:noProof/>
                <w:webHidden/>
              </w:rPr>
              <w:t>22</w:t>
            </w:r>
            <w:r>
              <w:rPr>
                <w:noProof/>
                <w:webHidden/>
              </w:rPr>
              <w:fldChar w:fldCharType="end"/>
            </w:r>
          </w:hyperlink>
        </w:p>
        <w:p w14:paraId="7D017340" w14:textId="7C65E0D0"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10" w:history="1">
            <w:r w:rsidRPr="00E95256">
              <w:rPr>
                <w:rStyle w:val="Hyperlink"/>
              </w:rPr>
              <w:t>6.1.1</w:t>
            </w:r>
            <w:r>
              <w:rPr>
                <w:rFonts w:asciiTheme="minorHAnsi" w:eastAsiaTheme="minorEastAsia" w:hAnsiTheme="minorHAnsi" w:cstheme="minorBidi"/>
                <w:kern w:val="2"/>
                <w:sz w:val="24"/>
                <w:szCs w:val="24"/>
                <w:lang w:eastAsia="nl-NL"/>
                <w14:ligatures w14:val="standardContextual"/>
              </w:rPr>
              <w:tab/>
            </w:r>
            <w:r w:rsidRPr="00E95256">
              <w:rPr>
                <w:rStyle w:val="Hyperlink"/>
              </w:rPr>
              <w:t>In te dienen stukken</w:t>
            </w:r>
            <w:r>
              <w:rPr>
                <w:webHidden/>
              </w:rPr>
              <w:tab/>
            </w:r>
            <w:r>
              <w:rPr>
                <w:webHidden/>
              </w:rPr>
              <w:fldChar w:fldCharType="begin"/>
            </w:r>
            <w:r>
              <w:rPr>
                <w:webHidden/>
              </w:rPr>
              <w:instrText xml:space="preserve"> PAGEREF _Toc225942310 \h </w:instrText>
            </w:r>
            <w:r>
              <w:rPr>
                <w:webHidden/>
              </w:rPr>
            </w:r>
            <w:r>
              <w:rPr>
                <w:webHidden/>
              </w:rPr>
              <w:fldChar w:fldCharType="separate"/>
            </w:r>
            <w:r>
              <w:rPr>
                <w:webHidden/>
              </w:rPr>
              <w:t>22</w:t>
            </w:r>
            <w:r>
              <w:rPr>
                <w:webHidden/>
              </w:rPr>
              <w:fldChar w:fldCharType="end"/>
            </w:r>
          </w:hyperlink>
        </w:p>
        <w:p w14:paraId="3BAF48F3" w14:textId="093A03DF"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11" w:history="1">
            <w:r w:rsidRPr="00E95256">
              <w:rPr>
                <w:rStyle w:val="Hyperlink"/>
              </w:rPr>
              <w:t>6.1.2</w:t>
            </w:r>
            <w:r>
              <w:rPr>
                <w:rFonts w:asciiTheme="minorHAnsi" w:eastAsiaTheme="minorEastAsia" w:hAnsiTheme="minorHAnsi" w:cstheme="minorBidi"/>
                <w:kern w:val="2"/>
                <w:sz w:val="24"/>
                <w:szCs w:val="24"/>
                <w:lang w:eastAsia="nl-NL"/>
                <w14:ligatures w14:val="standardContextual"/>
              </w:rPr>
              <w:tab/>
            </w:r>
            <w:r w:rsidRPr="00E95256">
              <w:rPr>
                <w:rStyle w:val="Hyperlink"/>
              </w:rPr>
              <w:t>Overzicht bijlagen</w:t>
            </w:r>
            <w:r>
              <w:rPr>
                <w:webHidden/>
              </w:rPr>
              <w:tab/>
            </w:r>
            <w:r>
              <w:rPr>
                <w:webHidden/>
              </w:rPr>
              <w:fldChar w:fldCharType="begin"/>
            </w:r>
            <w:r>
              <w:rPr>
                <w:webHidden/>
              </w:rPr>
              <w:instrText xml:space="preserve"> PAGEREF _Toc225942311 \h </w:instrText>
            </w:r>
            <w:r>
              <w:rPr>
                <w:webHidden/>
              </w:rPr>
            </w:r>
            <w:r>
              <w:rPr>
                <w:webHidden/>
              </w:rPr>
              <w:fldChar w:fldCharType="separate"/>
            </w:r>
            <w:r>
              <w:rPr>
                <w:webHidden/>
              </w:rPr>
              <w:t>22</w:t>
            </w:r>
            <w:r>
              <w:rPr>
                <w:webHidden/>
              </w:rPr>
              <w:fldChar w:fldCharType="end"/>
            </w:r>
          </w:hyperlink>
        </w:p>
        <w:p w14:paraId="4E8E5EEE" w14:textId="217420F7" w:rsidR="001B37C7" w:rsidRDefault="001B37C7">
          <w:pPr>
            <w:pStyle w:val="Inhopg3"/>
            <w:rPr>
              <w:rFonts w:asciiTheme="minorHAnsi" w:eastAsiaTheme="minorEastAsia" w:hAnsiTheme="minorHAnsi" w:cstheme="minorBidi"/>
              <w:kern w:val="2"/>
              <w:sz w:val="24"/>
              <w:szCs w:val="24"/>
              <w:lang w:eastAsia="nl-NL"/>
              <w14:ligatures w14:val="standardContextual"/>
            </w:rPr>
          </w:pPr>
          <w:hyperlink w:anchor="_Toc225942312" w:history="1">
            <w:r w:rsidRPr="00E95256">
              <w:rPr>
                <w:rStyle w:val="Hyperlink"/>
              </w:rPr>
              <w:t>6.1.3</w:t>
            </w:r>
            <w:r>
              <w:rPr>
                <w:rFonts w:asciiTheme="minorHAnsi" w:eastAsiaTheme="minorEastAsia" w:hAnsiTheme="minorHAnsi" w:cstheme="minorBidi"/>
                <w:kern w:val="2"/>
                <w:sz w:val="24"/>
                <w:szCs w:val="24"/>
                <w:lang w:eastAsia="nl-NL"/>
                <w14:ligatures w14:val="standardContextual"/>
              </w:rPr>
              <w:tab/>
            </w:r>
            <w:r w:rsidRPr="00E95256">
              <w:rPr>
                <w:rStyle w:val="Hyperlink"/>
              </w:rPr>
              <w:t>Toezenden na verzoek conform paragraaf 4.3</w:t>
            </w:r>
            <w:r>
              <w:rPr>
                <w:webHidden/>
              </w:rPr>
              <w:tab/>
            </w:r>
            <w:r>
              <w:rPr>
                <w:webHidden/>
              </w:rPr>
              <w:fldChar w:fldCharType="begin"/>
            </w:r>
            <w:r>
              <w:rPr>
                <w:webHidden/>
              </w:rPr>
              <w:instrText xml:space="preserve"> PAGEREF _Toc225942312 \h </w:instrText>
            </w:r>
            <w:r>
              <w:rPr>
                <w:webHidden/>
              </w:rPr>
            </w:r>
            <w:r>
              <w:rPr>
                <w:webHidden/>
              </w:rPr>
              <w:fldChar w:fldCharType="separate"/>
            </w:r>
            <w:r>
              <w:rPr>
                <w:webHidden/>
              </w:rPr>
              <w:t>23</w:t>
            </w:r>
            <w:r>
              <w:rPr>
                <w:webHidden/>
              </w:rPr>
              <w:fldChar w:fldCharType="end"/>
            </w:r>
          </w:hyperlink>
        </w:p>
        <w:p w14:paraId="6DCAF64F" w14:textId="46DCA355" w:rsidR="2D0FBD75" w:rsidRDefault="2D0FBD75" w:rsidP="2D0FBD75">
          <w:pPr>
            <w:pStyle w:val="Inhopg3"/>
            <w:tabs>
              <w:tab w:val="left" w:pos="1095"/>
            </w:tabs>
            <w:rPr>
              <w:rStyle w:val="Hyperlink"/>
            </w:rPr>
          </w:pPr>
          <w:r>
            <w:fldChar w:fldCharType="end"/>
          </w:r>
        </w:p>
      </w:sdtContent>
    </w:sdt>
    <w:p w14:paraId="28A8B59C" w14:textId="77777777" w:rsidR="008F0459" w:rsidRDefault="008F0459">
      <w:pPr>
        <w:spacing w:line="240" w:lineRule="auto"/>
      </w:pPr>
    </w:p>
    <w:p w14:paraId="0CA7500D" w14:textId="7F71F248" w:rsidR="0080438C" w:rsidRDefault="0080438C">
      <w:pPr>
        <w:spacing w:line="240" w:lineRule="auto"/>
      </w:pPr>
      <w:r>
        <w:br w:type="page"/>
      </w:r>
    </w:p>
    <w:p w14:paraId="2D1F1C58" w14:textId="77777777" w:rsidR="00B30718" w:rsidRPr="00222306" w:rsidRDefault="00B30718" w:rsidP="004B7BF7">
      <w:pPr>
        <w:pStyle w:val="Kop1"/>
      </w:pPr>
      <w:bookmarkStart w:id="1" w:name="_Toc225942277"/>
      <w:r>
        <w:lastRenderedPageBreak/>
        <w:t>Algemeen</w:t>
      </w:r>
      <w:bookmarkEnd w:id="1"/>
    </w:p>
    <w:p w14:paraId="1D8F3583" w14:textId="4B49BE83" w:rsidR="00B30718" w:rsidRPr="00222306" w:rsidRDefault="00B30718" w:rsidP="005A16D8">
      <w:pPr>
        <w:pStyle w:val="Introtekst"/>
        <w:rPr>
          <w:rFonts w:cs="Arial"/>
          <w:lang w:eastAsia="nl-NL"/>
        </w:rPr>
      </w:pPr>
      <w:r w:rsidRPr="00222306">
        <w:rPr>
          <w:rFonts w:cs="Arial"/>
          <w:lang w:eastAsia="nl-NL"/>
        </w:rPr>
        <w:t xml:space="preserve">Dit is de </w:t>
      </w:r>
      <w:r w:rsidR="00CF54F1" w:rsidRPr="0091197F">
        <w:t>a</w:t>
      </w:r>
      <w:r w:rsidRPr="0091197F">
        <w:t>anbestedingsleidraad</w:t>
      </w:r>
      <w:r w:rsidRPr="00222306">
        <w:rPr>
          <w:rFonts w:cs="Arial"/>
          <w:lang w:eastAsia="nl-NL"/>
        </w:rPr>
        <w:t xml:space="preserve"> voor de aanbestedingsprocedure </w:t>
      </w:r>
      <w:r w:rsidR="00A603CF">
        <w:rPr>
          <w:rFonts w:cs="Arial"/>
          <w:lang w:eastAsia="nl-NL"/>
        </w:rPr>
        <w:t>ten behoeve van de l</w:t>
      </w:r>
      <w:r w:rsidR="00A603CF" w:rsidRPr="00A603CF">
        <w:rPr>
          <w:rFonts w:cs="Arial"/>
          <w:lang w:eastAsia="nl-NL"/>
        </w:rPr>
        <w:t>evering, installatie, onderhoud en beheer van DRIS-displays</w:t>
      </w:r>
      <w:r w:rsidRPr="00222306">
        <w:rPr>
          <w:rFonts w:cs="Arial"/>
          <w:lang w:eastAsia="nl-NL"/>
        </w:rPr>
        <w:t>.</w:t>
      </w:r>
    </w:p>
    <w:p w14:paraId="3D56F7D7" w14:textId="6F97135D" w:rsidR="00B30718" w:rsidRPr="00222306" w:rsidRDefault="009E14ED" w:rsidP="2D0FBD75">
      <w:pPr>
        <w:rPr>
          <w:rFonts w:cs="Arial"/>
          <w:lang w:eastAsia="nl-NL"/>
        </w:rPr>
      </w:pPr>
      <w:r>
        <w:rPr>
          <w:rFonts w:cs="Arial"/>
          <w:lang w:eastAsia="nl-NL"/>
        </w:rPr>
        <w:t>Dit is</w:t>
      </w:r>
      <w:r w:rsidR="1A94323F" w:rsidRPr="2D0FBD75">
        <w:rPr>
          <w:rFonts w:cs="Arial"/>
          <w:lang w:eastAsia="nl-NL"/>
        </w:rPr>
        <w:t xml:space="preserve"> de aanbestedingsleidraad behorende bij de Europese openbare aanbesteding voor het sluiten van een </w:t>
      </w:r>
      <w:r>
        <w:rPr>
          <w:rFonts w:cs="Arial"/>
          <w:lang w:eastAsia="nl-NL"/>
        </w:rPr>
        <w:t>o</w:t>
      </w:r>
      <w:r w:rsidR="1A94323F" w:rsidRPr="2D0FBD75">
        <w:rPr>
          <w:rFonts w:cs="Arial"/>
          <w:lang w:eastAsia="nl-NL"/>
        </w:rPr>
        <w:t xml:space="preserve">vereenkomst met één </w:t>
      </w:r>
      <w:r w:rsidR="004239BE">
        <w:rPr>
          <w:rFonts w:cs="Arial"/>
          <w:lang w:eastAsia="nl-NL"/>
        </w:rPr>
        <w:t>o</w:t>
      </w:r>
      <w:r w:rsidR="1A94323F" w:rsidRPr="2D0FBD75">
        <w:rPr>
          <w:rFonts w:cs="Arial"/>
          <w:lang w:eastAsia="nl-NL"/>
        </w:rPr>
        <w:t xml:space="preserve">pdrachtnemer voor de verwijdering, levering, plaatsing, installatie en beheer &amp; onderhoud van </w:t>
      </w:r>
      <w:r w:rsidR="000D74F0">
        <w:rPr>
          <w:rFonts w:cs="Arial"/>
          <w:lang w:eastAsia="nl-NL"/>
        </w:rPr>
        <w:t xml:space="preserve">de </w:t>
      </w:r>
      <w:r w:rsidR="007C5353">
        <w:rPr>
          <w:rFonts w:cs="Arial"/>
          <w:lang w:eastAsia="nl-NL"/>
        </w:rPr>
        <w:t>Dyn</w:t>
      </w:r>
      <w:r w:rsidR="009F134C">
        <w:rPr>
          <w:rFonts w:cs="Arial"/>
          <w:lang w:eastAsia="nl-NL"/>
        </w:rPr>
        <w:t xml:space="preserve">amisch Reis Informatie Systeem displays (hierna </w:t>
      </w:r>
      <w:r w:rsidR="1A94323F" w:rsidRPr="2D0FBD75">
        <w:rPr>
          <w:rFonts w:cs="Arial"/>
          <w:lang w:eastAsia="nl-NL"/>
        </w:rPr>
        <w:t>DRIS-displays</w:t>
      </w:r>
      <w:r w:rsidR="009F134C">
        <w:rPr>
          <w:rFonts w:cs="Arial"/>
          <w:lang w:eastAsia="nl-NL"/>
        </w:rPr>
        <w:t>)</w:t>
      </w:r>
      <w:r w:rsidR="1A94323F" w:rsidRPr="2D0FBD75">
        <w:rPr>
          <w:rFonts w:cs="Arial"/>
          <w:lang w:eastAsia="nl-NL"/>
        </w:rPr>
        <w:t>.</w:t>
      </w:r>
    </w:p>
    <w:p w14:paraId="668DBE03" w14:textId="77777777" w:rsidR="00B30718" w:rsidRPr="00222306" w:rsidRDefault="00B30718" w:rsidP="00B30718">
      <w:pPr>
        <w:rPr>
          <w:rFonts w:cs="Arial"/>
          <w:szCs w:val="22"/>
          <w:lang w:eastAsia="nl-NL"/>
        </w:rPr>
      </w:pPr>
    </w:p>
    <w:p w14:paraId="66BF78D7" w14:textId="726C5A5B" w:rsidR="00B30718" w:rsidRDefault="00EA5756" w:rsidP="00B30718">
      <w:pPr>
        <w:rPr>
          <w:rFonts w:cs="Arial"/>
          <w:szCs w:val="22"/>
          <w:lang w:eastAsia="nl-NL"/>
        </w:rPr>
      </w:pPr>
      <w:r>
        <w:rPr>
          <w:rFonts w:cs="Arial"/>
          <w:szCs w:val="22"/>
          <w:lang w:eastAsia="nl-NL"/>
        </w:rPr>
        <w:t>I</w:t>
      </w:r>
      <w:r w:rsidR="00B30718" w:rsidRPr="00222306">
        <w:rPr>
          <w:rFonts w:cs="Arial"/>
          <w:szCs w:val="22"/>
          <w:lang w:eastAsia="nl-NL"/>
        </w:rPr>
        <w:t xml:space="preserve">nformatie over de opdracht, de </w:t>
      </w:r>
      <w:r w:rsidR="00327839">
        <w:rPr>
          <w:rFonts w:cs="Arial"/>
          <w:szCs w:val="22"/>
          <w:lang w:eastAsia="nl-NL"/>
        </w:rPr>
        <w:t>aanbestedings</w:t>
      </w:r>
      <w:r w:rsidR="00B30718" w:rsidRPr="00222306">
        <w:rPr>
          <w:rFonts w:cs="Arial"/>
          <w:szCs w:val="22"/>
          <w:lang w:eastAsia="nl-NL"/>
        </w:rPr>
        <w:t xml:space="preserve">procedure en de daarbij behorende </w:t>
      </w:r>
      <w:r w:rsidR="00B7792C" w:rsidRPr="00222306">
        <w:rPr>
          <w:rFonts w:cs="Arial"/>
          <w:szCs w:val="22"/>
          <w:lang w:eastAsia="nl-NL"/>
        </w:rPr>
        <w:t>beoordelings</w:t>
      </w:r>
      <w:r w:rsidR="00B7792C">
        <w:rPr>
          <w:rFonts w:cs="Arial"/>
          <w:szCs w:val="22"/>
          <w:lang w:eastAsia="nl-NL"/>
        </w:rPr>
        <w:t>c</w:t>
      </w:r>
      <w:r w:rsidR="00B7792C" w:rsidRPr="00222306">
        <w:rPr>
          <w:rFonts w:cs="Arial"/>
          <w:szCs w:val="22"/>
          <w:lang w:eastAsia="nl-NL"/>
        </w:rPr>
        <w:t>riteria</w:t>
      </w:r>
      <w:r w:rsidR="00B30718" w:rsidRPr="00222306">
        <w:rPr>
          <w:rFonts w:cs="Arial"/>
          <w:szCs w:val="22"/>
          <w:lang w:eastAsia="nl-NL"/>
        </w:rPr>
        <w:t xml:space="preserve"> </w:t>
      </w:r>
      <w:r>
        <w:rPr>
          <w:rFonts w:cs="Arial"/>
          <w:szCs w:val="22"/>
          <w:lang w:eastAsia="nl-NL"/>
        </w:rPr>
        <w:t>zijn</w:t>
      </w:r>
      <w:r w:rsidR="00105380">
        <w:rPr>
          <w:rFonts w:cs="Arial"/>
          <w:szCs w:val="22"/>
          <w:lang w:eastAsia="nl-NL"/>
        </w:rPr>
        <w:t xml:space="preserve"> </w:t>
      </w:r>
      <w:r>
        <w:rPr>
          <w:rFonts w:cs="Arial"/>
          <w:szCs w:val="22"/>
          <w:lang w:eastAsia="nl-NL"/>
        </w:rPr>
        <w:t>beschreven in</w:t>
      </w:r>
      <w:r w:rsidR="00B30718" w:rsidRPr="00222306">
        <w:rPr>
          <w:rFonts w:cs="Arial"/>
          <w:szCs w:val="22"/>
          <w:lang w:eastAsia="nl-NL"/>
        </w:rPr>
        <w:t xml:space="preserve"> deze </w:t>
      </w:r>
      <w:r w:rsidR="00CF54F1" w:rsidRPr="00222306">
        <w:rPr>
          <w:rFonts w:cs="Arial"/>
          <w:szCs w:val="22"/>
          <w:lang w:eastAsia="nl-NL"/>
        </w:rPr>
        <w:t>a</w:t>
      </w:r>
      <w:r w:rsidR="00B30718" w:rsidRPr="00222306">
        <w:rPr>
          <w:rFonts w:cs="Arial"/>
          <w:szCs w:val="22"/>
          <w:lang w:eastAsia="nl-NL"/>
        </w:rPr>
        <w:t xml:space="preserve">anbestedingsleidraad. </w:t>
      </w:r>
    </w:p>
    <w:p w14:paraId="593E5DE6" w14:textId="77777777" w:rsidR="00E6083E" w:rsidRDefault="00E6083E" w:rsidP="00B30718">
      <w:pPr>
        <w:rPr>
          <w:rFonts w:cs="Arial"/>
          <w:szCs w:val="22"/>
          <w:lang w:eastAsia="nl-NL"/>
        </w:rPr>
      </w:pPr>
    </w:p>
    <w:p w14:paraId="536B7A2C" w14:textId="6F156845" w:rsidR="00E6083E" w:rsidRPr="00222306" w:rsidRDefault="00E6083E" w:rsidP="00B30718">
      <w:pPr>
        <w:rPr>
          <w:rFonts w:cs="Arial"/>
          <w:szCs w:val="22"/>
          <w:lang w:eastAsia="nl-NL"/>
        </w:rPr>
      </w:pPr>
      <w:r>
        <w:rPr>
          <w:rFonts w:cs="Arial"/>
          <w:szCs w:val="22"/>
          <w:lang w:eastAsia="nl-NL"/>
        </w:rPr>
        <w:t xml:space="preserve">Goed om te weten is dat deze leidraad </w:t>
      </w:r>
      <w:r w:rsidRPr="00B7792C">
        <w:rPr>
          <w:rFonts w:cs="Arial"/>
          <w:szCs w:val="22"/>
          <w:u w:val="single"/>
          <w:lang w:eastAsia="nl-NL"/>
        </w:rPr>
        <w:t>vrijwel geheel overeenkomt</w:t>
      </w:r>
      <w:r>
        <w:rPr>
          <w:rFonts w:cs="Arial"/>
          <w:szCs w:val="22"/>
          <w:lang w:eastAsia="nl-NL"/>
        </w:rPr>
        <w:t xml:space="preserve"> met die van buurgemeente Purmerend. Afwijkingen treft u vooral bij de gunning. </w:t>
      </w:r>
    </w:p>
    <w:p w14:paraId="5A8BC4B1" w14:textId="77777777" w:rsidR="00B30718" w:rsidRPr="00222306" w:rsidRDefault="00B30718" w:rsidP="00B30718">
      <w:pPr>
        <w:rPr>
          <w:rFonts w:cs="Arial"/>
          <w:szCs w:val="22"/>
          <w:lang w:eastAsia="nl-NL"/>
        </w:rPr>
      </w:pPr>
    </w:p>
    <w:p w14:paraId="3F05AC6B" w14:textId="74C9BF90" w:rsidR="00B30718" w:rsidRPr="00222306" w:rsidRDefault="00B30718" w:rsidP="00B30718">
      <w:pPr>
        <w:rPr>
          <w:rFonts w:cs="Arial"/>
          <w:szCs w:val="22"/>
          <w:lang w:eastAsia="nl-NL"/>
        </w:rPr>
      </w:pPr>
      <w:r w:rsidRPr="00222306">
        <w:rPr>
          <w:rFonts w:cs="Arial"/>
          <w:szCs w:val="22"/>
          <w:lang w:eastAsia="nl-NL"/>
        </w:rPr>
        <w:t xml:space="preserve">De aanbestedende dienst is de gemeente </w:t>
      </w:r>
      <w:r w:rsidR="0061241D">
        <w:rPr>
          <w:rFonts w:cs="Arial"/>
          <w:szCs w:val="22"/>
          <w:lang w:eastAsia="nl-NL"/>
        </w:rPr>
        <w:t>Landsmeer</w:t>
      </w:r>
      <w:r w:rsidRPr="00222306">
        <w:rPr>
          <w:rFonts w:cs="Arial"/>
          <w:szCs w:val="22"/>
          <w:lang w:eastAsia="nl-NL"/>
        </w:rPr>
        <w:t xml:space="preserve">, hierna te noemen: </w:t>
      </w:r>
      <w:r w:rsidR="00734016" w:rsidRPr="00734016">
        <w:rPr>
          <w:rFonts w:cs="Arial"/>
          <w:b/>
          <w:bCs/>
          <w:szCs w:val="22"/>
          <w:lang w:eastAsia="nl-NL"/>
        </w:rPr>
        <w:t>G</w:t>
      </w:r>
      <w:r w:rsidRPr="00734016">
        <w:rPr>
          <w:rFonts w:cs="Arial"/>
          <w:b/>
          <w:bCs/>
          <w:szCs w:val="22"/>
          <w:lang w:eastAsia="nl-NL"/>
        </w:rPr>
        <w:t>emeente</w:t>
      </w:r>
      <w:r w:rsidRPr="00222306">
        <w:rPr>
          <w:rFonts w:cs="Arial"/>
          <w:szCs w:val="22"/>
          <w:lang w:eastAsia="nl-NL"/>
        </w:rPr>
        <w:t>.</w:t>
      </w:r>
    </w:p>
    <w:p w14:paraId="57B450D9" w14:textId="77777777" w:rsidR="00B30718" w:rsidRPr="00222306" w:rsidRDefault="00B30718" w:rsidP="00B30718">
      <w:pPr>
        <w:rPr>
          <w:rFonts w:cs="Arial"/>
          <w:szCs w:val="22"/>
          <w:lang w:eastAsia="nl-NL"/>
        </w:rPr>
      </w:pPr>
    </w:p>
    <w:p w14:paraId="3B8E75B7" w14:textId="77777777" w:rsidR="00B30718" w:rsidRPr="00222306" w:rsidRDefault="00B30718" w:rsidP="00B30718">
      <w:pPr>
        <w:rPr>
          <w:rFonts w:cs="Arial"/>
          <w:b/>
          <w:szCs w:val="22"/>
          <w:lang w:eastAsia="nl-NL"/>
        </w:rPr>
      </w:pPr>
      <w:r w:rsidRPr="00222306">
        <w:rPr>
          <w:rFonts w:cs="Arial"/>
          <w:b/>
          <w:szCs w:val="22"/>
          <w:lang w:eastAsia="nl-NL"/>
        </w:rPr>
        <w:t>Leeswijzer</w:t>
      </w:r>
    </w:p>
    <w:p w14:paraId="6346C1FF" w14:textId="5311F72B" w:rsidR="00B30718" w:rsidRPr="00222306" w:rsidRDefault="00B30718" w:rsidP="6502CCEA">
      <w:pPr>
        <w:rPr>
          <w:rFonts w:cs="Arial"/>
          <w:lang w:eastAsia="nl-NL"/>
        </w:rPr>
      </w:pPr>
      <w:r w:rsidRPr="6502CCEA">
        <w:rPr>
          <w:rFonts w:cs="Arial"/>
          <w:lang w:eastAsia="nl-NL"/>
        </w:rPr>
        <w:t xml:space="preserve">De opbouw van dit document is als volgt: </w:t>
      </w:r>
    </w:p>
    <w:p w14:paraId="2C8D4FA5"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 xml:space="preserve">Hoofdstuk 1 geeft een algemene inleiding. </w:t>
      </w:r>
    </w:p>
    <w:p w14:paraId="44353805"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 xml:space="preserve">Hoofdstuk 2 beschrijft de procedure. </w:t>
      </w:r>
    </w:p>
    <w:p w14:paraId="48B2F1CE"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 xml:space="preserve">Hoofdstuk 3 beschrijft de inschrijfvoorwaarden. </w:t>
      </w:r>
    </w:p>
    <w:p w14:paraId="13F34B73"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Hoofdstuk 4 beschrijft de selectie van de inschrijvers.</w:t>
      </w:r>
    </w:p>
    <w:p w14:paraId="77A2258F"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Hoofdstuk 5 beschrijft de gunning.</w:t>
      </w:r>
    </w:p>
    <w:p w14:paraId="2287D44A" w14:textId="77777777" w:rsidR="00B30718" w:rsidRPr="005516CE" w:rsidRDefault="00B30718" w:rsidP="00EF13CD">
      <w:pPr>
        <w:pStyle w:val="Lijstalinea"/>
        <w:numPr>
          <w:ilvl w:val="0"/>
          <w:numId w:val="15"/>
        </w:numPr>
        <w:rPr>
          <w:rFonts w:cs="Arial"/>
          <w:szCs w:val="22"/>
          <w:lang w:eastAsia="nl-NL"/>
        </w:rPr>
      </w:pPr>
      <w:r w:rsidRPr="005516CE">
        <w:rPr>
          <w:rFonts w:cs="Arial"/>
          <w:szCs w:val="22"/>
          <w:lang w:eastAsia="nl-NL"/>
        </w:rPr>
        <w:t>Hoofdstuk 6 bevat de Controlelijst met alle bij dit document behorende bijlagen en een overzicht wat moet worden ingediend.</w:t>
      </w:r>
    </w:p>
    <w:p w14:paraId="4FE7DFBE" w14:textId="77777777" w:rsidR="00B30718" w:rsidRPr="00222306" w:rsidRDefault="00B30718" w:rsidP="00B30718"/>
    <w:p w14:paraId="68A375BD" w14:textId="10E4D385" w:rsidR="00B30718" w:rsidRPr="00222306" w:rsidRDefault="00B30718" w:rsidP="004B7BF7">
      <w:pPr>
        <w:pStyle w:val="Kop2"/>
      </w:pPr>
      <w:bookmarkStart w:id="2" w:name="_Toc89681216"/>
      <w:bookmarkStart w:id="3" w:name="_Toc225942278"/>
      <w:r>
        <w:t>Aard en omvang van de opdracht</w:t>
      </w:r>
      <w:bookmarkEnd w:id="2"/>
      <w:bookmarkEnd w:id="3"/>
    </w:p>
    <w:p w14:paraId="58D846C0" w14:textId="5718F09D" w:rsidR="00FF065F" w:rsidRDefault="28A8A45E" w:rsidP="18FF62DE">
      <w:r w:rsidRPr="18FF62DE">
        <w:t xml:space="preserve">De opdracht betreft levering, installatie en onderhoud </w:t>
      </w:r>
      <w:r w:rsidRPr="001B37C7">
        <w:t xml:space="preserve">van </w:t>
      </w:r>
      <w:r w:rsidR="00310C45" w:rsidRPr="001B37C7">
        <w:t xml:space="preserve">circa </w:t>
      </w:r>
      <w:r w:rsidR="007726B4" w:rsidRPr="001B37C7">
        <w:t>9</w:t>
      </w:r>
      <w:r w:rsidR="00310C45" w:rsidRPr="001B37C7">
        <w:t xml:space="preserve"> stuks </w:t>
      </w:r>
      <w:r w:rsidRPr="001B37C7">
        <w:t>DRIS-displays</w:t>
      </w:r>
      <w:r w:rsidR="72513F76" w:rsidRPr="18FF62DE">
        <w:t xml:space="preserve"> </w:t>
      </w:r>
      <w:r w:rsidRPr="18FF62DE">
        <w:t>ten behoeve van</w:t>
      </w:r>
      <w:r w:rsidR="1EC9A638" w:rsidRPr="18FF62DE">
        <w:t xml:space="preserve"> </w:t>
      </w:r>
      <w:r w:rsidRPr="18FF62DE">
        <w:t>de gemeente</w:t>
      </w:r>
      <w:r w:rsidR="62D6E38A" w:rsidRPr="18FF62DE">
        <w:t xml:space="preserve"> </w:t>
      </w:r>
      <w:r w:rsidR="0061241D">
        <w:t>Landsmeer</w:t>
      </w:r>
      <w:r w:rsidRPr="18FF62DE">
        <w:t xml:space="preserve">. </w:t>
      </w:r>
      <w:r w:rsidR="6570DB60" w:rsidRPr="18FF62DE">
        <w:t xml:space="preserve">Tot de opdracht behoort </w:t>
      </w:r>
      <w:r w:rsidR="37FFBD64" w:rsidRPr="18FF62DE">
        <w:t>ook</w:t>
      </w:r>
      <w:r w:rsidR="6570DB60" w:rsidRPr="18FF62DE">
        <w:t xml:space="preserve"> </w:t>
      </w:r>
      <w:r w:rsidRPr="18FF62DE">
        <w:t xml:space="preserve">de demontage en het afvoeren van bestaande DRIS-displays. </w:t>
      </w:r>
      <w:r w:rsidR="00FE5C75">
        <w:t>Dit v</w:t>
      </w:r>
      <w:r w:rsidR="007003B9">
        <w:t>oor zowel</w:t>
      </w:r>
      <w:r w:rsidRPr="18FF62DE">
        <w:t xml:space="preserve"> </w:t>
      </w:r>
      <w:r w:rsidR="00FE5C75">
        <w:t xml:space="preserve">de </w:t>
      </w:r>
      <w:r w:rsidRPr="18FF62DE">
        <w:t xml:space="preserve">DRIS-displays die worden vervangen, maar ook voor DRIS-displays die </w:t>
      </w:r>
      <w:r w:rsidR="007003B9">
        <w:t xml:space="preserve">worden </w:t>
      </w:r>
      <w:r w:rsidRPr="18FF62DE">
        <w:t xml:space="preserve">verwijderd, </w:t>
      </w:r>
      <w:r w:rsidR="007003B9">
        <w:t>maar</w:t>
      </w:r>
      <w:r w:rsidRPr="18FF62DE">
        <w:t xml:space="preserve"> </w:t>
      </w:r>
      <w:r w:rsidR="00CB5F6E">
        <w:t xml:space="preserve">waar </w:t>
      </w:r>
      <w:r w:rsidRPr="18FF62DE">
        <w:t xml:space="preserve">geen nieuwe DRIS-display </w:t>
      </w:r>
      <w:r w:rsidR="007003B9">
        <w:t xml:space="preserve">voor </w:t>
      </w:r>
      <w:r w:rsidRPr="18FF62DE">
        <w:t xml:space="preserve">terugkomt. </w:t>
      </w:r>
      <w:r w:rsidR="3E8EF9A2" w:rsidRPr="18FF62DE">
        <w:t>Uitgangspunt is dat</w:t>
      </w:r>
      <w:r w:rsidR="3B8FEEAD" w:rsidRPr="18FF62DE">
        <w:t xml:space="preserve"> de </w:t>
      </w:r>
      <w:r w:rsidR="56D86050" w:rsidRPr="18FF62DE">
        <w:t xml:space="preserve">dragers </w:t>
      </w:r>
      <w:r w:rsidR="3B8FEEAD" w:rsidRPr="18FF62DE">
        <w:t xml:space="preserve">van de DRIS-displays </w:t>
      </w:r>
      <w:r w:rsidR="361FFBB7" w:rsidRPr="18FF62DE">
        <w:t xml:space="preserve">blijven staan </w:t>
      </w:r>
      <w:r w:rsidR="4AE692CF" w:rsidRPr="18FF62DE">
        <w:t xml:space="preserve">en worden </w:t>
      </w:r>
      <w:r w:rsidR="3B8FEEAD" w:rsidRPr="18FF62DE">
        <w:t>hergebruikt</w:t>
      </w:r>
      <w:r w:rsidR="003D04BF">
        <w:t xml:space="preserve"> voor de nieuwe displays</w:t>
      </w:r>
      <w:r w:rsidR="1F272F52" w:rsidRPr="18FF62DE">
        <w:t>.</w:t>
      </w:r>
      <w:r w:rsidR="3B8FEEAD" w:rsidRPr="18FF62DE">
        <w:t xml:space="preserve"> </w:t>
      </w:r>
    </w:p>
    <w:p w14:paraId="3C4D3A95" w14:textId="77777777" w:rsidR="00FF065F" w:rsidRDefault="00FF065F" w:rsidP="18FF62DE"/>
    <w:p w14:paraId="4EDD2424" w14:textId="42FBC7EF" w:rsidR="00FF065F" w:rsidRDefault="00FF065F" w:rsidP="18FF62DE">
      <w:r>
        <w:t>Herzieningsclausule.</w:t>
      </w:r>
    </w:p>
    <w:p w14:paraId="297077FF" w14:textId="2CBDF93C" w:rsidR="00FF065F" w:rsidRPr="00222306" w:rsidRDefault="00FF065F" w:rsidP="18FF62DE">
      <w:r>
        <w:t xml:space="preserve">Gemeente houdt het recht voor om de omvang van het aantal DRIS-displays te verminderen met 25%. </w:t>
      </w:r>
    </w:p>
    <w:p w14:paraId="69D5C69D" w14:textId="3F95ED35" w:rsidR="00B30718" w:rsidRPr="00222306" w:rsidRDefault="7A6D0761" w:rsidP="18FF62DE">
      <w:r w:rsidRPr="18FF62DE">
        <w:lastRenderedPageBreak/>
        <w:t>D</w:t>
      </w:r>
      <w:r w:rsidR="4FF75C81" w:rsidRPr="18FF62DE">
        <w:t>e nieuw</w:t>
      </w:r>
      <w:r w:rsidR="003D04BF">
        <w:t>e</w:t>
      </w:r>
      <w:r w:rsidR="4FF75C81" w:rsidRPr="18FF62DE">
        <w:t xml:space="preserve"> DRIS-displays sluit </w:t>
      </w:r>
      <w:r w:rsidR="6CC5F99E" w:rsidRPr="18FF62DE">
        <w:t xml:space="preserve">de opdrachtnemer aan </w:t>
      </w:r>
      <w:r w:rsidR="4FF75C81" w:rsidRPr="18FF62DE">
        <w:t xml:space="preserve">op het </w:t>
      </w:r>
      <w:r w:rsidR="6450CD2B" w:rsidRPr="18FF62DE">
        <w:t>C</w:t>
      </w:r>
      <w:r w:rsidR="4FF75C81" w:rsidRPr="18FF62DE">
        <w:t>entraal Distributiesysteem DRIS</w:t>
      </w:r>
      <w:r w:rsidR="040132B0" w:rsidRPr="18FF62DE">
        <w:t xml:space="preserve"> (</w:t>
      </w:r>
      <w:r w:rsidR="4FF75C81" w:rsidRPr="18FF62DE">
        <w:t>afgekort CDD). D</w:t>
      </w:r>
      <w:r w:rsidR="70E055D5" w:rsidRPr="18FF62DE">
        <w:t>i</w:t>
      </w:r>
      <w:r w:rsidR="4FF75C81" w:rsidRPr="18FF62DE">
        <w:t xml:space="preserve">t heeft tot doel om landelijke reisinformatie te vertalen naar weer te geven informatie per Haltesysteem en deze toe te zenden. De nieuwe omgeving </w:t>
      </w:r>
      <w:r w:rsidR="1AD7FAC0" w:rsidRPr="18FF62DE">
        <w:t xml:space="preserve">is operationeel </w:t>
      </w:r>
      <w:r w:rsidR="4FF75C81" w:rsidRPr="18FF62DE">
        <w:t>op een centrale hostingomgeving, waarop de verschillende leveranciers van de Haltesystemen kunnen aansluiten.</w:t>
      </w:r>
    </w:p>
    <w:p w14:paraId="6A5430B7" w14:textId="23038149" w:rsidR="00B30718" w:rsidRPr="00222306" w:rsidRDefault="00B30718" w:rsidP="2D0FBD75">
      <w:pPr>
        <w:rPr>
          <w:i/>
          <w:iCs/>
          <w:highlight w:val="yellow"/>
        </w:rPr>
      </w:pPr>
    </w:p>
    <w:p w14:paraId="4005463E" w14:textId="4A578184" w:rsidR="00B30718" w:rsidRPr="00222306" w:rsidRDefault="00B30718" w:rsidP="2BE4989F"/>
    <w:p w14:paraId="4DEC5EC3" w14:textId="29037931" w:rsidR="00B30718" w:rsidRPr="00222306" w:rsidRDefault="00B30718" w:rsidP="2D0FBD75">
      <w:pPr>
        <w:rPr>
          <w:i/>
          <w:iCs/>
          <w:highlight w:val="yellow"/>
        </w:rPr>
      </w:pPr>
    </w:p>
    <w:p w14:paraId="61E8D270" w14:textId="425F78DB" w:rsidR="00B30718" w:rsidRPr="00222306" w:rsidRDefault="000E2D5A" w:rsidP="6171FF3A">
      <w:bookmarkStart w:id="4" w:name="_Hlk154654922"/>
      <w:r>
        <w:rPr>
          <w:noProof/>
        </w:rPr>
        <w:drawing>
          <wp:anchor distT="0" distB="0" distL="114300" distR="114300" simplePos="0" relativeHeight="251671552" behindDoc="0" locked="0" layoutInCell="1" allowOverlap="1" wp14:anchorId="248E6B03" wp14:editId="63AC37B5">
            <wp:simplePos x="0" y="0"/>
            <wp:positionH relativeFrom="margin">
              <wp:align>right</wp:align>
            </wp:positionH>
            <wp:positionV relativeFrom="paragraph">
              <wp:posOffset>859155</wp:posOffset>
            </wp:positionV>
            <wp:extent cx="5762625" cy="4362450"/>
            <wp:effectExtent l="0" t="0" r="9525" b="0"/>
            <wp:wrapTopAndBottom/>
            <wp:docPr id="19236961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96154" name="Picture 1923696154"/>
                    <pic:cNvPicPr/>
                  </pic:nvPicPr>
                  <pic:blipFill>
                    <a:blip r:embed="rId8">
                      <a:extLst>
                        <a:ext uri="{28A0092B-C50C-407E-A947-70E740481C1C}">
                          <a14:useLocalDpi xmlns:a14="http://schemas.microsoft.com/office/drawing/2010/main" val="0"/>
                        </a:ext>
                      </a:extLst>
                    </a:blip>
                    <a:stretch>
                      <a:fillRect/>
                    </a:stretch>
                  </pic:blipFill>
                  <pic:spPr>
                    <a:xfrm>
                      <a:off x="0" y="0"/>
                      <a:ext cx="5762625" cy="4362450"/>
                    </a:xfrm>
                    <a:prstGeom prst="rect">
                      <a:avLst/>
                    </a:prstGeom>
                  </pic:spPr>
                </pic:pic>
              </a:graphicData>
            </a:graphic>
          </wp:anchor>
        </w:drawing>
      </w:r>
      <w:r w:rsidR="3FA7C28A" w:rsidRPr="6171FF3A">
        <w:t xml:space="preserve">Samengevat wordt in deze aanbesteding aan de leverancier gevraagd de Haltesystemen te leveren en ze </w:t>
      </w:r>
      <w:r w:rsidR="5FA4A290" w:rsidRPr="6171FF3A">
        <w:t xml:space="preserve">ook </w:t>
      </w:r>
      <w:r w:rsidR="3FA7C28A" w:rsidRPr="6171FF3A">
        <w:t>aan het landelijke Distributiesysteem (CDD) te koppelen. Een uitgebreide omschrijving van alle specifieke eisen t</w:t>
      </w:r>
      <w:r w:rsidR="121EAC87" w:rsidRPr="6171FF3A">
        <w:t>en aanzien van</w:t>
      </w:r>
      <w:r w:rsidR="3FA7C28A" w:rsidRPr="6171FF3A">
        <w:t xml:space="preserve"> de te leveren hardware en software </w:t>
      </w:r>
      <w:r w:rsidR="008A33A4">
        <w:t>staat</w:t>
      </w:r>
      <w:r w:rsidR="3FA7C28A" w:rsidRPr="6171FF3A">
        <w:t xml:space="preserve"> in het P</w:t>
      </w:r>
      <w:r w:rsidR="6189440A" w:rsidRPr="6171FF3A">
        <w:t>rogramma van eisen</w:t>
      </w:r>
      <w:r w:rsidR="3FA7C28A" w:rsidRPr="6171FF3A">
        <w:t xml:space="preserve">, welke onlosmakelijk deel uitmaakt van deze aanbesteding. </w:t>
      </w:r>
    </w:p>
    <w:p w14:paraId="706E3E2F" w14:textId="77FF7503" w:rsidR="6171FF3A" w:rsidRDefault="6171FF3A" w:rsidP="6171FF3A"/>
    <w:p w14:paraId="4F4D5A7F" w14:textId="72D39238" w:rsidR="001B4B85" w:rsidRDefault="001B4B85" w:rsidP="0091197F">
      <w:pPr>
        <w:rPr>
          <w:b/>
          <w:bCs/>
          <w:i/>
          <w:iCs/>
        </w:rPr>
      </w:pPr>
      <w:r w:rsidRPr="001B4B85">
        <w:rPr>
          <w:b/>
          <w:bCs/>
          <w:i/>
          <w:iCs/>
        </w:rPr>
        <w:t>Gunning</w:t>
      </w:r>
      <w:r w:rsidR="0062630F">
        <w:rPr>
          <w:b/>
          <w:bCs/>
          <w:i/>
          <w:iCs/>
        </w:rPr>
        <w:t xml:space="preserve"> </w:t>
      </w:r>
    </w:p>
    <w:p w14:paraId="04EC9E63" w14:textId="77777777" w:rsidR="001B37C7" w:rsidRPr="001B37C7" w:rsidRDefault="001B37C7" w:rsidP="001B37C7">
      <w:r w:rsidRPr="001B37C7">
        <w:t xml:space="preserve">Voor de Gemeente is de subsidiebeschikking essentieel voor de financiering van het project. Recent hebben we een schriftelijke toezegging ontvangen van Vervoersregio. Zij stellen als voorbehoud dat de uitvoering de overeenkomst (doelend op de opdracht) begin van september is ondertekend. </w:t>
      </w:r>
    </w:p>
    <w:p w14:paraId="0484F297" w14:textId="77777777" w:rsidR="001B37C7" w:rsidRPr="001B37C7" w:rsidRDefault="001B37C7" w:rsidP="001B37C7">
      <w:r w:rsidRPr="001B37C7">
        <w:t xml:space="preserve">Gelet op de planning bij deze aanbesteding, gaan we dat samen waarmaken en is er ruim tijd om deze procedure rustig af te ronden met een opdracht. </w:t>
      </w:r>
    </w:p>
    <w:p w14:paraId="7B5B4E4A" w14:textId="77777777" w:rsidR="001B37C7" w:rsidRPr="001B37C7" w:rsidRDefault="001B37C7" w:rsidP="001B37C7">
      <w:r w:rsidRPr="001B37C7">
        <w:t>In het uitzonderlijke geval dat de gemeente niet de (volledige) subsidie ontvangt, dan betekent dit voorbehoud dat de opdracht niet gegund wordt, er geen overeenkomst is en de gemeente de aanbesteding in kan trekken.      </w:t>
      </w:r>
    </w:p>
    <w:p w14:paraId="78D75900" w14:textId="77777777" w:rsidR="001B37C7" w:rsidRPr="001B37C7" w:rsidRDefault="001B37C7" w:rsidP="001B37C7">
      <w:r w:rsidRPr="001B37C7">
        <w:lastRenderedPageBreak/>
        <w:t>Een inschrijver heeft in dat geval geen recht op een vergoeding.</w:t>
      </w:r>
    </w:p>
    <w:p w14:paraId="787E5965" w14:textId="77777777" w:rsidR="001B37C7" w:rsidRPr="001B37C7" w:rsidRDefault="001B37C7" w:rsidP="001B37C7">
      <w:pPr>
        <w:rPr>
          <w:b/>
          <w:bCs/>
          <w:i/>
          <w:iCs/>
        </w:rPr>
      </w:pPr>
    </w:p>
    <w:p w14:paraId="67FA1EC7" w14:textId="77777777" w:rsidR="001B37C7" w:rsidRPr="001B4B85" w:rsidRDefault="001B37C7" w:rsidP="0091197F">
      <w:pPr>
        <w:rPr>
          <w:b/>
          <w:bCs/>
          <w:i/>
          <w:iCs/>
        </w:rPr>
      </w:pPr>
    </w:p>
    <w:bookmarkEnd w:id="4"/>
    <w:p w14:paraId="6361043E" w14:textId="36693659" w:rsidR="00A36CE8" w:rsidRDefault="00A36CE8" w:rsidP="2EA4051E"/>
    <w:p w14:paraId="51FC4ECB" w14:textId="74EBFD67" w:rsidR="00A36CE8" w:rsidRDefault="00A36CE8" w:rsidP="00A36CE8">
      <w:pPr>
        <w:rPr>
          <w:b/>
          <w:i/>
        </w:rPr>
      </w:pPr>
      <w:bookmarkStart w:id="5" w:name="_Hlk154654944"/>
      <w:r w:rsidRPr="00222306">
        <w:rPr>
          <w:b/>
          <w:i/>
        </w:rPr>
        <w:t>Motivering niet opdelen in percelen</w:t>
      </w:r>
      <w:r w:rsidR="003317EE">
        <w:rPr>
          <w:b/>
          <w:i/>
        </w:rPr>
        <w:t>/samenvoegen</w:t>
      </w:r>
      <w:r w:rsidRPr="00222306">
        <w:rPr>
          <w:b/>
          <w:i/>
        </w:rPr>
        <w:t>:</w:t>
      </w:r>
      <w:r>
        <w:rPr>
          <w:b/>
          <w:i/>
        </w:rPr>
        <w:t xml:space="preserve"> </w:t>
      </w:r>
    </w:p>
    <w:p w14:paraId="018F4C28" w14:textId="77777777" w:rsidR="00A603CF" w:rsidRPr="00222306" w:rsidRDefault="00A603CF" w:rsidP="00A603CF">
      <w:r>
        <w:t xml:space="preserve">De opdracht is niet opgedeeld in percelen, omdat de levering, installatie, onderhoud en beheer van DRIS-displays een logisch samenhangend onlosmakelijk met elkaar verbonden geheel vormt. </w:t>
      </w:r>
    </w:p>
    <w:p w14:paraId="5E021BF2" w14:textId="5B16906B" w:rsidR="0092529A" w:rsidRDefault="0092529A" w:rsidP="0030372C">
      <w:bookmarkStart w:id="6" w:name="_Hlk59611273"/>
      <w:bookmarkEnd w:id="5"/>
      <w:bookmarkEnd w:id="6"/>
    </w:p>
    <w:p w14:paraId="64B0D4B7" w14:textId="77777777" w:rsidR="00DF3F0A" w:rsidRPr="009D7366" w:rsidRDefault="00DF3F0A" w:rsidP="00DF3F0A">
      <w:pPr>
        <w:spacing w:line="240" w:lineRule="auto"/>
        <w:rPr>
          <w:b/>
          <w:bCs/>
          <w:i/>
          <w:iCs/>
        </w:rPr>
      </w:pPr>
      <w:r w:rsidRPr="35C195BD">
        <w:rPr>
          <w:b/>
          <w:bCs/>
          <w:i/>
          <w:iCs/>
        </w:rPr>
        <w:t>Toepasselijke voorwaarden</w:t>
      </w:r>
      <w:r>
        <w:rPr>
          <w:b/>
          <w:bCs/>
          <w:i/>
          <w:iCs/>
        </w:rPr>
        <w:t xml:space="preserve"> voor implementatie- en de beheerovereenkomst</w:t>
      </w:r>
    </w:p>
    <w:p w14:paraId="6EDD57A7" w14:textId="77777777" w:rsidR="00DF3F0A" w:rsidRDefault="00DF3F0A" w:rsidP="00DF3F0A">
      <w:r>
        <w:t xml:space="preserve">Op de opdracht zijn de </w:t>
      </w:r>
      <w:r w:rsidRPr="18FF62DE">
        <w:rPr>
          <w:rFonts w:eastAsia="Corbel" w:cs="Corbel"/>
          <w:szCs w:val="22"/>
        </w:rPr>
        <w:t>Algemene Rijksvoorwaarden bij IT overeenkomsten 2022 (</w:t>
      </w:r>
      <w:r>
        <w:rPr>
          <w:rFonts w:eastAsia="Corbel" w:cs="Corbel"/>
          <w:szCs w:val="22"/>
        </w:rPr>
        <w:t xml:space="preserve">bijlage 8 </w:t>
      </w:r>
      <w:r w:rsidRPr="18FF62DE">
        <w:rPr>
          <w:rFonts w:eastAsia="Corbel" w:cs="Corbel"/>
          <w:szCs w:val="22"/>
        </w:rPr>
        <w:t>ARBIT-2022)</w:t>
      </w:r>
      <w:r>
        <w:t xml:space="preserve"> van toepassing.</w:t>
      </w:r>
    </w:p>
    <w:p w14:paraId="3C78A671" w14:textId="77777777" w:rsidR="00DF3F0A" w:rsidRPr="00222306" w:rsidRDefault="00DF3F0A" w:rsidP="00DF3F0A">
      <w:r>
        <w:t xml:space="preserve">Leveranciersvoorwaarden, branchevoorwaarden of andere voorwaarden sluit Gemeente uit. </w:t>
      </w:r>
    </w:p>
    <w:p w14:paraId="1467944C" w14:textId="77777777" w:rsidR="00DF3F0A" w:rsidRPr="0092529A" w:rsidRDefault="00DF3F0A" w:rsidP="0030372C"/>
    <w:p w14:paraId="70598538" w14:textId="190110F3" w:rsidR="0030372C" w:rsidRPr="00222306" w:rsidRDefault="005421E1" w:rsidP="0030372C">
      <w:pPr>
        <w:pStyle w:val="Kop2"/>
      </w:pPr>
      <w:bookmarkStart w:id="7" w:name="_Toc212630572"/>
      <w:bookmarkStart w:id="8" w:name="_Toc212632252"/>
      <w:bookmarkStart w:id="9" w:name="_Toc225942279"/>
      <w:bookmarkEnd w:id="7"/>
      <w:bookmarkEnd w:id="8"/>
      <w:r>
        <w:t>Implementatie</w:t>
      </w:r>
      <w:r w:rsidR="0030372C">
        <w:t>overeenkomst</w:t>
      </w:r>
      <w:bookmarkEnd w:id="9"/>
    </w:p>
    <w:p w14:paraId="1BB69F68" w14:textId="747B4881" w:rsidR="00A557A1" w:rsidRDefault="00A557A1" w:rsidP="00A557A1">
      <w:pPr>
        <w:rPr>
          <w:rFonts w:ascii="Aptos" w:eastAsia="Times New Roman" w:hAnsi="Aptos"/>
          <w:sz w:val="24"/>
        </w:rPr>
      </w:pPr>
      <w:bookmarkStart w:id="10" w:name="_Hlk154655628"/>
      <w:r>
        <w:rPr>
          <w:rFonts w:eastAsia="Times New Roman"/>
        </w:rPr>
        <w:t>Doel van de Overeenkomst (bijlage 3) is het beschrijven van de door Opdrachtnemer te leveren prestaties in het kader van het project en de beheerfase. Het project betreft de levering en installatie van de uitgevraagde Haltesystemen. In de beheerfase beheert en onderhoudt Opdrachtnemer de Haltesystemen conform de gestelde eisen, zodat deze actuele reisinformatie blijven tonen aan de reizigers op de bushaltes. </w:t>
      </w:r>
    </w:p>
    <w:p w14:paraId="480E1061" w14:textId="77777777" w:rsidR="00A557A1" w:rsidRDefault="00A557A1" w:rsidP="00A557A1">
      <w:pPr>
        <w:rPr>
          <w:rFonts w:eastAsia="Times New Roman"/>
        </w:rPr>
      </w:pPr>
    </w:p>
    <w:p w14:paraId="5E972A89" w14:textId="6C2B2438" w:rsidR="00A557A1" w:rsidRDefault="00A557A1" w:rsidP="00A557A1">
      <w:pPr>
        <w:rPr>
          <w:rFonts w:eastAsia="Times New Roman"/>
        </w:rPr>
      </w:pPr>
      <w:r>
        <w:rPr>
          <w:rFonts w:eastAsia="Times New Roman"/>
        </w:rPr>
        <w:t xml:space="preserve">De geschatte waarde van de opdracht (implementatie en beheer voor 15 jaar)  die onder de overeenkomst bedraagt </w:t>
      </w:r>
      <w:r w:rsidRPr="00A557A1">
        <w:t>€</w:t>
      </w:r>
      <w:r>
        <w:t>475</w:t>
      </w:r>
      <w:r w:rsidRPr="00A557A1">
        <w:t xml:space="preserve">.000 Euro </w:t>
      </w:r>
      <w:r w:rsidRPr="00A557A1">
        <w:rPr>
          <w:strike/>
        </w:rPr>
        <w:t xml:space="preserve"> </w:t>
      </w:r>
      <w:r w:rsidRPr="00A557A1">
        <w:t>exclusief btw</w:t>
      </w:r>
      <w:r>
        <w:t>.</w:t>
      </w:r>
      <w:r>
        <w:rPr>
          <w:rFonts w:eastAsia="Times New Roman"/>
        </w:rPr>
        <w:t xml:space="preserve">  </w:t>
      </w:r>
    </w:p>
    <w:p w14:paraId="6847A6AE" w14:textId="77777777" w:rsidR="00A557A1" w:rsidRDefault="00A557A1" w:rsidP="00A557A1">
      <w:pPr>
        <w:rPr>
          <w:rFonts w:eastAsia="Times New Roman"/>
        </w:rPr>
      </w:pPr>
    </w:p>
    <w:p w14:paraId="0B77028A" w14:textId="4E195C86" w:rsidR="0006045C" w:rsidRPr="0092529A" w:rsidRDefault="0006045C" w:rsidP="2391D069">
      <w:pPr>
        <w:rPr>
          <w:rFonts w:ascii="Calibri" w:hAnsi="Calibri"/>
        </w:rPr>
      </w:pPr>
    </w:p>
    <w:p w14:paraId="5AB74CA0" w14:textId="77777777" w:rsidR="00995FAD" w:rsidRPr="00222306" w:rsidRDefault="00995FAD" w:rsidP="00995FAD"/>
    <w:p w14:paraId="375739AB" w14:textId="6C3C33C8" w:rsidR="00B30718" w:rsidRDefault="00B30718" w:rsidP="2D0FBD75">
      <w:pPr>
        <w:rPr>
          <w:i/>
          <w:iCs/>
          <w:u w:val="single"/>
        </w:rPr>
      </w:pPr>
      <w:bookmarkStart w:id="11" w:name="_Hlk56694193"/>
      <w:r w:rsidRPr="2D0FBD75">
        <w:rPr>
          <w:i/>
          <w:iCs/>
          <w:u w:val="single"/>
        </w:rPr>
        <w:t xml:space="preserve">Looptijd </w:t>
      </w:r>
      <w:r w:rsidR="00676245">
        <w:rPr>
          <w:i/>
          <w:iCs/>
          <w:u w:val="single"/>
        </w:rPr>
        <w:t>implementatie</w:t>
      </w:r>
      <w:r w:rsidRPr="2D0FBD75">
        <w:rPr>
          <w:i/>
          <w:iCs/>
          <w:u w:val="single"/>
        </w:rPr>
        <w:t>overeenkomst</w:t>
      </w:r>
    </w:p>
    <w:p w14:paraId="2D222EC1" w14:textId="77777777" w:rsidR="00A557A1" w:rsidRDefault="00A557A1" w:rsidP="2D0FBD75">
      <w:pPr>
        <w:rPr>
          <w:i/>
          <w:iCs/>
          <w:u w:val="single"/>
        </w:rPr>
      </w:pPr>
    </w:p>
    <w:p w14:paraId="3BE6ECFC" w14:textId="119A0BF8" w:rsidR="00A557A1" w:rsidRPr="00A557A1" w:rsidRDefault="00A557A1" w:rsidP="00A557A1">
      <w:r w:rsidRPr="00A557A1">
        <w:t xml:space="preserve">De verwachte ingangsdatum is </w:t>
      </w:r>
      <w:r w:rsidR="00523AB9">
        <w:t>30 juni 2026</w:t>
      </w:r>
      <w:r w:rsidRPr="00A557A1">
        <w:t xml:space="preserve">, waarna het project eindigt na Oplevering van het laatste Haltesysteem*. Vervolgens kent de Overeenkomst een looptijd van vijf (5) kalenderjaren voor het beheer en onderhoud. Gemeente heeft de mogelijkheid om de duur van de beheerovereenkomst 2 keer met een 5 jaar te verlengen. Indien Gemeente gebruik wenst te maken van deze optie tot verlenging zal zij uiterlijk 6 maanden vóór afloop van de lopende periode, schriftelijk laten weten dat de Overeenkomst wordt verlengd. De concept Overeenkomst is opgenomen als bijlage </w:t>
      </w:r>
      <w:r w:rsidR="00DB723D">
        <w:t>3.</w:t>
      </w:r>
    </w:p>
    <w:p w14:paraId="251E49F4" w14:textId="77777777" w:rsidR="00A557A1" w:rsidRPr="00A557A1" w:rsidRDefault="00A557A1" w:rsidP="00A557A1"/>
    <w:p w14:paraId="1607D748" w14:textId="77777777" w:rsidR="00A557A1" w:rsidRPr="00A557A1" w:rsidRDefault="00A557A1" w:rsidP="00A557A1">
      <w:r w:rsidRPr="00A557A1">
        <w:t>*: De werkzaamheden aan het eerste Haltesysteem moet in verband met de te ontvangen subsidie op dit project in 2026 zijn gestart.</w:t>
      </w:r>
    </w:p>
    <w:p w14:paraId="45DA9D21" w14:textId="77777777" w:rsidR="00A557A1" w:rsidRPr="00A557A1" w:rsidRDefault="00A557A1" w:rsidP="00A557A1">
      <w:pPr>
        <w:rPr>
          <w:i/>
          <w:iCs/>
          <w:u w:val="single"/>
        </w:rPr>
      </w:pPr>
    </w:p>
    <w:p w14:paraId="4B073464" w14:textId="77777777" w:rsidR="00A557A1" w:rsidRPr="00222306" w:rsidRDefault="00A557A1" w:rsidP="2D0FBD75">
      <w:pPr>
        <w:rPr>
          <w:i/>
          <w:iCs/>
          <w:u w:val="single"/>
        </w:rPr>
      </w:pPr>
    </w:p>
    <w:bookmarkEnd w:id="10"/>
    <w:bookmarkEnd w:id="11"/>
    <w:p w14:paraId="57EE0F2A" w14:textId="77777777" w:rsidR="002D6D5B" w:rsidRDefault="002D6D5B" w:rsidP="2D0FBD75">
      <w:pPr>
        <w:rPr>
          <w:i/>
          <w:iCs/>
          <w:u w:val="single"/>
        </w:rPr>
      </w:pPr>
    </w:p>
    <w:p w14:paraId="4D0EB8C1" w14:textId="5DC9E6FC" w:rsidR="00DB723D" w:rsidRDefault="00DB723D">
      <w:pPr>
        <w:spacing w:line="240" w:lineRule="auto"/>
      </w:pPr>
      <w:r>
        <w:br w:type="page"/>
      </w:r>
    </w:p>
    <w:p w14:paraId="25AF2CBD" w14:textId="77777777" w:rsidR="004A574B" w:rsidRDefault="004A574B" w:rsidP="0030372C">
      <w:pPr>
        <w:pStyle w:val="Geenafstand"/>
      </w:pPr>
    </w:p>
    <w:p w14:paraId="3E5ABD93" w14:textId="77777777" w:rsidR="004A574B" w:rsidRDefault="004A574B" w:rsidP="004A574B">
      <w:pPr>
        <w:pStyle w:val="Kop2"/>
      </w:pPr>
      <w:bookmarkStart w:id="12" w:name="_Toc225942280"/>
      <w:r>
        <w:t>Wachtkamerovereenkomst</w:t>
      </w:r>
      <w:bookmarkEnd w:id="12"/>
    </w:p>
    <w:p w14:paraId="47D16490" w14:textId="09C47A5E" w:rsidR="008C2A5C" w:rsidRDefault="009D7366" w:rsidP="004A574B">
      <w:pPr>
        <w:pStyle w:val="Geenafstand"/>
      </w:pPr>
      <w:r>
        <w:br/>
      </w:r>
      <w:r w:rsidR="004A574B">
        <w:t xml:space="preserve">Op de </w:t>
      </w:r>
      <w:r w:rsidR="001A4E1C">
        <w:t>o</w:t>
      </w:r>
      <w:r w:rsidR="004A574B">
        <w:t xml:space="preserve">vereenkomst is een wachtkamerconstructie van toepassing. Op basis van de beoordeling van de </w:t>
      </w:r>
      <w:r w:rsidR="009A3645">
        <w:t>i</w:t>
      </w:r>
      <w:r w:rsidR="004A574B">
        <w:t xml:space="preserve">nschrijvingen overeenkomstig hoofdstuk 5 ontstaat een rangorde van </w:t>
      </w:r>
      <w:r w:rsidR="001A4E1C">
        <w:t>i</w:t>
      </w:r>
      <w:r w:rsidR="004A574B">
        <w:t xml:space="preserve">nschrijvers. De </w:t>
      </w:r>
      <w:r w:rsidR="001A4E1C">
        <w:t>i</w:t>
      </w:r>
      <w:r w:rsidR="004A574B">
        <w:t xml:space="preserve">nschrijver die als eerste niet in aanmerking komt voor gunning (de </w:t>
      </w:r>
      <w:r w:rsidR="001A4E1C">
        <w:t>i</w:t>
      </w:r>
      <w:r w:rsidR="004A574B">
        <w:t xml:space="preserve">nschrijver die als </w:t>
      </w:r>
      <w:r w:rsidR="001A4E1C">
        <w:t>twee</w:t>
      </w:r>
      <w:r w:rsidR="004A574B">
        <w:t>de is gerangschikt), wordt in de wachtkamer geplaatst.</w:t>
      </w:r>
    </w:p>
    <w:p w14:paraId="37CFEF19" w14:textId="50C4C388" w:rsidR="004A574B" w:rsidRDefault="004A574B" w:rsidP="004A574B">
      <w:pPr>
        <w:pStyle w:val="Geenafstand"/>
      </w:pPr>
      <w:r>
        <w:t>Met deze partij wordt een wachtkamerovereenkomst gesloten</w:t>
      </w:r>
      <w:r w:rsidR="001A4E1C">
        <w:t xml:space="preserve"> (zie bijlage</w:t>
      </w:r>
      <w:r>
        <w:t xml:space="preserve">). Hierin is onder meer opgenomen dat deze </w:t>
      </w:r>
      <w:r w:rsidR="001A4E1C">
        <w:t>i</w:t>
      </w:r>
      <w:r>
        <w:t xml:space="preserve">nschrijver de gestanddoeningstermijn van zijn </w:t>
      </w:r>
      <w:r w:rsidR="001A4E1C">
        <w:t>i</w:t>
      </w:r>
      <w:r>
        <w:t>nschrijving verlengt voor de duur van de wachtkamerovereenkomst.</w:t>
      </w:r>
    </w:p>
    <w:p w14:paraId="1451BA57" w14:textId="3C994C42" w:rsidR="004A574B" w:rsidRDefault="004A574B" w:rsidP="004A574B">
      <w:pPr>
        <w:pStyle w:val="Geenafstand"/>
      </w:pPr>
      <w:r>
        <w:t xml:space="preserve">De </w:t>
      </w:r>
      <w:r w:rsidR="009A3645">
        <w:t>Gemeente</w:t>
      </w:r>
      <w:r>
        <w:t xml:space="preserve"> behoudt zich overeenkomstig de wachtkamerovereenkomst het recht voor om, in geval van voortijdige ontbinding van de </w:t>
      </w:r>
      <w:r w:rsidR="00B47558">
        <w:t>o</w:t>
      </w:r>
      <w:r>
        <w:t xml:space="preserve">vereenkomst met de eerste </w:t>
      </w:r>
      <w:r w:rsidR="00B47558">
        <w:t>o</w:t>
      </w:r>
      <w:r>
        <w:t xml:space="preserve">pdrachtnemer, de </w:t>
      </w:r>
      <w:r w:rsidR="00B47558">
        <w:t>o</w:t>
      </w:r>
      <w:r>
        <w:t xml:space="preserve">pdracht alsnog tegen de condities van deze aanbesteding te gunnen aan de Inschrijver waarmee de wachtkamerovereenkomst is aangegaan, overeenkomstig diens </w:t>
      </w:r>
      <w:r w:rsidR="008C2A5C">
        <w:t>i</w:t>
      </w:r>
      <w:r>
        <w:t xml:space="preserve">nschrijving. De </w:t>
      </w:r>
      <w:r w:rsidR="00B47558">
        <w:t>Gemeente</w:t>
      </w:r>
      <w:r>
        <w:t xml:space="preserve"> kan voornoemd recht inroepen: </w:t>
      </w:r>
      <w:r w:rsidR="008C2A5C">
        <w:t>twee jaar</w:t>
      </w:r>
      <w:r>
        <w:t xml:space="preserve"> na het sluiten van de </w:t>
      </w:r>
      <w:r w:rsidR="00B47558">
        <w:t>o</w:t>
      </w:r>
      <w:r>
        <w:t xml:space="preserve">vereenkomst met de eerste </w:t>
      </w:r>
      <w:r w:rsidR="00B47558">
        <w:t>o</w:t>
      </w:r>
      <w:r>
        <w:t xml:space="preserve">pdrachtnemer. De </w:t>
      </w:r>
      <w:r w:rsidR="008C2A5C">
        <w:t>Gemeente</w:t>
      </w:r>
      <w:r>
        <w:t xml:space="preserve"> kan ook besluiten geen gebruik te maken van de wachtkamerovereenkomst.</w:t>
      </w:r>
    </w:p>
    <w:p w14:paraId="7570FD79" w14:textId="6F93CDF9" w:rsidR="6502CCEA" w:rsidRDefault="6502CCEA" w:rsidP="004A574B">
      <w:pPr>
        <w:pStyle w:val="Geenafstand"/>
      </w:pPr>
      <w:r>
        <w:br w:type="page"/>
      </w:r>
    </w:p>
    <w:p w14:paraId="2B511A8B" w14:textId="768EFE36" w:rsidR="00B30718" w:rsidRPr="00E254EB" w:rsidRDefault="00524D54" w:rsidP="00524D54">
      <w:pPr>
        <w:pStyle w:val="Kop1"/>
      </w:pPr>
      <w:bookmarkStart w:id="13" w:name="_Toc212632254"/>
      <w:bookmarkStart w:id="14" w:name="_Toc212632255"/>
      <w:bookmarkStart w:id="15" w:name="_Toc89681220"/>
      <w:bookmarkStart w:id="16" w:name="_Toc225942281"/>
      <w:bookmarkEnd w:id="13"/>
      <w:bookmarkEnd w:id="14"/>
      <w:r>
        <w:lastRenderedPageBreak/>
        <w:t>A</w:t>
      </w:r>
      <w:r w:rsidR="00B30718">
        <w:t>anbestedingsprocedure</w:t>
      </w:r>
      <w:bookmarkEnd w:id="15"/>
      <w:bookmarkEnd w:id="16"/>
      <w:r w:rsidR="00B30718">
        <w:t xml:space="preserve"> </w:t>
      </w:r>
    </w:p>
    <w:p w14:paraId="61740DC0" w14:textId="4FF37C5B" w:rsidR="00B30718" w:rsidRPr="00222306" w:rsidRDefault="00B30718" w:rsidP="004B7BF7">
      <w:pPr>
        <w:pStyle w:val="Kop2"/>
      </w:pPr>
      <w:bookmarkStart w:id="17" w:name="_Toc89681221"/>
      <w:bookmarkStart w:id="18" w:name="_Toc225942282"/>
      <w:r>
        <w:t>Procedure</w:t>
      </w:r>
      <w:bookmarkEnd w:id="17"/>
      <w:bookmarkEnd w:id="18"/>
      <w:r>
        <w:t xml:space="preserve"> </w:t>
      </w:r>
    </w:p>
    <w:p w14:paraId="7CB24AB2" w14:textId="484040C2" w:rsidR="00E03E67" w:rsidRDefault="00E03E67" w:rsidP="00E03E67">
      <w:pPr>
        <w:spacing w:line="240" w:lineRule="auto"/>
        <w:rPr>
          <w:rFonts w:eastAsia="Times New Roman" w:cs="Arial"/>
        </w:rPr>
      </w:pPr>
      <w:bookmarkStart w:id="19" w:name="_Hlk154655697"/>
      <w:r>
        <w:rPr>
          <w:rFonts w:eastAsia="Times New Roman" w:cs="Arial"/>
          <w:szCs w:val="22"/>
        </w:rPr>
        <w:t>O</w:t>
      </w:r>
      <w:r w:rsidRPr="0024116B">
        <w:rPr>
          <w:rFonts w:eastAsia="Times New Roman" w:cs="Arial"/>
          <w:szCs w:val="22"/>
        </w:rPr>
        <w:t xml:space="preserve">p deze aanbesteding is de </w:t>
      </w:r>
      <w:r w:rsidRPr="18FF62DE">
        <w:rPr>
          <w:rFonts w:eastAsia="Times New Roman" w:cs="Arial"/>
          <w:b/>
          <w:bCs/>
          <w:i/>
          <w:iCs/>
        </w:rPr>
        <w:t>Europees openbare</w:t>
      </w:r>
      <w:r w:rsidRPr="18FF62DE">
        <w:rPr>
          <w:rFonts w:eastAsia="Times New Roman" w:cs="Arial"/>
        </w:rPr>
        <w:t xml:space="preserve"> procedure volgens hoofdstuk 2 van het Aanbestedingsreglement Werken 2016 (ARW 2016)</w:t>
      </w:r>
      <w:r w:rsidR="00C249CC">
        <w:rPr>
          <w:rFonts w:eastAsia="Times New Roman" w:cs="Arial"/>
        </w:rPr>
        <w:t xml:space="preserve"> van toepassing</w:t>
      </w:r>
      <w:r w:rsidRPr="18FF62DE">
        <w:rPr>
          <w:rFonts w:eastAsia="Times New Roman" w:cs="Arial"/>
        </w:rPr>
        <w:t>.</w:t>
      </w:r>
      <w:bookmarkStart w:id="20" w:name="_Hlk154655835"/>
    </w:p>
    <w:p w14:paraId="0769D052" w14:textId="7E938716" w:rsidR="00E03E67" w:rsidRPr="00222306" w:rsidRDefault="00E03E67" w:rsidP="00E03E67">
      <w:pPr>
        <w:spacing w:line="240" w:lineRule="auto"/>
        <w:rPr>
          <w:rFonts w:eastAsia="Times New Roman" w:cs="Arial"/>
        </w:rPr>
      </w:pPr>
      <w:r w:rsidRPr="18FF62DE">
        <w:rPr>
          <w:rFonts w:eastAsia="Times New Roman" w:cs="Arial"/>
        </w:rPr>
        <w:t>Deze procedure is gepubliceerd op de aanbestedingswebsite TenderNed.</w:t>
      </w:r>
      <w:bookmarkEnd w:id="20"/>
    </w:p>
    <w:p w14:paraId="0FD4D984" w14:textId="3695CE9E" w:rsidR="00B30718" w:rsidRPr="0030372C" w:rsidRDefault="00755F45" w:rsidP="6DD35885">
      <w:pPr>
        <w:spacing w:line="240" w:lineRule="auto"/>
        <w:rPr>
          <w:rFonts w:eastAsia="Times New Roman" w:cs="Arial"/>
        </w:rPr>
      </w:pPr>
      <w:r>
        <w:br/>
      </w:r>
      <w:bookmarkStart w:id="21" w:name="_Hlk154567107"/>
      <w:r w:rsidR="00F46D45" w:rsidRPr="6DD35885">
        <w:rPr>
          <w:rFonts w:eastAsia="Times New Roman" w:cs="Arial"/>
        </w:rPr>
        <w:t>H</w:t>
      </w:r>
      <w:r w:rsidRPr="6DD35885">
        <w:rPr>
          <w:rFonts w:eastAsia="Times New Roman" w:cs="Arial"/>
        </w:rPr>
        <w:t>et betreft een</w:t>
      </w:r>
      <w:r w:rsidR="0024116B" w:rsidRPr="6DD35885">
        <w:rPr>
          <w:rFonts w:eastAsia="Times New Roman" w:cs="Arial"/>
        </w:rPr>
        <w:t xml:space="preserve"> </w:t>
      </w:r>
      <w:r w:rsidRPr="6DD35885">
        <w:rPr>
          <w:rFonts w:eastAsia="Times New Roman" w:cs="Arial"/>
        </w:rPr>
        <w:t xml:space="preserve">levering </w:t>
      </w:r>
      <w:r w:rsidR="006F2CB1" w:rsidRPr="6DD35885">
        <w:rPr>
          <w:rFonts w:eastAsia="Times New Roman" w:cs="Arial"/>
        </w:rPr>
        <w:t xml:space="preserve">met </w:t>
      </w:r>
      <w:r w:rsidR="5999DF87" w:rsidRPr="6DD35885">
        <w:rPr>
          <w:rFonts w:eastAsia="Times New Roman" w:cs="Arial"/>
        </w:rPr>
        <w:t>CPV-codes</w:t>
      </w:r>
      <w:r w:rsidR="00301469" w:rsidRPr="6DD35885">
        <w:rPr>
          <w:rFonts w:eastAsia="Times New Roman" w:cs="Arial"/>
        </w:rPr>
        <w:t>:</w:t>
      </w:r>
    </w:p>
    <w:p w14:paraId="2A8E2021" w14:textId="77777777" w:rsidR="00301469" w:rsidRPr="0030372C" w:rsidRDefault="00301469" w:rsidP="00EF13CD">
      <w:pPr>
        <w:pStyle w:val="Lijstalinea"/>
        <w:numPr>
          <w:ilvl w:val="0"/>
          <w:numId w:val="17"/>
        </w:numPr>
        <w:spacing w:line="240" w:lineRule="auto"/>
        <w:rPr>
          <w:rFonts w:eastAsia="Times New Roman" w:cs="Times New Roman"/>
          <w:color w:val="191614"/>
          <w:lang w:eastAsia="nl-NL"/>
        </w:rPr>
      </w:pPr>
      <w:r w:rsidRPr="2391D069">
        <w:rPr>
          <w:rFonts w:eastAsia="Times New Roman" w:cs="Times New Roman"/>
          <w:color w:val="191614"/>
          <w:lang w:eastAsia="nl-NL"/>
        </w:rPr>
        <w:t>48813200-2 Realtime passagiersinformatiesysteem</w:t>
      </w:r>
    </w:p>
    <w:p w14:paraId="47F76F7D" w14:textId="77777777" w:rsidR="00301469" w:rsidRPr="0030372C" w:rsidRDefault="00301469" w:rsidP="00EF13CD">
      <w:pPr>
        <w:pStyle w:val="Lijstalinea"/>
        <w:numPr>
          <w:ilvl w:val="0"/>
          <w:numId w:val="17"/>
        </w:numPr>
        <w:spacing w:line="240" w:lineRule="auto"/>
        <w:rPr>
          <w:rFonts w:eastAsia="Times New Roman" w:cs="Times New Roman"/>
          <w:color w:val="191614"/>
          <w:szCs w:val="22"/>
          <w:lang w:eastAsia="nl-NL"/>
        </w:rPr>
      </w:pPr>
      <w:r w:rsidRPr="0030372C">
        <w:rPr>
          <w:rFonts w:eastAsia="Times New Roman" w:cs="Times New Roman"/>
          <w:color w:val="191614"/>
          <w:szCs w:val="22"/>
          <w:lang w:eastAsia="nl-NL"/>
        </w:rPr>
        <w:t>48813000-0 Passagiersinformatiesysteem</w:t>
      </w:r>
    </w:p>
    <w:p w14:paraId="7A7CE19D" w14:textId="1EE5B681" w:rsidR="00301469" w:rsidRPr="0030372C" w:rsidRDefault="007F08B8" w:rsidP="00EF13CD">
      <w:pPr>
        <w:pStyle w:val="Lijstalinea"/>
        <w:numPr>
          <w:ilvl w:val="0"/>
          <w:numId w:val="17"/>
        </w:numPr>
        <w:spacing w:line="240" w:lineRule="auto"/>
        <w:rPr>
          <w:rFonts w:eastAsia="Times New Roman" w:cs="Times New Roman"/>
          <w:color w:val="191614"/>
          <w:lang w:eastAsia="nl-NL"/>
        </w:rPr>
      </w:pPr>
      <w:r>
        <w:rPr>
          <w:rFonts w:eastAsia="Times New Roman" w:cs="Times New Roman"/>
          <w:color w:val="191614"/>
          <w:lang w:eastAsia="nl-NL"/>
        </w:rPr>
        <w:t>72267000-4</w:t>
      </w:r>
      <w:r w:rsidR="00301469" w:rsidRPr="2391D069">
        <w:rPr>
          <w:rFonts w:eastAsia="Times New Roman" w:cs="Times New Roman"/>
          <w:color w:val="191614"/>
          <w:lang w:eastAsia="nl-NL"/>
        </w:rPr>
        <w:t xml:space="preserve"> </w:t>
      </w:r>
      <w:r>
        <w:rPr>
          <w:rFonts w:eastAsia="Times New Roman" w:cs="Times New Roman"/>
          <w:color w:val="191614"/>
          <w:lang w:eastAsia="nl-NL"/>
        </w:rPr>
        <w:t>O</w:t>
      </w:r>
      <w:r w:rsidR="00301469" w:rsidRPr="2391D069">
        <w:rPr>
          <w:rFonts w:eastAsia="Times New Roman" w:cs="Times New Roman"/>
          <w:color w:val="191614"/>
          <w:lang w:eastAsia="nl-NL"/>
        </w:rPr>
        <w:t>nderhouds</w:t>
      </w:r>
      <w:r>
        <w:rPr>
          <w:rFonts w:eastAsia="Times New Roman" w:cs="Times New Roman"/>
          <w:color w:val="191614"/>
          <w:lang w:eastAsia="nl-NL"/>
        </w:rPr>
        <w:t>- en reparatiediensten voor software</w:t>
      </w:r>
    </w:p>
    <w:p w14:paraId="04971385" w14:textId="3E545959" w:rsidR="00301469" w:rsidRPr="0030372C" w:rsidRDefault="00301469" w:rsidP="0030372C">
      <w:pPr>
        <w:pStyle w:val="Lijstalinea"/>
        <w:spacing w:line="240" w:lineRule="auto"/>
        <w:rPr>
          <w:rFonts w:eastAsia="Times New Roman" w:cs="Arial"/>
          <w:szCs w:val="22"/>
          <w:highlight w:val="cyan"/>
        </w:rPr>
      </w:pPr>
    </w:p>
    <w:p w14:paraId="7FE53657" w14:textId="163DCC44" w:rsidR="00B30718" w:rsidRPr="00222306" w:rsidRDefault="00D75DCB" w:rsidP="004B7BF7">
      <w:pPr>
        <w:pStyle w:val="Kop2"/>
      </w:pPr>
      <w:bookmarkStart w:id="22" w:name="_Toc89681222"/>
      <w:bookmarkStart w:id="23" w:name="_Toc225942283"/>
      <w:bookmarkEnd w:id="19"/>
      <w:bookmarkEnd w:id="21"/>
      <w:r>
        <w:t>Aanbestedingsp</w:t>
      </w:r>
      <w:r w:rsidR="00B30718">
        <w:t>lanning</w:t>
      </w:r>
      <w:bookmarkEnd w:id="22"/>
      <w:bookmarkEnd w:id="23"/>
    </w:p>
    <w:p w14:paraId="4D60B45D" w14:textId="4BA1B55B" w:rsidR="00B30718" w:rsidRPr="00222306" w:rsidRDefault="001D6D49" w:rsidP="00E27CC8">
      <w:r>
        <w:t xml:space="preserve">De planning inclusief uiterlijke datums voor het indienen van vragen en de inschrijving zijn gepubliceerd op TenderNed. Deze planning op TenderNed is leidend. Gemeente behoudt zich het recht voor om de planning op TenderNed aan te passen. </w:t>
      </w:r>
      <w:bookmarkStart w:id="24" w:name="_Toc51856090"/>
      <w:bookmarkStart w:id="25" w:name="_Toc89681223"/>
      <w:bookmarkStart w:id="26" w:name="_Toc245781027"/>
      <w:bookmarkStart w:id="27" w:name="_Hlk59537341"/>
      <w:r w:rsidR="00B30718">
        <w:t>Screening in het kader van de wet BIBOB</w:t>
      </w:r>
      <w:bookmarkEnd w:id="24"/>
      <w:bookmarkEnd w:id="25"/>
    </w:p>
    <w:p w14:paraId="21D32CEB" w14:textId="1B6238F5" w:rsidR="00B30718" w:rsidRPr="00EC69E8" w:rsidRDefault="003D5A22" w:rsidP="00B30718">
      <w:pPr>
        <w:spacing w:line="240" w:lineRule="auto"/>
      </w:pPr>
      <w:bookmarkStart w:id="28" w:name="_Toc245781028"/>
      <w:bookmarkEnd w:id="26"/>
      <w:r>
        <w:t>G</w:t>
      </w:r>
      <w:r w:rsidR="00B30718" w:rsidRPr="00EC69E8">
        <w:t xml:space="preserve">emeente kan, indien zij daartoe aanleiding ziet, voor of na de inschrijving op de aanbesteding een nader onderzoek instellen naar de integriteit van de inschrijvers in het kader van de Wet bevordering integriteitsbeoordeling (Wet </w:t>
      </w:r>
      <w:proofErr w:type="spellStart"/>
      <w:r w:rsidR="00B30718" w:rsidRPr="00EC69E8">
        <w:t>Bibob</w:t>
      </w:r>
      <w:proofErr w:type="spellEnd"/>
      <w:r w:rsidR="00B30718" w:rsidRPr="00EC69E8">
        <w:t xml:space="preserve">). De Wet </w:t>
      </w:r>
      <w:proofErr w:type="spellStart"/>
      <w:r w:rsidR="00B30718" w:rsidRPr="00EC69E8">
        <w:t>Bibob</w:t>
      </w:r>
      <w:proofErr w:type="spellEnd"/>
      <w:r w:rsidR="00B30718" w:rsidRPr="00EC69E8">
        <w:t xml:space="preserve"> beoogt te voorkomen dat overheden onder meer door aanbestedingen van overheidsopdrachten onbedoeld bepaalde criminele activiteiten faciliteren.</w:t>
      </w:r>
    </w:p>
    <w:p w14:paraId="3D6EF323" w14:textId="77777777" w:rsidR="00B30718" w:rsidRPr="00222306" w:rsidRDefault="00B30718" w:rsidP="00B30718">
      <w:pPr>
        <w:spacing w:line="240" w:lineRule="auto"/>
      </w:pPr>
      <w:r w:rsidRPr="00EC69E8">
        <w:t xml:space="preserve">Als er in het kader van de Wet </w:t>
      </w:r>
      <w:proofErr w:type="spellStart"/>
      <w:r w:rsidRPr="00EC69E8">
        <w:t>Bibob</w:t>
      </w:r>
      <w:proofErr w:type="spellEnd"/>
      <w:r w:rsidRPr="00EC69E8">
        <w:t xml:space="preserve"> een onderzoek is gedaan, wordt er alleen gegund indien er uit dit onderzoek geen bijzonderheden naar voren zijn gekomen.</w:t>
      </w:r>
      <w:r w:rsidRPr="00222306">
        <w:t xml:space="preserve"> </w:t>
      </w:r>
    </w:p>
    <w:bookmarkEnd w:id="27"/>
    <w:bookmarkEnd w:id="28"/>
    <w:p w14:paraId="1058D853" w14:textId="77777777" w:rsidR="00B30718" w:rsidRPr="00222306" w:rsidRDefault="00B30718" w:rsidP="00B30718">
      <w:pPr>
        <w:spacing w:line="240" w:lineRule="auto"/>
      </w:pPr>
    </w:p>
    <w:p w14:paraId="3B6FA718" w14:textId="0BF9BFF2" w:rsidR="00B30718" w:rsidRPr="00222306" w:rsidRDefault="00B30718" w:rsidP="2D0FBD75">
      <w:pPr>
        <w:pStyle w:val="Kop2"/>
      </w:pPr>
      <w:bookmarkStart w:id="29" w:name="_Toc51856091"/>
      <w:bookmarkStart w:id="30" w:name="_Toc89681224"/>
      <w:bookmarkStart w:id="31" w:name="_Toc225942284"/>
      <w:r>
        <w:t>Rechtsverwerking</w:t>
      </w:r>
      <w:bookmarkEnd w:id="29"/>
      <w:bookmarkEnd w:id="30"/>
      <w:bookmarkEnd w:id="31"/>
    </w:p>
    <w:p w14:paraId="456A0D60" w14:textId="614A77EF" w:rsidR="00B30718" w:rsidRPr="00222306" w:rsidRDefault="00B30718" w:rsidP="00B30718">
      <w:pPr>
        <w:spacing w:line="240" w:lineRule="auto"/>
      </w:pPr>
      <w:bookmarkStart w:id="32" w:name="_Hlk154567447"/>
      <w:r w:rsidRPr="00222306">
        <w:t xml:space="preserve">De </w:t>
      </w:r>
      <w:r w:rsidR="00CF54F1" w:rsidRPr="00222306">
        <w:t>a</w:t>
      </w:r>
      <w:r w:rsidRPr="00222306">
        <w:t xml:space="preserve">anbestedingsleidraad is met de grootst mogelijke zorgvuldigheid samengesteld. Desondanks kunnen er toch onduidelijkheden/onvolkomenheden in het document (en/of bijlagen) voorkomen. </w:t>
      </w:r>
      <w:r w:rsidR="003D5A22">
        <w:t>G</w:t>
      </w:r>
      <w:r w:rsidRPr="00222306">
        <w:t xml:space="preserve">emeente verwacht een </w:t>
      </w:r>
      <w:r w:rsidRPr="00222306">
        <w:rPr>
          <w:u w:val="single"/>
        </w:rPr>
        <w:t>proactieve houding</w:t>
      </w:r>
      <w:r w:rsidRPr="00222306">
        <w:t xml:space="preserve"> van de gegadigden, wat betekent dat de gegadigden eventuele onduidelijkheden en/of onvolkomenheden in de </w:t>
      </w:r>
      <w:r w:rsidR="00CF54F1" w:rsidRPr="00222306">
        <w:t>a</w:t>
      </w:r>
      <w:r w:rsidRPr="00222306">
        <w:t xml:space="preserve">anbestedingsleidraad zo spoedig mogelijk, in ieder geval vóór de laatste nota van inlichtingen, aan </w:t>
      </w:r>
      <w:r w:rsidR="003D5A22">
        <w:t>G</w:t>
      </w:r>
      <w:r w:rsidRPr="00222306">
        <w:t>emeente moeten melden</w:t>
      </w:r>
      <w:r w:rsidR="00AD79F4" w:rsidRPr="00222306">
        <w:t>.</w:t>
      </w:r>
    </w:p>
    <w:bookmarkEnd w:id="32"/>
    <w:p w14:paraId="108FE48F" w14:textId="01629450" w:rsidR="00B30718" w:rsidRPr="00222306" w:rsidRDefault="00B30718" w:rsidP="00B30718">
      <w:pPr>
        <w:spacing w:line="240" w:lineRule="auto"/>
      </w:pPr>
    </w:p>
    <w:p w14:paraId="67FD5721" w14:textId="069D5071" w:rsidR="00AD79F4" w:rsidRPr="00222306" w:rsidRDefault="00AD79F4" w:rsidP="00AD79F4">
      <w:pPr>
        <w:spacing w:line="240" w:lineRule="auto"/>
      </w:pPr>
      <w:r w:rsidRPr="00222306">
        <w:t xml:space="preserve">Indien een gegadigde vóór inschrijving heeft geklaagd over </w:t>
      </w:r>
      <w:r w:rsidR="00167B13">
        <w:t xml:space="preserve">een </w:t>
      </w:r>
      <w:r w:rsidRPr="00222306">
        <w:t>onduidelijkhe</w:t>
      </w:r>
      <w:r w:rsidR="00167B13">
        <w:t xml:space="preserve">id, </w:t>
      </w:r>
      <w:r w:rsidRPr="00222306">
        <w:t>onvolkomenhe</w:t>
      </w:r>
      <w:r w:rsidR="00167B13">
        <w:t xml:space="preserve">id en/of </w:t>
      </w:r>
      <w:r w:rsidRPr="00222306">
        <w:t xml:space="preserve">onrechtmatigheid kan hij na gunning hierover alleen opnieuw klagen als de betreffende bepaling reden is geweest voor ongeldigheid of afwijzing van de inschrijving. </w:t>
      </w:r>
    </w:p>
    <w:p w14:paraId="1B793A35" w14:textId="14BAD228" w:rsidR="00AD79F4" w:rsidRPr="00222306" w:rsidRDefault="00AD79F4" w:rsidP="00AD79F4">
      <w:pPr>
        <w:spacing w:line="240" w:lineRule="auto"/>
      </w:pPr>
    </w:p>
    <w:p w14:paraId="1A8678AF" w14:textId="245EC685" w:rsidR="00AD79F4" w:rsidRPr="00222306" w:rsidRDefault="00AD79F4" w:rsidP="00AD79F4">
      <w:pPr>
        <w:spacing w:line="240" w:lineRule="auto"/>
      </w:pPr>
      <w:r w:rsidRPr="00EC69E8">
        <w:t xml:space="preserve">Inschrijvers kunnen na gunning niet klagen over zaken waarover niet door henzelf, maar alleen door andere gegadigden vóór inschrijving naar is gevraagd en/of </w:t>
      </w:r>
      <w:r w:rsidR="00167B13">
        <w:t xml:space="preserve">over </w:t>
      </w:r>
      <w:r w:rsidRPr="00EC69E8">
        <w:t xml:space="preserve">is geklaagd. </w:t>
      </w:r>
      <w:r w:rsidR="003D5A22">
        <w:t>G</w:t>
      </w:r>
      <w:r w:rsidRPr="00EC69E8">
        <w:t xml:space="preserve">emeente verwacht van de inschrijvers dat zij, wanneer zij menen dat de aanbesteding zodanig gebrekkig is dat deze niet zou moeten worden voortgezet en zij bereid zijn dat standpunt in rechte af te dwingen, dat aan </w:t>
      </w:r>
      <w:r w:rsidR="003D5A22">
        <w:t>G</w:t>
      </w:r>
      <w:r w:rsidRPr="00EC69E8">
        <w:t xml:space="preserve">emeente zelfstandig kenbaar maken zodat </w:t>
      </w:r>
      <w:r w:rsidR="003D5A22">
        <w:t>G</w:t>
      </w:r>
      <w:r w:rsidRPr="00EC69E8">
        <w:t>emeente de kans krijgt desgewenst daarnaar te handelen.</w:t>
      </w:r>
      <w:r w:rsidRPr="00222306">
        <w:t xml:space="preserve"> </w:t>
      </w:r>
    </w:p>
    <w:p w14:paraId="3DE07BE2" w14:textId="77777777" w:rsidR="00AD79F4" w:rsidRPr="00222306" w:rsidRDefault="00AD79F4" w:rsidP="00B30718">
      <w:pPr>
        <w:spacing w:line="240" w:lineRule="auto"/>
      </w:pPr>
    </w:p>
    <w:p w14:paraId="478541BE" w14:textId="20A6126E" w:rsidR="00B30718" w:rsidRPr="00222306" w:rsidRDefault="00B30718" w:rsidP="00B30718">
      <w:pPr>
        <w:spacing w:line="240" w:lineRule="auto"/>
      </w:pPr>
      <w:r w:rsidRPr="00222306">
        <w:lastRenderedPageBreak/>
        <w:t xml:space="preserve">Met de indiening van de inschrijving worden </w:t>
      </w:r>
      <w:r w:rsidR="00A9560B">
        <w:t xml:space="preserve">de </w:t>
      </w:r>
      <w:r w:rsidRPr="00222306">
        <w:t>inschrijvers geacht te hebben ingestemd met de gehanteerde eisen, criteria en de gevolgde aanbestedingsprocedure en de genoemde rechtsverwerkingsclausules en voorbehouden.</w:t>
      </w:r>
    </w:p>
    <w:p w14:paraId="427F8B96" w14:textId="321AC625" w:rsidR="00CF54F1" w:rsidRPr="00222306" w:rsidRDefault="00CF54F1" w:rsidP="00B30718">
      <w:pPr>
        <w:spacing w:line="240" w:lineRule="auto"/>
      </w:pPr>
    </w:p>
    <w:p w14:paraId="2409D3BF" w14:textId="6B502061" w:rsidR="00B30718" w:rsidRPr="00222306" w:rsidRDefault="00B30718" w:rsidP="004B7BF7">
      <w:pPr>
        <w:pStyle w:val="Kop2"/>
      </w:pPr>
      <w:bookmarkStart w:id="33" w:name="_Toc245781030"/>
      <w:bookmarkStart w:id="34" w:name="_Toc51856092"/>
      <w:bookmarkStart w:id="35" w:name="_Toc89681225"/>
      <w:bookmarkStart w:id="36" w:name="_Toc225942285"/>
      <w:r>
        <w:t>Inlichtingen</w:t>
      </w:r>
      <w:bookmarkEnd w:id="33"/>
      <w:r>
        <w:t xml:space="preserve"> en communicatie</w:t>
      </w:r>
      <w:bookmarkEnd w:id="34"/>
      <w:bookmarkEnd w:id="35"/>
      <w:bookmarkEnd w:id="36"/>
    </w:p>
    <w:p w14:paraId="280D1F07" w14:textId="039BCA5E" w:rsidR="00B30718" w:rsidRPr="00222306" w:rsidRDefault="00B30718" w:rsidP="00B30718">
      <w:pPr>
        <w:spacing w:line="240" w:lineRule="auto"/>
      </w:pPr>
      <w:r w:rsidRPr="00222306">
        <w:t>Indien er naar aanleiding van deze aanbestedingsleidraad nog vragen zijn</w:t>
      </w:r>
      <w:r w:rsidR="00F71846" w:rsidRPr="00F71846">
        <w:t xml:space="preserve"> stelt gegadigde deze via TenderNed uiterlijk op het op TenderNed gepubliceerde tijdstip. Vragen die na dit tijdstip binnenkomen, worden in principe niet beantwoord.</w:t>
      </w:r>
      <w:r w:rsidR="00D1044C">
        <w:t xml:space="preserve"> </w:t>
      </w:r>
      <w:bookmarkStart w:id="37" w:name="_Hlk187247009"/>
      <w:r w:rsidR="0097248A">
        <w:t>G</w:t>
      </w:r>
      <w:r w:rsidR="00D1044C">
        <w:t xml:space="preserve">emeente behoudt zich het recht voor vragen die na dit tijdstip binnenkomen wel te beantwoorden als dat vanwege de aard van de vraag </w:t>
      </w:r>
      <w:r w:rsidR="00F7517C">
        <w:t xml:space="preserve">naar haar oordeel </w:t>
      </w:r>
      <w:r w:rsidR="002F7F4E">
        <w:t>wenselijk</w:t>
      </w:r>
      <w:r w:rsidR="00D1044C">
        <w:t xml:space="preserve"> is.</w:t>
      </w:r>
      <w:bookmarkEnd w:id="37"/>
    </w:p>
    <w:p w14:paraId="41CD0E2A" w14:textId="785BF2CA" w:rsidR="00B30718" w:rsidRPr="00222306" w:rsidRDefault="00B30718" w:rsidP="00B30718">
      <w:pPr>
        <w:spacing w:line="240" w:lineRule="auto"/>
      </w:pPr>
      <w:r w:rsidRPr="00222306">
        <w:t xml:space="preserve">Beantwoording van de vragen vindt plaats middels een nota van inlichtingen via TenderNed aan alle </w:t>
      </w:r>
      <w:r w:rsidR="00C57DC0">
        <w:t>geïnteresseerde</w:t>
      </w:r>
      <w:r w:rsidR="00F71846">
        <w:t xml:space="preserve"> ondernemers</w:t>
      </w:r>
      <w:r w:rsidRPr="00222306">
        <w:t xml:space="preserve">. De vragen en de daarop gegeven antwoorden </w:t>
      </w:r>
      <w:r w:rsidR="00F71846">
        <w:t xml:space="preserve">zijn een </w:t>
      </w:r>
      <w:r w:rsidRPr="00222306">
        <w:t xml:space="preserve">integraal onderdeel van de </w:t>
      </w:r>
      <w:r w:rsidR="00790954">
        <w:t>aanbestedingsdocumenten</w:t>
      </w:r>
      <w:r w:rsidR="00790954" w:rsidRPr="00222306">
        <w:t xml:space="preserve"> </w:t>
      </w:r>
      <w:r w:rsidRPr="00222306">
        <w:t>en worden volgens planning gepubliceerd op TenderNed.</w:t>
      </w:r>
    </w:p>
    <w:p w14:paraId="5889F558" w14:textId="2633FAAE" w:rsidR="00A156AD" w:rsidRPr="00222306" w:rsidRDefault="00A156AD" w:rsidP="00A156AD">
      <w:pPr>
        <w:spacing w:line="240" w:lineRule="auto"/>
      </w:pPr>
      <w:r w:rsidRPr="00222306">
        <w:t>In geval van tegenstrijdigheden tussen de nota van inlichtingen en eerder verstrekte documenten prevaleert het bepaalde in de nota van inlichtingen. Indien er meer nota's van inlichtingen zijn, prevaleert in geval van tegenstrijdigheden tussen de nota's, het bepaalde in de meest recente nota van inlichtingen.</w:t>
      </w:r>
    </w:p>
    <w:p w14:paraId="27AEAF35" w14:textId="77777777" w:rsidR="00224470" w:rsidRDefault="00224470" w:rsidP="00224470">
      <w:pPr>
        <w:spacing w:line="240" w:lineRule="auto"/>
      </w:pPr>
      <w:bookmarkStart w:id="38" w:name="_Hlk51846791"/>
    </w:p>
    <w:p w14:paraId="500F3618" w14:textId="61487A00" w:rsidR="00224470" w:rsidRPr="00222306" w:rsidRDefault="00224470" w:rsidP="00224470">
      <w:pPr>
        <w:spacing w:line="240" w:lineRule="auto"/>
      </w:pPr>
      <w:r w:rsidRPr="00222306">
        <w:t xml:space="preserve">Telefonisch contact over onduidelijkheden in het proces is mogelijk met de </w:t>
      </w:r>
      <w:r>
        <w:t>i</w:t>
      </w:r>
      <w:r w:rsidRPr="00222306">
        <w:t xml:space="preserve">nkoopadviseur </w:t>
      </w:r>
      <w:r>
        <w:t xml:space="preserve">voor deze </w:t>
      </w:r>
      <w:r w:rsidRPr="00234798">
        <w:t xml:space="preserve">aanbesteding </w:t>
      </w:r>
      <w:r w:rsidR="00234798" w:rsidRPr="00234798">
        <w:t>(</w:t>
      </w:r>
      <w:r w:rsidR="00234798" w:rsidRPr="0030372C">
        <w:t xml:space="preserve">dhr. </w:t>
      </w:r>
      <w:r w:rsidR="00C6420E">
        <w:t>J. Laan</w:t>
      </w:r>
      <w:r w:rsidR="00234798" w:rsidRPr="0030372C">
        <w:t xml:space="preserve">  </w:t>
      </w:r>
      <w:r w:rsidRPr="0030372C">
        <w:t xml:space="preserve">op </w:t>
      </w:r>
      <w:r w:rsidR="00234798" w:rsidRPr="00234798">
        <w:t xml:space="preserve"> </w:t>
      </w:r>
      <w:r w:rsidR="00C6420E">
        <w:t>020 4877 111</w:t>
      </w:r>
      <w:r w:rsidRPr="0030372C">
        <w:t>.</w:t>
      </w:r>
      <w:r w:rsidR="00884FC3">
        <w:t>)</w:t>
      </w:r>
      <w:r w:rsidRPr="00222306">
        <w:t xml:space="preserve"> </w:t>
      </w:r>
    </w:p>
    <w:p w14:paraId="43389FB7" w14:textId="4B74354F" w:rsidR="00224470" w:rsidRPr="00222306" w:rsidRDefault="00224470" w:rsidP="00224470">
      <w:pPr>
        <w:spacing w:line="240" w:lineRule="auto"/>
      </w:pPr>
      <w:bookmarkStart w:id="39" w:name="_Hlk154589813"/>
      <w:r w:rsidRPr="00222306">
        <w:t>Alleen aan de informatie in deze leidraad (inclusief bijlagen) en de nota‘s van inlichtingen kunnen rechten worden ontleend. Aan informatie verstrekt via andere kanalen, zoals telefonisch contact</w:t>
      </w:r>
      <w:r>
        <w:t xml:space="preserve"> of bijeenkomsten</w:t>
      </w:r>
      <w:r w:rsidRPr="00222306">
        <w:t>, k</w:t>
      </w:r>
      <w:r>
        <w:t>unnen</w:t>
      </w:r>
      <w:r w:rsidRPr="00222306">
        <w:t xml:space="preserve"> geen rechten worden ontleend.</w:t>
      </w:r>
    </w:p>
    <w:bookmarkEnd w:id="38"/>
    <w:bookmarkEnd w:id="39"/>
    <w:p w14:paraId="2250D4D0" w14:textId="77777777" w:rsidR="00B30718" w:rsidRPr="00222306" w:rsidRDefault="00B30718" w:rsidP="00B30718">
      <w:pPr>
        <w:spacing w:line="240" w:lineRule="auto"/>
      </w:pPr>
    </w:p>
    <w:p w14:paraId="12010116" w14:textId="2C7F3CB3" w:rsidR="00B30718" w:rsidRPr="00222306" w:rsidRDefault="00B30718" w:rsidP="00B30718">
      <w:pPr>
        <w:spacing w:line="240" w:lineRule="auto"/>
      </w:pPr>
      <w:bookmarkStart w:id="40" w:name="_Hlk64278259"/>
      <w:r w:rsidRPr="00222306">
        <w:t xml:space="preserve">Indien om technische redenen communicatie via </w:t>
      </w:r>
      <w:hyperlink r:id="rId9" w:history="1">
        <w:r w:rsidRPr="00222306">
          <w:rPr>
            <w:rStyle w:val="Hyperlink"/>
            <w:rFonts w:cstheme="minorBidi"/>
          </w:rPr>
          <w:t>www.TenderNed.nl</w:t>
        </w:r>
      </w:hyperlink>
      <w:r w:rsidRPr="00222306">
        <w:t xml:space="preserve"> niet mogelijk is, is het toegestaan communicatie met betrekking tot deze aanbesteding plaats te laten vinden via: </w:t>
      </w:r>
      <w:r w:rsidR="00405083">
        <w:t>inkoop</w:t>
      </w:r>
      <w:r w:rsidRPr="00222306">
        <w:t>@</w:t>
      </w:r>
      <w:r w:rsidR="00BF51C5">
        <w:t>l</w:t>
      </w:r>
      <w:r w:rsidR="0061241D">
        <w:t>andsmeer</w:t>
      </w:r>
      <w:r w:rsidRPr="00222306">
        <w:t xml:space="preserve">.nl t.a.v. </w:t>
      </w:r>
      <w:r w:rsidR="00884FC3" w:rsidRPr="00076CA4">
        <w:t>dhr.</w:t>
      </w:r>
      <w:r w:rsidR="00884FC3">
        <w:t xml:space="preserve"> J</w:t>
      </w:r>
      <w:r w:rsidR="00405083">
        <w:t xml:space="preserve">. Laan </w:t>
      </w:r>
      <w:r w:rsidR="00234798" w:rsidRPr="00076CA4">
        <w:t xml:space="preserve"> </w:t>
      </w:r>
      <w:r w:rsidRPr="00222306">
        <w:t xml:space="preserve">onder vermelding </w:t>
      </w:r>
      <w:r w:rsidRPr="00234798">
        <w:t xml:space="preserve">van </w:t>
      </w:r>
      <w:r w:rsidR="009E14ED">
        <w:t>“</w:t>
      </w:r>
      <w:r w:rsidR="00234798" w:rsidRPr="009E14ED">
        <w:rPr>
          <w:i/>
          <w:iCs/>
        </w:rPr>
        <w:t>Levering, installatie, onderhoud en beheer van DRIS-displays</w:t>
      </w:r>
      <w:r w:rsidR="009E14ED">
        <w:t>”</w:t>
      </w:r>
      <w:r w:rsidRPr="0030372C">
        <w:t>.</w:t>
      </w:r>
      <w:r w:rsidRPr="00222306">
        <w:t xml:space="preserve"> </w:t>
      </w:r>
      <w:r w:rsidR="0097248A">
        <w:t>G</w:t>
      </w:r>
      <w:r w:rsidRPr="00222306">
        <w:t xml:space="preserve">emeente accepteert alleen een inschrijving via </w:t>
      </w:r>
      <w:hyperlink r:id="rId10" w:history="1">
        <w:r w:rsidR="00BF51C5" w:rsidRPr="004F39D1">
          <w:rPr>
            <w:rStyle w:val="Hyperlink"/>
            <w:rFonts w:cstheme="minorBidi"/>
          </w:rPr>
          <w:t>inkoop@landsmeer.nl</w:t>
        </w:r>
      </w:hyperlink>
      <w:r w:rsidRPr="00222306">
        <w:t xml:space="preserve"> indien de storing van TenderNed bevestigd wordt door het storingsoverzicht op TenderNed. </w:t>
      </w:r>
    </w:p>
    <w:bookmarkEnd w:id="40"/>
    <w:p w14:paraId="4B937472" w14:textId="77777777" w:rsidR="00B30718" w:rsidRDefault="00B30718" w:rsidP="00B30718">
      <w:pPr>
        <w:spacing w:line="240" w:lineRule="auto"/>
      </w:pPr>
    </w:p>
    <w:p w14:paraId="4323BEFB" w14:textId="7B7A9A8C" w:rsidR="00224470" w:rsidRPr="00222306" w:rsidRDefault="00224470" w:rsidP="00224470">
      <w:pPr>
        <w:spacing w:line="240" w:lineRule="auto"/>
      </w:pPr>
      <w:bookmarkStart w:id="41" w:name="_Hlk64278120"/>
      <w:r w:rsidRPr="00222306">
        <w:t>Het</w:t>
      </w:r>
      <w:r w:rsidR="00BF51C5">
        <w:t>,</w:t>
      </w:r>
      <w:r w:rsidRPr="00222306">
        <w:t xml:space="preserve"> in het kader van de aanbestedingsprocedure</w:t>
      </w:r>
      <w:r w:rsidR="00BF51C5">
        <w:t>,</w:t>
      </w:r>
      <w:r w:rsidRPr="00222306">
        <w:t xml:space="preserve"> op een andere dan de in deze paragraaf aangegeven wijze contact opnemen met de gemeentelijke organisatie of leden van de verantwoordelijke projectgroep ter verkrijging van welke informatie dan ook,</w:t>
      </w:r>
      <w:r>
        <w:t xml:space="preserve"> kan tot uitsluiting leiden en</w:t>
      </w:r>
      <w:r w:rsidRPr="00222306">
        <w:t xml:space="preserve"> </w:t>
      </w:r>
      <w:bookmarkStart w:id="42" w:name="_Hlk59537781"/>
      <w:r w:rsidRPr="00222306">
        <w:t xml:space="preserve">leidt </w:t>
      </w:r>
      <w:r>
        <w:t xml:space="preserve">in ieder geval </w:t>
      </w:r>
      <w:r w:rsidRPr="00222306">
        <w:t xml:space="preserve">tot uitsluiting als dat contact de transparantie van de aanbestedingsprocedure en de gelijkheid van inschrijvers in gevaar brengt. </w:t>
      </w:r>
      <w:bookmarkEnd w:id="42"/>
    </w:p>
    <w:bookmarkEnd w:id="41"/>
    <w:p w14:paraId="7DE41240" w14:textId="77777777" w:rsidR="00224470" w:rsidRDefault="00224470" w:rsidP="00B30718">
      <w:pPr>
        <w:spacing w:line="240" w:lineRule="auto"/>
      </w:pPr>
    </w:p>
    <w:p w14:paraId="689B3984" w14:textId="3A879CDF" w:rsidR="00B30718" w:rsidRPr="00222306" w:rsidRDefault="00077805" w:rsidP="004B7BF7">
      <w:pPr>
        <w:pStyle w:val="Kop2"/>
      </w:pPr>
      <w:bookmarkStart w:id="43" w:name="_Toc51856094"/>
      <w:bookmarkStart w:id="44" w:name="_Toc89681227"/>
      <w:bookmarkStart w:id="45" w:name="_Toc245781032"/>
      <w:bookmarkStart w:id="46" w:name="_Toc225942286"/>
      <w:r>
        <w:t>O</w:t>
      </w:r>
      <w:r w:rsidR="00B30718">
        <w:t xml:space="preserve">pening </w:t>
      </w:r>
      <w:r w:rsidR="00B70DBE">
        <w:t>kluis met</w:t>
      </w:r>
      <w:r w:rsidR="00B30718">
        <w:t xml:space="preserve"> inschrijvingen</w:t>
      </w:r>
      <w:bookmarkEnd w:id="43"/>
      <w:bookmarkEnd w:id="44"/>
      <w:bookmarkEnd w:id="46"/>
    </w:p>
    <w:bookmarkEnd w:id="45"/>
    <w:p w14:paraId="25FA75E4" w14:textId="5F2ECC18" w:rsidR="00B30718" w:rsidRPr="00222306" w:rsidRDefault="00077805" w:rsidP="00B30718">
      <w:pPr>
        <w:spacing w:line="240" w:lineRule="auto"/>
      </w:pPr>
      <w:r w:rsidRPr="00077805">
        <w:t xml:space="preserve">Wanneer Gemeente de digitale kluis opent, stuurt TenderNed aan </w:t>
      </w:r>
      <w:r w:rsidR="006C11CD">
        <w:t xml:space="preserve">de </w:t>
      </w:r>
      <w:r w:rsidRPr="00077805">
        <w:t xml:space="preserve">inschrijvers hiervan een bericht. </w:t>
      </w:r>
      <w:r w:rsidR="00B70DBE">
        <w:t xml:space="preserve">Gemeente verstuurt binnen twee dagen een proces-verbaal van opening. </w:t>
      </w:r>
      <w:r w:rsidRPr="00077805">
        <w:t>Vervolgens beoordeelt Gemeente de ingediende inschrijvingen.</w:t>
      </w:r>
    </w:p>
    <w:p w14:paraId="148965C0" w14:textId="77777777" w:rsidR="00B30718" w:rsidRPr="00222306" w:rsidRDefault="00B30718" w:rsidP="00B30718">
      <w:pPr>
        <w:spacing w:line="240" w:lineRule="auto"/>
      </w:pPr>
    </w:p>
    <w:p w14:paraId="761139E2" w14:textId="22939B78" w:rsidR="00B30718" w:rsidRPr="00222306" w:rsidRDefault="00B30718" w:rsidP="004B7BF7">
      <w:pPr>
        <w:pStyle w:val="Kop2"/>
      </w:pPr>
      <w:bookmarkStart w:id="47" w:name="_Toc51856095"/>
      <w:bookmarkStart w:id="48" w:name="_Toc89681228"/>
      <w:bookmarkStart w:id="49" w:name="_Toc225942287"/>
      <w:r>
        <w:t>Beoordelingsprocedure</w:t>
      </w:r>
      <w:bookmarkEnd w:id="47"/>
      <w:bookmarkEnd w:id="48"/>
      <w:bookmarkEnd w:id="49"/>
    </w:p>
    <w:p w14:paraId="0DE689B7" w14:textId="7FB3561A" w:rsidR="00B30718" w:rsidRPr="00222306" w:rsidRDefault="00B30718" w:rsidP="00B30718">
      <w:pPr>
        <w:spacing w:line="240" w:lineRule="auto"/>
      </w:pPr>
      <w:r w:rsidRPr="00222306">
        <w:t>Na</w:t>
      </w:r>
      <w:r w:rsidR="00791102">
        <w:t xml:space="preserve"> opening van de kluis met inschrijvingen</w:t>
      </w:r>
      <w:r w:rsidRPr="00222306">
        <w:t>, vindt de volgende toets plaats:</w:t>
      </w:r>
    </w:p>
    <w:p w14:paraId="603DF9A3" w14:textId="027E8F3C" w:rsidR="00B30718" w:rsidRPr="00222306" w:rsidRDefault="00B30718" w:rsidP="00EF13CD">
      <w:pPr>
        <w:numPr>
          <w:ilvl w:val="0"/>
          <w:numId w:val="6"/>
        </w:numPr>
        <w:spacing w:line="240" w:lineRule="auto"/>
      </w:pPr>
      <w:r>
        <w:t xml:space="preserve">Eerst wordt vastgesteld of de inschrijvingen zijn ingediend </w:t>
      </w:r>
      <w:r w:rsidR="47530264">
        <w:t>volgens</w:t>
      </w:r>
      <w:r>
        <w:t xml:space="preserve"> de inschrijvingsvoorwaarden, zoals beschreven in hoofdstuk 3.</w:t>
      </w:r>
    </w:p>
    <w:p w14:paraId="3A402839" w14:textId="77777777" w:rsidR="00791102" w:rsidRDefault="00B30718" w:rsidP="00EF13CD">
      <w:pPr>
        <w:numPr>
          <w:ilvl w:val="0"/>
          <w:numId w:val="6"/>
        </w:numPr>
        <w:spacing w:line="240" w:lineRule="auto"/>
      </w:pPr>
      <w:r w:rsidRPr="00222306">
        <w:lastRenderedPageBreak/>
        <w:t>Daarna vindt de beoordeling van de inschrijvers plaats aan de hand van:</w:t>
      </w:r>
    </w:p>
    <w:p w14:paraId="5961BD85" w14:textId="77777777" w:rsidR="00791102" w:rsidRDefault="00B30718" w:rsidP="00EF13CD">
      <w:pPr>
        <w:numPr>
          <w:ilvl w:val="1"/>
          <w:numId w:val="6"/>
        </w:numPr>
        <w:spacing w:line="240" w:lineRule="auto"/>
      </w:pPr>
      <w:r w:rsidRPr="00222306">
        <w:t>Uitsluitingsgronden (zoals opgenomen in het Uniform Europees Aanbestedingsdocument, hierna te noemen UEA);</w:t>
      </w:r>
    </w:p>
    <w:p w14:paraId="52779459" w14:textId="53A4190C" w:rsidR="00B30718" w:rsidRPr="00222306" w:rsidRDefault="00B30718" w:rsidP="00EF13CD">
      <w:pPr>
        <w:numPr>
          <w:ilvl w:val="1"/>
          <w:numId w:val="6"/>
        </w:numPr>
        <w:spacing w:line="240" w:lineRule="auto"/>
      </w:pPr>
      <w:r w:rsidRPr="00222306">
        <w:t>Geschiktheidseisen (zoals opgenomen in hoofdstuk 4).</w:t>
      </w:r>
    </w:p>
    <w:p w14:paraId="5082FF8F" w14:textId="7C7E5E29" w:rsidR="00B30718" w:rsidRPr="00222306" w:rsidRDefault="00B30718" w:rsidP="00EF13CD">
      <w:pPr>
        <w:numPr>
          <w:ilvl w:val="0"/>
          <w:numId w:val="6"/>
        </w:numPr>
        <w:spacing w:line="240" w:lineRule="auto"/>
      </w:pPr>
      <w:r w:rsidRPr="00222306">
        <w:t>Vervolgens vindt beoordeling van de inschrijvingen plaats aan de hand van het gestelde gunningcriterium (zoals opgenomen in hoofdstuk 5).</w:t>
      </w:r>
    </w:p>
    <w:p w14:paraId="4C92FA00" w14:textId="77777777" w:rsidR="00B30718" w:rsidRDefault="00B30718" w:rsidP="00B30718">
      <w:pPr>
        <w:spacing w:line="240" w:lineRule="auto"/>
      </w:pPr>
    </w:p>
    <w:p w14:paraId="6899B5EA" w14:textId="11CFD04A" w:rsidR="003C1ED1" w:rsidRDefault="0097248A" w:rsidP="00B30718">
      <w:pPr>
        <w:spacing w:line="240" w:lineRule="auto"/>
      </w:pPr>
      <w:r>
        <w:t>G</w:t>
      </w:r>
      <w:r w:rsidR="003C1ED1">
        <w:t>emeente behoudt zich het recht voor om inschrijvingen waarvan de geldigheid op grond van de toets genoemd onder 1. en 2. nog niet vaststaat al wel inhoudelijk te toetsen.</w:t>
      </w:r>
    </w:p>
    <w:p w14:paraId="7D11FF47" w14:textId="77777777" w:rsidR="00B30718" w:rsidRPr="00222306" w:rsidRDefault="00B30718" w:rsidP="00B30718">
      <w:pPr>
        <w:spacing w:line="240" w:lineRule="auto"/>
      </w:pPr>
    </w:p>
    <w:p w14:paraId="367B3AB5" w14:textId="469D563F" w:rsidR="00B30718" w:rsidRPr="00222306" w:rsidRDefault="00B30718" w:rsidP="004B7BF7">
      <w:pPr>
        <w:pStyle w:val="Kop2"/>
      </w:pPr>
      <w:bookmarkStart w:id="50" w:name="_Toc89681229"/>
      <w:bookmarkStart w:id="51" w:name="_Toc17892419"/>
      <w:bookmarkStart w:id="52" w:name="_Toc51856096"/>
      <w:bookmarkStart w:id="53" w:name="_Hlk51846850"/>
      <w:bookmarkStart w:id="54" w:name="_Hlk51856401"/>
      <w:bookmarkStart w:id="55" w:name="_Toc225942288"/>
      <w:r>
        <w:t>Verificatie</w:t>
      </w:r>
      <w:bookmarkEnd w:id="50"/>
      <w:bookmarkEnd w:id="55"/>
      <w:r>
        <w:t xml:space="preserve"> </w:t>
      </w:r>
      <w:bookmarkEnd w:id="51"/>
      <w:bookmarkEnd w:id="52"/>
    </w:p>
    <w:p w14:paraId="30880B98" w14:textId="549125A1" w:rsidR="00B30718" w:rsidRPr="00222306" w:rsidRDefault="00B30718" w:rsidP="00B30718">
      <w:pPr>
        <w:spacing w:line="240" w:lineRule="auto"/>
      </w:pPr>
      <w:bookmarkStart w:id="56" w:name="_Hlk154590992"/>
      <w:bookmarkStart w:id="57" w:name="_Hlk154590955"/>
      <w:r w:rsidRPr="00222306">
        <w:t xml:space="preserve">Na de beoordeling van de inschrijvingen kan </w:t>
      </w:r>
      <w:r w:rsidR="0097248A">
        <w:t>G</w:t>
      </w:r>
      <w:r w:rsidRPr="00222306">
        <w:t>emeente besluiten om met de voorlopig als eerste geëindigde inschrijver een verificatiegesprek te</w:t>
      </w:r>
      <w:r w:rsidR="006C11CD">
        <w:t xml:space="preserve"> houden</w:t>
      </w:r>
      <w:r w:rsidRPr="00222306">
        <w:t xml:space="preserve">. </w:t>
      </w:r>
      <w:r w:rsidR="00720389" w:rsidRPr="00720389">
        <w:t xml:space="preserve">Dit gesprek vindt plaats na </w:t>
      </w:r>
      <w:r w:rsidR="006C11CD">
        <w:t xml:space="preserve">het </w:t>
      </w:r>
      <w:r w:rsidR="00720389" w:rsidRPr="00720389">
        <w:t>versturen van de mededeling van de gunningsbeslissing en voordat de definitieve gunningsbeslissing is verstuurd</w:t>
      </w:r>
      <w:r w:rsidR="002F27D9" w:rsidRPr="002F27D9">
        <w:t>.</w:t>
      </w:r>
      <w:r w:rsidR="002F27D9">
        <w:t xml:space="preserve"> </w:t>
      </w:r>
      <w:r w:rsidRPr="00222306">
        <w:t xml:space="preserve">De </w:t>
      </w:r>
      <w:r w:rsidR="00F0012C">
        <w:t>inschrijving</w:t>
      </w:r>
      <w:r w:rsidRPr="00222306">
        <w:t xml:space="preserve"> wordt besproken om vast te stellen of </w:t>
      </w:r>
      <w:r w:rsidR="0097248A">
        <w:t>G</w:t>
      </w:r>
      <w:r w:rsidRPr="00222306">
        <w:t>emeente en de inschrijver de voorwaarden uit de overeenkomst op dezelfde wijze interpreteren. Deze fase is uitdrukkelijk niet bedoeld om te onderhandelen over de overeenkomst</w:t>
      </w:r>
      <w:bookmarkEnd w:id="56"/>
      <w:r w:rsidRPr="00222306">
        <w:t xml:space="preserve">. </w:t>
      </w:r>
    </w:p>
    <w:p w14:paraId="6E3197E3" w14:textId="1BA6AD4E" w:rsidR="00B30718" w:rsidRPr="00222306" w:rsidRDefault="00B30718" w:rsidP="00B30718">
      <w:pPr>
        <w:spacing w:line="240" w:lineRule="auto"/>
      </w:pPr>
      <w:r>
        <w:t xml:space="preserve">Als </w:t>
      </w:r>
      <w:r w:rsidR="00137847">
        <w:t>na de verificatie</w:t>
      </w:r>
      <w:r>
        <w:t xml:space="preserve"> blijkt dat de inschrijving niet aan de eisen uit de aanbesteding en de overeenkomst voldoet, moet </w:t>
      </w:r>
      <w:r w:rsidR="006C11CD">
        <w:t xml:space="preserve">de </w:t>
      </w:r>
      <w:r>
        <w:t xml:space="preserve">inschrijver worden uitgesloten. </w:t>
      </w:r>
      <w:r w:rsidR="0097248A">
        <w:t>G</w:t>
      </w:r>
      <w:r>
        <w:t>emeente kan na vaststelling van de nieuwe rangorde met de als eerst geëindigde inschrijver het verificatiegesprek houden</w:t>
      </w:r>
      <w:bookmarkEnd w:id="53"/>
      <w:r>
        <w:t xml:space="preserve">. </w:t>
      </w:r>
      <w:bookmarkEnd w:id="54"/>
    </w:p>
    <w:bookmarkEnd w:id="57"/>
    <w:p w14:paraId="402C35A5" w14:textId="77777777" w:rsidR="00B30718" w:rsidRPr="00222306" w:rsidRDefault="00B30718" w:rsidP="00B30718">
      <w:pPr>
        <w:spacing w:line="240" w:lineRule="auto"/>
      </w:pPr>
    </w:p>
    <w:p w14:paraId="7B12CDBC" w14:textId="77777777" w:rsidR="00B30718" w:rsidRPr="00234798" w:rsidRDefault="00B30718" w:rsidP="00BA7E89">
      <w:pPr>
        <w:rPr>
          <w:b/>
          <w:bCs/>
        </w:rPr>
      </w:pPr>
      <w:bookmarkStart w:id="58" w:name="_Hlk59616395"/>
      <w:r w:rsidRPr="0030372C">
        <w:rPr>
          <w:b/>
          <w:bCs/>
        </w:rPr>
        <w:t>Validatie</w:t>
      </w:r>
    </w:p>
    <w:p w14:paraId="1B6B9A7D" w14:textId="0F8BD4D2" w:rsidR="00B30718" w:rsidRPr="00222306" w:rsidRDefault="0097248A" w:rsidP="00B30718">
      <w:pPr>
        <w:spacing w:line="240" w:lineRule="auto"/>
      </w:pPr>
      <w:r w:rsidRPr="0030372C">
        <w:t>G</w:t>
      </w:r>
      <w:r w:rsidR="00B30718" w:rsidRPr="0030372C">
        <w:t xml:space="preserve">emeente </w:t>
      </w:r>
      <w:r w:rsidR="003A7259" w:rsidRPr="0030372C">
        <w:t>beoordeelt</w:t>
      </w:r>
      <w:r w:rsidR="00B30718" w:rsidRPr="0030372C">
        <w:t xml:space="preserve"> door middel van een of meer validatiebezoeken bij de opgegeven referenten (zie paragraaf 4.2) of en in welke mate het aangeboden product of de dienstverlening zich in de praktijk bewezen heeft. De validatie geschiedt op basis van de beschreven oplossing. </w:t>
      </w:r>
      <w:r w:rsidRPr="0030372C">
        <w:t>G</w:t>
      </w:r>
      <w:r w:rsidR="00B30718" w:rsidRPr="0030372C">
        <w:t xml:space="preserve">emeente neemt de kosten voor de validatiebezoeken voor haar rekening. </w:t>
      </w:r>
      <w:r w:rsidR="006C11CD" w:rsidRPr="0030372C">
        <w:t>De i</w:t>
      </w:r>
      <w:r w:rsidR="00B30718" w:rsidRPr="0030372C">
        <w:t xml:space="preserve">nschrijvers moeten de bezoeken faciliteren, maar zij mogen niet of alleen op verzoek van </w:t>
      </w:r>
      <w:r w:rsidRPr="0030372C">
        <w:t>G</w:t>
      </w:r>
      <w:r w:rsidR="00B30718" w:rsidRPr="0030372C">
        <w:t>emeente, tijdens de bezoeken aanwezig zijn.</w:t>
      </w:r>
    </w:p>
    <w:p w14:paraId="0A126430" w14:textId="77777777" w:rsidR="00B30718" w:rsidRPr="00222306" w:rsidRDefault="00B30718" w:rsidP="00B30718">
      <w:pPr>
        <w:spacing w:line="240" w:lineRule="auto"/>
      </w:pPr>
    </w:p>
    <w:p w14:paraId="7E9A3071" w14:textId="60F1ADF2" w:rsidR="00B30718" w:rsidRPr="00222306" w:rsidRDefault="00701BEF" w:rsidP="004B7BF7">
      <w:pPr>
        <w:pStyle w:val="Kop2"/>
      </w:pPr>
      <w:bookmarkStart w:id="59" w:name="_Toc245781034"/>
      <w:bookmarkStart w:id="60" w:name="_Toc51856097"/>
      <w:bookmarkStart w:id="61" w:name="_Toc89681230"/>
      <w:bookmarkEnd w:id="58"/>
      <w:r>
        <w:t xml:space="preserve">   </w:t>
      </w:r>
      <w:bookmarkStart w:id="62" w:name="_Toc225942289"/>
      <w:r w:rsidR="00B30718">
        <w:t>Mededeling van de gunningbeslissing</w:t>
      </w:r>
      <w:bookmarkEnd w:id="59"/>
      <w:bookmarkEnd w:id="60"/>
      <w:bookmarkEnd w:id="61"/>
      <w:bookmarkEnd w:id="62"/>
    </w:p>
    <w:p w14:paraId="7C41694A" w14:textId="346600F8" w:rsidR="00B30718" w:rsidRPr="00222306" w:rsidRDefault="002B12F4" w:rsidP="00B30718">
      <w:pPr>
        <w:spacing w:line="240" w:lineRule="auto"/>
      </w:pPr>
      <w:r>
        <w:t>G</w:t>
      </w:r>
      <w:r w:rsidR="00B30718" w:rsidRPr="00222306">
        <w:t xml:space="preserve">emeente </w:t>
      </w:r>
      <w:r w:rsidR="009E2F98">
        <w:t>informeert</w:t>
      </w:r>
      <w:r w:rsidR="00B30718" w:rsidRPr="00222306">
        <w:t xml:space="preserve"> de inschrijvers gelijktijdig schriftelijk over het voornemen tot gunning. De mededeling van de gunningsbeslissing bevat de relevante redenen voor die beslissing. </w:t>
      </w:r>
    </w:p>
    <w:p w14:paraId="74714107" w14:textId="4392A992" w:rsidR="00B30718" w:rsidRPr="00222306" w:rsidRDefault="00B30718" w:rsidP="00B30718">
      <w:pPr>
        <w:spacing w:line="240" w:lineRule="auto"/>
      </w:pPr>
      <w:r w:rsidRPr="00222306">
        <w:t xml:space="preserve">Aan deze voorlopige gunning kan de winnende inschrijver geen recht ontlenen. </w:t>
      </w:r>
    </w:p>
    <w:p w14:paraId="37D8A134" w14:textId="77777777" w:rsidR="00B30718" w:rsidRPr="00222306" w:rsidRDefault="00B30718" w:rsidP="00B30718">
      <w:pPr>
        <w:spacing w:line="240" w:lineRule="auto"/>
      </w:pPr>
    </w:p>
    <w:p w14:paraId="0CAD24E1" w14:textId="163E3998" w:rsidR="00B30718" w:rsidRPr="00222306" w:rsidRDefault="002B12F4" w:rsidP="00B30718">
      <w:pPr>
        <w:spacing w:line="240" w:lineRule="auto"/>
      </w:pPr>
      <w:r>
        <w:t>G</w:t>
      </w:r>
      <w:r w:rsidR="00B30718">
        <w:t xml:space="preserve">emeente neemt een </w:t>
      </w:r>
      <w:r w:rsidR="00C8510A">
        <w:t>bezwaar</w:t>
      </w:r>
      <w:r w:rsidR="00B30718">
        <w:t>termijn van 2</w:t>
      </w:r>
      <w:r w:rsidR="341CE093">
        <w:t>0</w:t>
      </w:r>
      <w:r w:rsidR="00B30718">
        <w:t xml:space="preserve"> kalenderdagen in acht voordat zij de met de gunningsbeslissing beoogde overeenkomst sluit. De betrokken inschrijvers hebben de gelegenheid om binnen</w:t>
      </w:r>
      <w:r w:rsidR="00C8510A">
        <w:t xml:space="preserve"> dit bezwaartermijn</w:t>
      </w:r>
      <w:r w:rsidR="00B30718">
        <w:t xml:space="preserve"> ingaande op de dag na de verzenddatum van de mededeling, </w:t>
      </w:r>
      <w:r w:rsidR="008328CB">
        <w:t xml:space="preserve">tegen deze beslissing op te komen en </w:t>
      </w:r>
      <w:r w:rsidR="00B30718">
        <w:t xml:space="preserve">een kort geding aanhangig te maken bij de Voorzieningenrechter van de Rechtbank Noord-Holland, locatie Haarlem. </w:t>
      </w:r>
    </w:p>
    <w:p w14:paraId="1B3B63C1" w14:textId="1BC0ACD4" w:rsidR="00BF027E" w:rsidRPr="00222306" w:rsidRDefault="00B30718" w:rsidP="00B30718">
      <w:pPr>
        <w:spacing w:line="240" w:lineRule="auto"/>
      </w:pPr>
      <w:r w:rsidRPr="00222306">
        <w:t>Deze termij</w:t>
      </w:r>
      <w:r w:rsidR="00C368C4">
        <w:t>n</w:t>
      </w:r>
      <w:r w:rsidRPr="00222306">
        <w:t xml:space="preserve"> is een vervaltermijn. </w:t>
      </w:r>
      <w:r w:rsidR="007C1D8E">
        <w:t xml:space="preserve">Een kort geding moet voor </w:t>
      </w:r>
      <w:r w:rsidR="00C368C4">
        <w:t xml:space="preserve">einde van </w:t>
      </w:r>
      <w:r w:rsidR="007C1D8E">
        <w:t xml:space="preserve">deze termijn aanhangig zijn gemaakt. </w:t>
      </w:r>
    </w:p>
    <w:p w14:paraId="3FDE5625" w14:textId="77777777" w:rsidR="00BF027E" w:rsidRPr="00222306" w:rsidRDefault="00BF027E" w:rsidP="00B30718">
      <w:pPr>
        <w:spacing w:line="240" w:lineRule="auto"/>
      </w:pPr>
    </w:p>
    <w:p w14:paraId="04BD771C" w14:textId="27927EE2" w:rsidR="00B30718" w:rsidRDefault="001222D0" w:rsidP="00B30718">
      <w:pPr>
        <w:spacing w:line="240" w:lineRule="auto"/>
      </w:pPr>
      <w:r w:rsidRPr="00222306">
        <w:t xml:space="preserve">Een kort geding is aanhangig </w:t>
      </w:r>
      <w:r w:rsidR="005E2111">
        <w:t xml:space="preserve">vanaf het moment dat aan </w:t>
      </w:r>
      <w:r w:rsidR="002B12F4">
        <w:t>G</w:t>
      </w:r>
      <w:r w:rsidR="005E2111">
        <w:t xml:space="preserve">emeente de datum van het kort geding en de inhoud daarvan (door het toesturen van de conceptdagvaarding) is medegedeeld óf vanaf de dag dat de deurwaarder aan </w:t>
      </w:r>
      <w:r w:rsidR="002B12F4">
        <w:t>G</w:t>
      </w:r>
      <w:r w:rsidR="005E2111">
        <w:t>emeente heeft betekend.</w:t>
      </w:r>
    </w:p>
    <w:p w14:paraId="21410DEA" w14:textId="77777777" w:rsidR="00BF027E" w:rsidRPr="00222306" w:rsidRDefault="00BF027E" w:rsidP="00B30718">
      <w:pPr>
        <w:spacing w:line="240" w:lineRule="auto"/>
      </w:pPr>
    </w:p>
    <w:p w14:paraId="738F24C4" w14:textId="6E917A55" w:rsidR="00B30718" w:rsidRPr="00222306" w:rsidRDefault="00B30718" w:rsidP="00B30718">
      <w:pPr>
        <w:spacing w:line="240" w:lineRule="auto"/>
      </w:pPr>
      <w:r w:rsidRPr="00222306">
        <w:lastRenderedPageBreak/>
        <w:t xml:space="preserve">Indien </w:t>
      </w:r>
      <w:r w:rsidR="006C11CD">
        <w:t xml:space="preserve">de </w:t>
      </w:r>
      <w:r w:rsidRPr="00222306">
        <w:t xml:space="preserve">inschrijvers niet, niet tijdig of niet correct een kort geding aanhangig maken, dan worden zij geacht uitdrukkelijk afstand te hebben gedaan van hun recht om de voorlopige gunningbeslissing door de rechter te laten toetsen en zijn zij niet-ontvankelijk in hun vorderingen indien zij alsnog een kort geding aanhangig maken. </w:t>
      </w:r>
      <w:r w:rsidR="002B12F4">
        <w:t>G</w:t>
      </w:r>
      <w:r w:rsidR="00BF027E" w:rsidRPr="00222306">
        <w:t>emeente zal er dan gerechtvaardigd op mogen vertrouwen dat geen kort geding meer aanhangig wordt gemaakt en kan tot definitieve gunning overgaan.</w:t>
      </w:r>
    </w:p>
    <w:p w14:paraId="5F2A649C" w14:textId="77777777" w:rsidR="00B23F81" w:rsidRPr="00222306" w:rsidRDefault="00B23F81" w:rsidP="00835FCE">
      <w:pPr>
        <w:spacing w:line="240" w:lineRule="auto"/>
      </w:pPr>
    </w:p>
    <w:p w14:paraId="6AFDA7BE" w14:textId="7820DA51" w:rsidR="00904C72" w:rsidRPr="00222306" w:rsidRDefault="00904C72" w:rsidP="00835FCE">
      <w:pPr>
        <w:spacing w:line="240" w:lineRule="auto"/>
      </w:pPr>
      <w:r w:rsidRPr="00222306">
        <w:t xml:space="preserve">Ten aanzien van uitgebrachte dagvaardingen in het kader van bovengenoemde geschillen geldt dat deze als openbaar stuk worden beschouwd en </w:t>
      </w:r>
      <w:r w:rsidR="002B12F4">
        <w:t>G</w:t>
      </w:r>
      <w:r w:rsidR="00E365B3" w:rsidRPr="00222306">
        <w:t>emeente</w:t>
      </w:r>
      <w:r w:rsidRPr="00222306">
        <w:t xml:space="preserve"> het recht heeft deze aan derden, waaronder in ieder geval alle gegadigden en inschrijvers dienen te worden verstaan, ter beschikking te stellen.</w:t>
      </w:r>
    </w:p>
    <w:p w14:paraId="20190907" w14:textId="77777777" w:rsidR="00904C72" w:rsidRPr="00222306" w:rsidRDefault="00904C72" w:rsidP="00835FCE">
      <w:pPr>
        <w:spacing w:line="240" w:lineRule="auto"/>
      </w:pPr>
    </w:p>
    <w:p w14:paraId="295FE405" w14:textId="778591E2" w:rsidR="00BF027E" w:rsidRPr="00222306" w:rsidRDefault="00BF027E" w:rsidP="00BF027E">
      <w:pPr>
        <w:spacing w:line="240" w:lineRule="auto"/>
      </w:pPr>
      <w:r>
        <w:t xml:space="preserve">Indien </w:t>
      </w:r>
      <w:r w:rsidR="002B12F4">
        <w:t>G</w:t>
      </w:r>
      <w:r>
        <w:t xml:space="preserve">emeente de winnende inschrijver in kennis heeft gesteld van het feit dat een kort geding aanhangig is gemaakt, dan dient de winnende inschrijver in deze </w:t>
      </w:r>
      <w:r w:rsidR="644E7FA3">
        <w:t>kortgedingprocedure</w:t>
      </w:r>
      <w:r>
        <w:t xml:space="preserve"> te interveniëren, op straffe van verval van recht</w:t>
      </w:r>
      <w:r w:rsidR="0073730E">
        <w:t>,</w:t>
      </w:r>
      <w:r>
        <w:t xml:space="preserve"> om nog op te mogen komen tegen een eventueel gewijzigd gunningvoornemen.</w:t>
      </w:r>
    </w:p>
    <w:p w14:paraId="5EBB6BA1" w14:textId="77777777" w:rsidR="00BF027E" w:rsidRPr="00222306" w:rsidRDefault="00BF027E" w:rsidP="00BF027E">
      <w:pPr>
        <w:spacing w:line="240" w:lineRule="auto"/>
      </w:pPr>
    </w:p>
    <w:p w14:paraId="571CFB32" w14:textId="07DB1B81" w:rsidR="00BF027E" w:rsidRPr="00222306" w:rsidRDefault="5581A55E" w:rsidP="00BF027E">
      <w:pPr>
        <w:spacing w:line="240" w:lineRule="auto"/>
      </w:pPr>
      <w:r>
        <w:t>Als</w:t>
      </w:r>
      <w:r w:rsidR="00BF027E">
        <w:t xml:space="preserve"> er op de voorgeschreven wijze een kort geding aanhangig wordt gemaakt, dan zal </w:t>
      </w:r>
      <w:r w:rsidR="002B12F4">
        <w:t>G</w:t>
      </w:r>
      <w:r w:rsidR="00BF027E">
        <w:t xml:space="preserve">emeente de uitkomst van dat kort geding afwachten alvorens zij tot definitieve gunning overgaat. </w:t>
      </w:r>
      <w:r w:rsidR="002B12F4">
        <w:t>G</w:t>
      </w:r>
      <w:r w:rsidR="00BF027E">
        <w:t xml:space="preserve">emeente behoudt zich verder het recht voor om </w:t>
      </w:r>
      <w:r w:rsidR="00263AE6">
        <w:t xml:space="preserve">ook </w:t>
      </w:r>
      <w:r w:rsidR="00BF027E">
        <w:t xml:space="preserve">een eventueel hoger beroep af te wachten alvorens zij tot definitieve gunning overgaat. </w:t>
      </w:r>
    </w:p>
    <w:p w14:paraId="20D6FCF3" w14:textId="77777777" w:rsidR="006C11CD" w:rsidRDefault="006C11CD" w:rsidP="00BF027E">
      <w:pPr>
        <w:spacing w:line="240" w:lineRule="auto"/>
      </w:pPr>
    </w:p>
    <w:p w14:paraId="0DDD82BC" w14:textId="0784749D" w:rsidR="00BF027E" w:rsidRPr="00222306" w:rsidRDefault="00BF027E" w:rsidP="00BF027E">
      <w:pPr>
        <w:spacing w:line="240" w:lineRule="auto"/>
      </w:pPr>
      <w:r>
        <w:t xml:space="preserve">De gunning is pas definitief </w:t>
      </w:r>
      <w:r w:rsidR="3AE56D59">
        <w:t>als</w:t>
      </w:r>
      <w:r>
        <w:t xml:space="preserve"> de definitieve gunningsbeslissing is verzonden door </w:t>
      </w:r>
      <w:r w:rsidR="002B12F4">
        <w:t>G</w:t>
      </w:r>
      <w:r>
        <w:t xml:space="preserve">emeente. </w:t>
      </w:r>
    </w:p>
    <w:p w14:paraId="128AB7DE" w14:textId="6EBC8CBF" w:rsidR="00BF027E" w:rsidRPr="00222306" w:rsidRDefault="00BF027E" w:rsidP="00B30718">
      <w:pPr>
        <w:spacing w:line="240" w:lineRule="auto"/>
      </w:pPr>
    </w:p>
    <w:p w14:paraId="51857EB3" w14:textId="0D2B7B76" w:rsidR="00B30718" w:rsidRPr="00222306" w:rsidRDefault="00701BEF" w:rsidP="004B7BF7">
      <w:pPr>
        <w:pStyle w:val="Kop2"/>
      </w:pPr>
      <w:bookmarkStart w:id="63" w:name="_Toc51856098"/>
      <w:bookmarkStart w:id="64" w:name="_Toc89681231"/>
      <w:r>
        <w:t xml:space="preserve">   </w:t>
      </w:r>
      <w:bookmarkStart w:id="65" w:name="_Toc225942290"/>
      <w:r w:rsidR="00B30718">
        <w:t>Klachten</w:t>
      </w:r>
      <w:bookmarkEnd w:id="63"/>
      <w:bookmarkEnd w:id="64"/>
      <w:bookmarkEnd w:id="65"/>
    </w:p>
    <w:p w14:paraId="51133C32" w14:textId="3D8BC0C9" w:rsidR="00B23F81" w:rsidRPr="00222306" w:rsidRDefault="00B23F81" w:rsidP="00B23F81">
      <w:pPr>
        <w:rPr>
          <w:b/>
        </w:rPr>
      </w:pPr>
      <w:r w:rsidRPr="000D667F">
        <w:rPr>
          <w:b/>
        </w:rPr>
        <w:t>Klachtenregeling</w:t>
      </w:r>
      <w:r w:rsidR="000616A7" w:rsidRPr="000616A7">
        <w:rPr>
          <w:b/>
          <w:highlight w:val="yellow"/>
        </w:rPr>
        <w:t xml:space="preserve">  </w:t>
      </w:r>
    </w:p>
    <w:p w14:paraId="69F93D1A" w14:textId="293EB452" w:rsidR="00B23F81" w:rsidRPr="00222306" w:rsidRDefault="002B12F4" w:rsidP="00B23F81">
      <w:r>
        <w:t>G</w:t>
      </w:r>
      <w:r w:rsidR="00B23F81">
        <w:t xml:space="preserve">emeente voorziet in een klachtenregeling ter uitvoering van de Klachtenafhandeling bij Aanbesteden als flankerend beleid bij de Aanbestedingswet 2012. </w:t>
      </w:r>
      <w:r>
        <w:br/>
      </w:r>
      <w:r>
        <w:br/>
      </w:r>
      <w:r w:rsidR="00B23F81">
        <w:t xml:space="preserve">De klachtenregeling omvat de inrichting van een klachtenmeldpunt en de klachtprocedure op basis waarvan klachten van ondernemers </w:t>
      </w:r>
      <w:r w:rsidR="737134FF">
        <w:t>over</w:t>
      </w:r>
      <w:r w:rsidR="00B23F81">
        <w:t xml:space="preserve"> een concrete aanbesteding in behandeling worden genomen. </w:t>
      </w:r>
      <w:r>
        <w:br/>
      </w:r>
    </w:p>
    <w:p w14:paraId="19AA00B7" w14:textId="77777777" w:rsidR="00B23F81" w:rsidRPr="00222306" w:rsidRDefault="00B23F81" w:rsidP="00B23F81">
      <w:r w:rsidRPr="00222306">
        <w:t xml:space="preserve">Misverstanden, onbedoelde fouten en ten onrechte gestelde eisen in de aanbesteding kunnen hierdoor op onafhankelijke en deskundige wijze worden opgelost. </w:t>
      </w:r>
    </w:p>
    <w:p w14:paraId="29EA2008" w14:textId="77777777" w:rsidR="00B23F81" w:rsidRPr="00222306" w:rsidRDefault="00B23F81" w:rsidP="00B23F81"/>
    <w:p w14:paraId="6327CDA5" w14:textId="18E72C80" w:rsidR="00263AE6" w:rsidRDefault="001F5940" w:rsidP="00B23F81">
      <w:r w:rsidRPr="001F5940">
        <w:t>Gemeente draagt er zorg voor dat haar klachtenregeling zodanig is ingericht dat ondernemers een klacht snel en laagdrempelig kunnen indienen, dat elke klacht onafhankelijk, zorgvuldig en deskundig wordt behandeld en dat door Gemeente voortvarend wordt beslist of de klacht (deels) terecht of onterecht is.</w:t>
      </w:r>
    </w:p>
    <w:p w14:paraId="509E5101" w14:textId="77777777" w:rsidR="001F5940" w:rsidRPr="00222306" w:rsidRDefault="001F5940" w:rsidP="00B23F81"/>
    <w:p w14:paraId="2750EF21" w14:textId="67F0913C" w:rsidR="00B23F81" w:rsidRPr="00222306" w:rsidRDefault="00B23F81" w:rsidP="00B23F81">
      <w:r w:rsidRPr="00222306">
        <w:t xml:space="preserve">Met de klachtenregeling wordt ondernemers de mogelijkheid geboden om niet direct het rechtsmiddel van een kort geding te hoeven inzetten. Een ondernemer is niet verplicht om gebruik te maken van klachtenregeling van </w:t>
      </w:r>
      <w:r w:rsidR="00595564">
        <w:t xml:space="preserve">de </w:t>
      </w:r>
      <w:r w:rsidR="002B12F4">
        <w:t>G</w:t>
      </w:r>
      <w:r w:rsidRPr="00222306">
        <w:t>emeente.</w:t>
      </w:r>
    </w:p>
    <w:p w14:paraId="66F29396" w14:textId="77777777" w:rsidR="00B23F81" w:rsidRPr="00222306" w:rsidRDefault="00B23F81" w:rsidP="00B23F81">
      <w:r w:rsidRPr="00222306">
        <w:t xml:space="preserve"> </w:t>
      </w:r>
    </w:p>
    <w:p w14:paraId="383BF39A" w14:textId="53249598" w:rsidR="00E34196" w:rsidRPr="00222306" w:rsidRDefault="00B23F81" w:rsidP="00B23F81">
      <w:r>
        <w:t xml:space="preserve">De klachtenregeling is opgenomen in </w:t>
      </w:r>
      <w:r w:rsidR="00676504">
        <w:t xml:space="preserve">de </w:t>
      </w:r>
      <w:r w:rsidR="1DB86AEC">
        <w:t>b</w:t>
      </w:r>
      <w:r>
        <w:t>ijlage</w:t>
      </w:r>
      <w:r w:rsidR="00676504">
        <w:t>n</w:t>
      </w:r>
      <w:r w:rsidR="1DB114D2">
        <w:t>.</w:t>
      </w:r>
      <w:r>
        <w:t xml:space="preserve"> </w:t>
      </w:r>
    </w:p>
    <w:p w14:paraId="7E6B5B59" w14:textId="77777777" w:rsidR="00E34196" w:rsidRPr="00222306" w:rsidRDefault="00E34196">
      <w:pPr>
        <w:spacing w:line="240" w:lineRule="auto"/>
      </w:pPr>
      <w:r w:rsidRPr="00222306">
        <w:br w:type="page"/>
      </w:r>
    </w:p>
    <w:p w14:paraId="582C0CB2" w14:textId="77777777" w:rsidR="00B23F81" w:rsidRPr="00222306" w:rsidRDefault="00B23F81" w:rsidP="001C66F4"/>
    <w:p w14:paraId="7A4CFE66" w14:textId="23685AA8" w:rsidR="00B30718" w:rsidRPr="00222306" w:rsidRDefault="00B30718" w:rsidP="004B7BF7">
      <w:pPr>
        <w:pStyle w:val="Kop1"/>
      </w:pPr>
      <w:bookmarkStart w:id="66" w:name="_Toc89681232"/>
      <w:bookmarkStart w:id="67" w:name="_Hlk89673198"/>
      <w:bookmarkStart w:id="68" w:name="_Toc225942291"/>
      <w:r>
        <w:t>Inschrijvingsvoorwaarden</w:t>
      </w:r>
      <w:bookmarkEnd w:id="66"/>
      <w:bookmarkEnd w:id="68"/>
    </w:p>
    <w:p w14:paraId="76C885BD" w14:textId="09A5EFD9" w:rsidR="00B30718" w:rsidRPr="0030372C" w:rsidRDefault="00B30718" w:rsidP="2D0FBD75">
      <w:pPr>
        <w:pStyle w:val="Introtekst"/>
        <w:rPr>
          <w:sz w:val="22"/>
        </w:rPr>
      </w:pPr>
      <w:bookmarkStart w:id="69" w:name="_Toc89676628"/>
      <w:bookmarkEnd w:id="67"/>
      <w:r w:rsidRPr="2D0FBD75">
        <w:rPr>
          <w:sz w:val="22"/>
        </w:rPr>
        <w:t xml:space="preserve">Inschrijvingen die niet aan </w:t>
      </w:r>
      <w:r w:rsidR="0073730E" w:rsidRPr="2D0FBD75">
        <w:rPr>
          <w:sz w:val="22"/>
        </w:rPr>
        <w:t xml:space="preserve">de in dit hoofdstuk opgenomen </w:t>
      </w:r>
      <w:r w:rsidRPr="2D0FBD75">
        <w:rPr>
          <w:sz w:val="22"/>
        </w:rPr>
        <w:t xml:space="preserve">voorwaarden voldoen, worden </w:t>
      </w:r>
      <w:r w:rsidR="005E2111" w:rsidRPr="2D0FBD75">
        <w:rPr>
          <w:sz w:val="22"/>
        </w:rPr>
        <w:t xml:space="preserve">in beginsel </w:t>
      </w:r>
      <w:r w:rsidR="0073730E" w:rsidRPr="2D0FBD75">
        <w:rPr>
          <w:sz w:val="22"/>
        </w:rPr>
        <w:t xml:space="preserve">als ongeldig terzijde gelegd en worden </w:t>
      </w:r>
      <w:r w:rsidRPr="2D0FBD75">
        <w:rPr>
          <w:sz w:val="22"/>
        </w:rPr>
        <w:t>niet verder beoordeeld.</w:t>
      </w:r>
      <w:bookmarkEnd w:id="69"/>
    </w:p>
    <w:p w14:paraId="4846DD7C" w14:textId="738920D4" w:rsidR="008D3238" w:rsidRDefault="00B30718" w:rsidP="00D9208D">
      <w:pPr>
        <w:pStyle w:val="Kop2"/>
      </w:pPr>
      <w:bookmarkStart w:id="70" w:name="_Toc89681233"/>
      <w:bookmarkStart w:id="71" w:name="_Toc225942292"/>
      <w:r>
        <w:t>Eisen aan de inschrijving</w:t>
      </w:r>
      <w:bookmarkEnd w:id="70"/>
      <w:bookmarkEnd w:id="71"/>
      <w:r>
        <w:t xml:space="preserve"> </w:t>
      </w:r>
      <w:bookmarkStart w:id="72" w:name="_Hlk56695130"/>
      <w:bookmarkStart w:id="73" w:name="_Hlk51852973"/>
      <w:bookmarkStart w:id="74" w:name="_Hlk28008336"/>
    </w:p>
    <w:p w14:paraId="61F07B98" w14:textId="77777777" w:rsidR="00D9208D" w:rsidRPr="00D9208D" w:rsidRDefault="00D9208D" w:rsidP="00D9208D"/>
    <w:p w14:paraId="444C7663" w14:textId="5D7E0EE2" w:rsidR="000D6C6B" w:rsidRDefault="000D6C6B" w:rsidP="000D6C6B">
      <w:r w:rsidRPr="00222306">
        <w:t xml:space="preserve">Om een inschrijving te kunnen uploaden via </w:t>
      </w:r>
      <w:hyperlink r:id="rId11" w:history="1">
        <w:r w:rsidRPr="000D6C6B">
          <w:rPr>
            <w:rStyle w:val="Hyperlink"/>
            <w:rFonts w:cstheme="minorBidi"/>
          </w:rPr>
          <w:t>www.TenderNed.nl</w:t>
        </w:r>
      </w:hyperlink>
      <w:r w:rsidRPr="00222306">
        <w:t xml:space="preserve"> is een inlog account van TenderNed (inclusief e-Herkenning) noodzakelijk. De inschrijver dient er rekening mee te houden dat het verkrijgen van deze accounts meerdere dagen/weken in beslag neemt. De kosten en het risico van het niet (tijdig) verkrijgen van een account zijn voor rekening en risico van de inschrijver.</w:t>
      </w:r>
    </w:p>
    <w:p w14:paraId="4EF29DFB" w14:textId="77777777" w:rsidR="000D6C6B" w:rsidRPr="000D6C6B" w:rsidRDefault="000D6C6B" w:rsidP="000D6C6B">
      <w:pPr>
        <w:rPr>
          <w:b/>
        </w:rPr>
      </w:pPr>
    </w:p>
    <w:p w14:paraId="54AEBB38" w14:textId="04F8FFE1" w:rsidR="00D9208D" w:rsidRDefault="00503E2D" w:rsidP="00EF13CD">
      <w:pPr>
        <w:pStyle w:val="Lijstalinea"/>
        <w:numPr>
          <w:ilvl w:val="0"/>
          <w:numId w:val="16"/>
        </w:numPr>
        <w:spacing w:line="240" w:lineRule="auto"/>
      </w:pPr>
      <w:r>
        <w:t>G</w:t>
      </w:r>
      <w:r w:rsidR="00D9208D">
        <w:t xml:space="preserve">emeente accepteert alleen inschrijvingen die zijn </w:t>
      </w:r>
      <w:r w:rsidR="008D3238" w:rsidRPr="00222306">
        <w:t>ingediend via TenderNed</w:t>
      </w:r>
      <w:r w:rsidR="008D3238">
        <w:t>.</w:t>
      </w:r>
      <w:r w:rsidR="00D9208D" w:rsidRPr="00D9208D">
        <w:t xml:space="preserve"> </w:t>
      </w:r>
      <w:r>
        <w:t>G</w:t>
      </w:r>
      <w:r w:rsidR="00D9208D" w:rsidRPr="00222306">
        <w:t xml:space="preserve">emeente accepteert alleen een inschrijving via </w:t>
      </w:r>
      <w:hyperlink r:id="rId12" w:history="1">
        <w:r w:rsidR="0095107D" w:rsidRPr="00CD3811">
          <w:rPr>
            <w:rStyle w:val="Hyperlink"/>
            <w:rFonts w:cstheme="minorBidi"/>
          </w:rPr>
          <w:t>inkoop@Landsmeer.nl</w:t>
        </w:r>
      </w:hyperlink>
      <w:r w:rsidR="00D9208D" w:rsidRPr="00222306">
        <w:t xml:space="preserve"> indien </w:t>
      </w:r>
      <w:r w:rsidR="00D9208D">
        <w:t xml:space="preserve">sprake is van een technische storing bij </w:t>
      </w:r>
      <w:r w:rsidR="002A5DA1">
        <w:t>TenderNed</w:t>
      </w:r>
      <w:r w:rsidR="00D9208D">
        <w:t xml:space="preserve"> en </w:t>
      </w:r>
      <w:r w:rsidR="00D9208D" w:rsidRPr="00222306">
        <w:t xml:space="preserve">de storing bevestigd wordt door het storingsoverzicht op TenderNed. </w:t>
      </w:r>
    </w:p>
    <w:p w14:paraId="3194AAE7" w14:textId="33DBB219" w:rsidR="00633386" w:rsidRDefault="00D9208D" w:rsidP="00EF13CD">
      <w:pPr>
        <w:pStyle w:val="Lijstalinea"/>
        <w:numPr>
          <w:ilvl w:val="0"/>
          <w:numId w:val="16"/>
        </w:numPr>
        <w:spacing w:line="240" w:lineRule="auto"/>
      </w:pPr>
      <w:r w:rsidRPr="002D22A0">
        <w:t>De inschrijving dient uiterlijk op de op TenderNed vermelde uiterlijke termijn ingediend te zijn. Het niet (tijdig) uploaden</w:t>
      </w:r>
      <w:r>
        <w:t xml:space="preserve"> en/of</w:t>
      </w:r>
      <w:r w:rsidRPr="002D22A0">
        <w:t xml:space="preserve"> niet (tijdig) indienen van de inschrijving is voor rekening en risico van de inschrijver.</w:t>
      </w:r>
    </w:p>
    <w:p w14:paraId="6853697F" w14:textId="64EBB09D" w:rsidR="00D9208D" w:rsidRDefault="00D9208D" w:rsidP="00EF13CD">
      <w:pPr>
        <w:pStyle w:val="Lijstalinea"/>
        <w:numPr>
          <w:ilvl w:val="0"/>
          <w:numId w:val="16"/>
        </w:numPr>
        <w:spacing w:line="240" w:lineRule="auto"/>
      </w:pPr>
      <w:r w:rsidRPr="00222306">
        <w:t xml:space="preserve">Inschrijvingen zijn gesteld in het Nederlands. Tijdens het aanbestedingstraject wordt uitsluitend de Nederlandse taal gebruikt in woord en geschrift. </w:t>
      </w:r>
    </w:p>
    <w:p w14:paraId="3362A15B" w14:textId="1A72531D" w:rsidR="00633386" w:rsidRDefault="00B30718" w:rsidP="00EF13CD">
      <w:pPr>
        <w:pStyle w:val="Lijstalinea"/>
        <w:numPr>
          <w:ilvl w:val="0"/>
          <w:numId w:val="16"/>
        </w:numPr>
        <w:spacing w:line="240" w:lineRule="auto"/>
      </w:pPr>
      <w:r w:rsidRPr="00222306">
        <w:t xml:space="preserve">De inschrijving is onherroepelijk. </w:t>
      </w:r>
    </w:p>
    <w:p w14:paraId="2709686B" w14:textId="3ED9AC6F" w:rsidR="00633386" w:rsidRPr="00222306" w:rsidRDefault="00B30718" w:rsidP="00EF13CD">
      <w:pPr>
        <w:pStyle w:val="Lijstalinea"/>
        <w:numPr>
          <w:ilvl w:val="0"/>
          <w:numId w:val="16"/>
        </w:numPr>
        <w:spacing w:line="240" w:lineRule="auto"/>
      </w:pPr>
      <w:r w:rsidRPr="00222306">
        <w:t xml:space="preserve">Door </w:t>
      </w:r>
      <w:bookmarkStart w:id="75" w:name="_Hlk28008312"/>
      <w:r w:rsidRPr="00222306">
        <w:t xml:space="preserve">inschrijving gaat de inschrijver onvoorwaardelijk akkoord met </w:t>
      </w:r>
      <w:r w:rsidR="00263AE6">
        <w:t xml:space="preserve">de gevolgde aanbestedingsprocedure, </w:t>
      </w:r>
      <w:r w:rsidRPr="00222306">
        <w:t>alle gestelde eisen en voorwaarden zoals beschreven in de aanbestedingsdocumenten, waaronder het programma van eisen</w:t>
      </w:r>
      <w:r w:rsidR="002113DD">
        <w:t xml:space="preserve"> (</w:t>
      </w:r>
      <w:r w:rsidR="00902971">
        <w:t>b</w:t>
      </w:r>
      <w:r w:rsidR="002113DD">
        <w:t>ijlage</w:t>
      </w:r>
      <w:bookmarkEnd w:id="72"/>
      <w:r w:rsidR="008A1C91">
        <w:t>)</w:t>
      </w:r>
      <w:r w:rsidR="00234798">
        <w:t xml:space="preserve"> </w:t>
      </w:r>
      <w:r w:rsidR="00633386" w:rsidRPr="00222306">
        <w:t xml:space="preserve">en de daarin opgenomen clausules en voorbehouden van </w:t>
      </w:r>
      <w:r w:rsidR="00503E2D">
        <w:t>G</w:t>
      </w:r>
      <w:r w:rsidR="00633386" w:rsidRPr="00222306">
        <w:t>emeente</w:t>
      </w:r>
      <w:r w:rsidR="00633386">
        <w:t xml:space="preserve"> en de concept</w:t>
      </w:r>
      <w:r w:rsidR="00902971">
        <w:t xml:space="preserve"> implementatie</w:t>
      </w:r>
      <w:r w:rsidR="00633386">
        <w:t>overeenkomst (</w:t>
      </w:r>
      <w:r w:rsidR="00902971">
        <w:t>b</w:t>
      </w:r>
      <w:r w:rsidR="00633386">
        <w:t xml:space="preserve">ijlage </w:t>
      </w:r>
      <w:r w:rsidR="00902971">
        <w:t>3</w:t>
      </w:r>
      <w:r w:rsidR="00234798">
        <w:t>)</w:t>
      </w:r>
      <w:r w:rsidR="00902971">
        <w:t xml:space="preserve"> en de concept beheerovereenkomst (bijlage </w:t>
      </w:r>
      <w:r w:rsidR="008A1C91">
        <w:t>3</w:t>
      </w:r>
      <w:r w:rsidR="00902971">
        <w:t>)</w:t>
      </w:r>
      <w:r w:rsidR="00234798">
        <w:t>.</w:t>
      </w:r>
    </w:p>
    <w:p w14:paraId="4C5245CD" w14:textId="046E4669" w:rsidR="002D22A0" w:rsidRPr="00222306" w:rsidRDefault="002D22A0" w:rsidP="00EF13CD">
      <w:pPr>
        <w:pStyle w:val="Lijstalinea"/>
        <w:numPr>
          <w:ilvl w:val="0"/>
          <w:numId w:val="16"/>
        </w:numPr>
        <w:spacing w:line="240" w:lineRule="auto"/>
        <w:rPr>
          <w:b/>
        </w:rPr>
      </w:pPr>
      <w:r w:rsidRPr="00222306">
        <w:t>Een voorwaardelijke inschrijving voldoet niet (geheel) aan de gestelde eisen</w:t>
      </w:r>
      <w:r>
        <w:t xml:space="preserve"> en is ongeldig.</w:t>
      </w:r>
    </w:p>
    <w:p w14:paraId="73CE2321" w14:textId="0D4F6A03" w:rsidR="004542CE" w:rsidRDefault="005F3BB1" w:rsidP="00EF13CD">
      <w:pPr>
        <w:pStyle w:val="Lijstalinea"/>
        <w:numPr>
          <w:ilvl w:val="0"/>
          <w:numId w:val="16"/>
        </w:numPr>
        <w:spacing w:line="240" w:lineRule="auto"/>
      </w:pPr>
      <w:r>
        <w:t>De inschrijving bevat alle gevraagde informatie en</w:t>
      </w:r>
      <w:r w:rsidR="004542CE" w:rsidRPr="00222306">
        <w:t xml:space="preserve"> documenten (waaronder het rechtsgeldig ondertekende UEA). De </w:t>
      </w:r>
      <w:r>
        <w:t xml:space="preserve">in te dienen documenten dient </w:t>
      </w:r>
      <w:r w:rsidR="006C11CD">
        <w:t xml:space="preserve">de </w:t>
      </w:r>
      <w:r w:rsidR="004542CE" w:rsidRPr="00222306">
        <w:t xml:space="preserve">inschrijver in op TenderNed aan de hand van de Controlelijst (hoofdstuk 6). </w:t>
      </w:r>
      <w:r w:rsidR="004542CE">
        <w:t xml:space="preserve">Indien </w:t>
      </w:r>
      <w:r>
        <w:t xml:space="preserve">de </w:t>
      </w:r>
      <w:r w:rsidR="004542CE">
        <w:t xml:space="preserve">inschrijving </w:t>
      </w:r>
      <w:r>
        <w:t xml:space="preserve">de </w:t>
      </w:r>
      <w:r w:rsidR="004542CE">
        <w:t xml:space="preserve">gevraagde informatie niet, niet volledig en/of niet juist </w:t>
      </w:r>
      <w:r>
        <w:t>bevat</w:t>
      </w:r>
      <w:r w:rsidR="004542CE">
        <w:t>, leidt dat in beginsel tot ongeldigheid van de inschrijving en uitsluiting van verdere deelname aan de procedure.</w:t>
      </w:r>
      <w:r w:rsidR="00442E0A">
        <w:t xml:space="preserve"> Gemeente behoudt zich het recht voor om opheldering te vragen en herstel van een eenvoudig te herstellen gebrek toe te staan.</w:t>
      </w:r>
    </w:p>
    <w:bookmarkEnd w:id="73"/>
    <w:bookmarkEnd w:id="74"/>
    <w:bookmarkEnd w:id="75"/>
    <w:p w14:paraId="73E1D443" w14:textId="3EC69E9D" w:rsidR="003E7B15" w:rsidRDefault="003E7B15" w:rsidP="00EF13CD">
      <w:pPr>
        <w:pStyle w:val="Lijstalinea"/>
        <w:numPr>
          <w:ilvl w:val="0"/>
          <w:numId w:val="16"/>
        </w:numPr>
        <w:spacing w:line="240" w:lineRule="auto"/>
      </w:pPr>
      <w:r w:rsidRPr="00222306">
        <w:t xml:space="preserve">Een onderneming kan slechts eenmaal inschrijven als inschrijver: of als zelfstandig inschrijver of als deelnemer in een combinatie. </w:t>
      </w:r>
    </w:p>
    <w:p w14:paraId="066206F2" w14:textId="77777777" w:rsidR="00882AB8" w:rsidRPr="00222306" w:rsidRDefault="00882AB8" w:rsidP="003E7B15"/>
    <w:p w14:paraId="060888BB" w14:textId="691850FD" w:rsidR="003E7B15" w:rsidRPr="005F033E" w:rsidRDefault="00882AB8" w:rsidP="00B30718">
      <w:pPr>
        <w:rPr>
          <w:b/>
          <w:bCs/>
          <w:i/>
          <w:iCs/>
        </w:rPr>
      </w:pPr>
      <w:r w:rsidRPr="005F033E">
        <w:rPr>
          <w:b/>
          <w:bCs/>
          <w:i/>
          <w:iCs/>
        </w:rPr>
        <w:t>Gestanddoening</w:t>
      </w:r>
    </w:p>
    <w:p w14:paraId="57E5D8FE" w14:textId="5F933513" w:rsidR="004D20D8" w:rsidRDefault="00B30718" w:rsidP="00EF13CD">
      <w:pPr>
        <w:pStyle w:val="Lijstalinea"/>
        <w:numPr>
          <w:ilvl w:val="0"/>
          <w:numId w:val="16"/>
        </w:numPr>
        <w:spacing w:line="240" w:lineRule="auto"/>
      </w:pPr>
      <w:r>
        <w:t xml:space="preserve">De gestanddoeningstermijn van de inschrijving bedraagt </w:t>
      </w:r>
      <w:r w:rsidR="00E16403">
        <w:t>6</w:t>
      </w:r>
      <w:r w:rsidR="3E06761B">
        <w:t xml:space="preserve"> maanden</w:t>
      </w:r>
      <w:r>
        <w:t xml:space="preserve">. </w:t>
      </w:r>
      <w:bookmarkStart w:id="76" w:name="_Hlk154663706"/>
      <w:r>
        <w:t xml:space="preserve">In het geval een kort geding aanhangig wordt gemaakt tegen de gunningbeslissing van </w:t>
      </w:r>
      <w:r w:rsidR="00503E2D">
        <w:t>G</w:t>
      </w:r>
      <w:r>
        <w:t xml:space="preserve">emeente zijn </w:t>
      </w:r>
      <w:r w:rsidR="006C11CD">
        <w:t xml:space="preserve">de </w:t>
      </w:r>
      <w:r>
        <w:t>inschrijvers verplicht hun inschrijving gestand te doen tot veertien</w:t>
      </w:r>
      <w:r w:rsidR="00F0012C">
        <w:t xml:space="preserve"> (14)</w:t>
      </w:r>
      <w:r>
        <w:t xml:space="preserve"> kalenderdagen na de dag waarop een </w:t>
      </w:r>
      <w:r>
        <w:lastRenderedPageBreak/>
        <w:t>vonnis in kort geding is gewezen. Tijdens deze periode is de inschrijving onvoorwaardelijk en bindend.</w:t>
      </w:r>
      <w:bookmarkStart w:id="77" w:name="_Toc51856101"/>
      <w:bookmarkStart w:id="78" w:name="_Toc89681234"/>
      <w:bookmarkEnd w:id="76"/>
    </w:p>
    <w:p w14:paraId="712FC172" w14:textId="08344273" w:rsidR="004D7EB3" w:rsidRPr="009D7366" w:rsidRDefault="004D7EB3" w:rsidP="00EF13CD">
      <w:pPr>
        <w:pStyle w:val="Lijstalinea"/>
        <w:numPr>
          <w:ilvl w:val="0"/>
          <w:numId w:val="16"/>
        </w:numPr>
        <w:spacing w:line="240" w:lineRule="auto"/>
      </w:pPr>
      <w:r>
        <w:t>De inschrijver (en diens onderaannemer(s)</w:t>
      </w:r>
      <w:r w:rsidR="444A69AA">
        <w:t>)</w:t>
      </w:r>
      <w:r>
        <w:t xml:space="preserve"> wordt/worden geacht bekend te zijn met de bepalingen van de Wet arbeid vreemdelingen (WAV) en dient/dienen aan alle uit die wet voortvloeiende verplichtingen te voldoen. Het bij de opdracht in te zetten personeel dient in bezit te zijn van de vereiste vergunningen en in het bijzonder, maar niet uitsluitend, de vereiste tewerkstellingsvergunning op grond van de WAV. De inschrijver vrijwaart </w:t>
      </w:r>
      <w:r w:rsidR="00503E2D">
        <w:t>G</w:t>
      </w:r>
      <w:r>
        <w:t xml:space="preserve">emeente van alle boetes, die </w:t>
      </w:r>
      <w:r w:rsidR="00503E2D">
        <w:t>G</w:t>
      </w:r>
      <w:r>
        <w:t>emeente op grond van de WAV opgelegd krijgt.</w:t>
      </w:r>
    </w:p>
    <w:p w14:paraId="0A28F4CA" w14:textId="5E8AD8E9" w:rsidR="004D7EB3" w:rsidRPr="00222306" w:rsidRDefault="004D7EB3" w:rsidP="00EF13CD">
      <w:pPr>
        <w:pStyle w:val="Lijstalinea"/>
        <w:numPr>
          <w:ilvl w:val="0"/>
          <w:numId w:val="16"/>
        </w:numPr>
        <w:spacing w:line="240" w:lineRule="auto"/>
      </w:pPr>
      <w:r w:rsidRPr="00222306">
        <w:t xml:space="preserve">De inschrijver heeft één gelegenheid een concurrerende inschrijving uit te brengen. </w:t>
      </w:r>
      <w:r w:rsidR="00503E2D">
        <w:t>G</w:t>
      </w:r>
      <w:r w:rsidRPr="00222306">
        <w:t xml:space="preserve">emeente voert bij gunning dan ook geen prijsonderhandelingen. </w:t>
      </w:r>
    </w:p>
    <w:p w14:paraId="604396A3" w14:textId="77777777" w:rsidR="004D7EB3" w:rsidRDefault="004D7EB3" w:rsidP="004D7EB3"/>
    <w:p w14:paraId="383CD3C8" w14:textId="43F20FB9" w:rsidR="6B42E032" w:rsidRPr="002D5FD9" w:rsidRDefault="6B42E032" w:rsidP="6171FF3A">
      <w:pPr>
        <w:rPr>
          <w:b/>
          <w:bCs/>
        </w:rPr>
      </w:pPr>
      <w:r w:rsidRPr="002D5FD9">
        <w:rPr>
          <w:rFonts w:eastAsia="Corbel" w:cs="Corbel"/>
          <w:b/>
          <w:bCs/>
          <w:i/>
          <w:iCs/>
          <w:szCs w:val="22"/>
        </w:rPr>
        <w:t>Model K</w:t>
      </w:r>
    </w:p>
    <w:p w14:paraId="6C3AAB9B" w14:textId="16F7061D" w:rsidR="6B42E032" w:rsidRDefault="6B42E032" w:rsidP="4271E13C">
      <w:pPr>
        <w:pStyle w:val="Lijstalinea"/>
        <w:numPr>
          <w:ilvl w:val="0"/>
          <w:numId w:val="2"/>
        </w:numPr>
        <w:ind w:left="360"/>
        <w:rPr>
          <w:rFonts w:eastAsia="Corbel" w:cs="Corbel"/>
        </w:rPr>
      </w:pPr>
      <w:r w:rsidRPr="4271E13C">
        <w:rPr>
          <w:rFonts w:eastAsia="Corbel" w:cs="Corbel"/>
        </w:rPr>
        <w:t>De inschrijver dient bij de inschrijving een verklaring over te leggen dat de inschrijving niet tot stand is gekomen onder invloed van een met het Nederlandse of Europese mededingingsrecht strijdige overeenkomst, besluit of gedraging. Deze verklaring (bijlage 3 model K) dient in het geval van een BV of een NV getekend te worden door de statutaire bestuurder. De verklaring dient in het geval van andere rechtsvormen getekend te worden door de hoogst vertegenwoordigingsbevoegde bestuurder (zie onder kop 'bestuurder(s)' op het uittreksel uit het handelsregister)</w:t>
      </w:r>
      <w:r w:rsidR="0A25E0EF" w:rsidRPr="4271E13C">
        <w:rPr>
          <w:rFonts w:eastAsia="Corbel" w:cs="Corbel"/>
        </w:rPr>
        <w:t>.</w:t>
      </w:r>
      <w:r w:rsidR="0095107D">
        <w:rPr>
          <w:rFonts w:eastAsia="Corbel" w:cs="Corbel"/>
        </w:rPr>
        <w:t>*</w:t>
      </w:r>
    </w:p>
    <w:p w14:paraId="623995A1" w14:textId="375768B7" w:rsidR="6171FF3A" w:rsidRDefault="6171FF3A"/>
    <w:p w14:paraId="4960982D" w14:textId="3AC70F98" w:rsidR="00882AB8" w:rsidRPr="0091633B" w:rsidRDefault="00882AB8" w:rsidP="004D7EB3">
      <w:pPr>
        <w:rPr>
          <w:b/>
          <w:bCs/>
          <w:i/>
          <w:iCs/>
        </w:rPr>
      </w:pPr>
      <w:r w:rsidRPr="0091633B">
        <w:rPr>
          <w:b/>
          <w:bCs/>
          <w:i/>
          <w:iCs/>
        </w:rPr>
        <w:t>Varianten</w:t>
      </w:r>
    </w:p>
    <w:p w14:paraId="1BF6E055" w14:textId="2904C740" w:rsidR="004D7EB3" w:rsidRPr="00222306" w:rsidRDefault="004D7EB3" w:rsidP="00EF13CD">
      <w:pPr>
        <w:pStyle w:val="Lijstalinea"/>
        <w:numPr>
          <w:ilvl w:val="0"/>
          <w:numId w:val="16"/>
        </w:numPr>
        <w:spacing w:line="240" w:lineRule="auto"/>
      </w:pPr>
      <w:r>
        <w:t>In het kader van de aanbestedingsprocedure zal het indienen van varianten van de inschrijver (alternatieve aanbiedingen) niet</w:t>
      </w:r>
      <w:r w:rsidR="02AC637A">
        <w:t xml:space="preserve"> </w:t>
      </w:r>
      <w:r>
        <w:t>worden toegestaan.</w:t>
      </w:r>
    </w:p>
    <w:p w14:paraId="11A12B12" w14:textId="333CD7E8" w:rsidR="004D7EB3" w:rsidRDefault="00503E2D" w:rsidP="00EF13CD">
      <w:pPr>
        <w:pStyle w:val="Lijstalinea"/>
        <w:numPr>
          <w:ilvl w:val="0"/>
          <w:numId w:val="16"/>
        </w:numPr>
        <w:spacing w:line="240" w:lineRule="auto"/>
      </w:pPr>
      <w:r>
        <w:t>G</w:t>
      </w:r>
      <w:r w:rsidR="004D7EB3" w:rsidRPr="00222306">
        <w:t>emeente behoudt zich het recht voor om bij eventuele ontbinding van de overeenkomst de opdracht te gunnen aan de volgende in de rangorde, mits de rangorde ongewijzigd is gebleven.</w:t>
      </w:r>
    </w:p>
    <w:p w14:paraId="6EFE0EAE" w14:textId="77777777" w:rsidR="004D7EB3" w:rsidRDefault="004D7EB3" w:rsidP="004D7EB3"/>
    <w:p w14:paraId="0E9CDB56" w14:textId="23FA2707" w:rsidR="009D7366" w:rsidRPr="0091633B" w:rsidRDefault="009D7366" w:rsidP="004D7EB3">
      <w:pPr>
        <w:rPr>
          <w:b/>
          <w:bCs/>
          <w:i/>
          <w:iCs/>
        </w:rPr>
      </w:pPr>
      <w:r w:rsidRPr="0091633B">
        <w:rPr>
          <w:b/>
          <w:bCs/>
          <w:i/>
          <w:iCs/>
        </w:rPr>
        <w:t>Collusie</w:t>
      </w:r>
    </w:p>
    <w:p w14:paraId="23860B72" w14:textId="0AA1EDED" w:rsidR="004D7EB3" w:rsidRPr="00CF73F2" w:rsidRDefault="00503E2D" w:rsidP="00EF13CD">
      <w:pPr>
        <w:pStyle w:val="Lijstalinea"/>
        <w:numPr>
          <w:ilvl w:val="0"/>
          <w:numId w:val="16"/>
        </w:numPr>
        <w:spacing w:line="240" w:lineRule="auto"/>
      </w:pPr>
      <w:r w:rsidRPr="00CF73F2">
        <w:t>G</w:t>
      </w:r>
      <w:r w:rsidR="004D7EB3" w:rsidRPr="00CF73F2">
        <w:t>emeente behoudt zich het recht voor, omwille van de transparantie en de eerlijke mededinging tussen de inschrijvers, om aan onderling verbonden ondernemingen, die tegelijk en als concurrenten inschrijven op de aanbesteding, te vragen aan te tonen dat hun afhankelijkheidsverhouding hun inschrijving niet heeft beïnvloed. Indien blijkt dat er tussen hen aantoonbaar een verhouding van afhankelijkheid en aanzienlijke invloed bestaat, worden zij van deelname uitgesloten.</w:t>
      </w:r>
    </w:p>
    <w:p w14:paraId="70D1BEB4" w14:textId="7E3DB793" w:rsidR="004D7EB3" w:rsidRPr="0030372C" w:rsidRDefault="00503E2D" w:rsidP="00EF13CD">
      <w:pPr>
        <w:pStyle w:val="Lijstalinea"/>
        <w:numPr>
          <w:ilvl w:val="0"/>
          <w:numId w:val="16"/>
        </w:numPr>
        <w:spacing w:line="240" w:lineRule="auto"/>
      </w:pPr>
      <w:r>
        <w:t>G</w:t>
      </w:r>
      <w:r w:rsidR="004D7EB3">
        <w:t xml:space="preserve">emeente heeft geen inzicht in en invloed op de structuur van de personele invulling van de dienstverlening. In dat kader wijst </w:t>
      </w:r>
      <w:r>
        <w:t>G</w:t>
      </w:r>
      <w:r w:rsidR="004D7EB3">
        <w:t xml:space="preserve">emeente </w:t>
      </w:r>
      <w:r w:rsidR="04E3C17B">
        <w:t>erop</w:t>
      </w:r>
      <w:r w:rsidR="004D7EB3">
        <w:t xml:space="preserve"> dat de mogelijkheid bestaat dat werknemers van een </w:t>
      </w:r>
      <w:r w:rsidR="00734016">
        <w:t>Contractant</w:t>
      </w:r>
      <w:r w:rsidR="004D7EB3">
        <w:t xml:space="preserve"> zich beroepen op de Wet Overgang van Ondernemingen.</w:t>
      </w:r>
    </w:p>
    <w:p w14:paraId="398DF375" w14:textId="77777777" w:rsidR="004D7EB3" w:rsidRPr="00CF73F2" w:rsidRDefault="004D7EB3" w:rsidP="009D7366"/>
    <w:p w14:paraId="799927F8" w14:textId="77777777" w:rsidR="004D7EB3" w:rsidRPr="0091633B" w:rsidRDefault="004D7EB3" w:rsidP="004D7EB3">
      <w:pPr>
        <w:rPr>
          <w:b/>
          <w:bCs/>
          <w:i/>
          <w:iCs/>
        </w:rPr>
      </w:pPr>
      <w:r w:rsidRPr="0091633B">
        <w:rPr>
          <w:b/>
          <w:bCs/>
          <w:i/>
          <w:iCs/>
        </w:rPr>
        <w:t xml:space="preserve">Tegemoetkoming kosten </w:t>
      </w:r>
    </w:p>
    <w:p w14:paraId="039F5F7E" w14:textId="3A546DE9" w:rsidR="004D7EB3" w:rsidRPr="0030372C" w:rsidRDefault="006C11CD" w:rsidP="00EF13CD">
      <w:pPr>
        <w:pStyle w:val="Lijstalinea"/>
        <w:numPr>
          <w:ilvl w:val="0"/>
          <w:numId w:val="16"/>
        </w:numPr>
        <w:spacing w:line="240" w:lineRule="auto"/>
      </w:pPr>
      <w:r w:rsidRPr="0030372C">
        <w:t>De i</w:t>
      </w:r>
      <w:r w:rsidR="004D7EB3" w:rsidRPr="0030372C">
        <w:t xml:space="preserve">nschrijvers ontvangen geen tegemoetkoming in de kosten. </w:t>
      </w:r>
    </w:p>
    <w:p w14:paraId="0A0EEB69" w14:textId="77777777" w:rsidR="00CF73F2" w:rsidRDefault="00CF73F2" w:rsidP="004D7EB3">
      <w:pPr>
        <w:rPr>
          <w:i/>
          <w:iCs/>
        </w:rPr>
      </w:pPr>
    </w:p>
    <w:p w14:paraId="07987495" w14:textId="4DA690D4" w:rsidR="004D7EB3" w:rsidRPr="0091633B" w:rsidRDefault="004D7EB3" w:rsidP="004D7EB3">
      <w:pPr>
        <w:rPr>
          <w:b/>
          <w:bCs/>
          <w:i/>
          <w:iCs/>
        </w:rPr>
      </w:pPr>
      <w:r w:rsidRPr="0091633B">
        <w:rPr>
          <w:b/>
          <w:bCs/>
          <w:i/>
          <w:iCs/>
        </w:rPr>
        <w:t xml:space="preserve">Concerngarantie </w:t>
      </w:r>
    </w:p>
    <w:p w14:paraId="7EBD3E7C" w14:textId="480DE1B9" w:rsidR="004D7EB3" w:rsidRPr="009D7366" w:rsidRDefault="004D7EB3" w:rsidP="00EF13CD">
      <w:pPr>
        <w:pStyle w:val="Lijstalinea"/>
        <w:numPr>
          <w:ilvl w:val="0"/>
          <w:numId w:val="16"/>
        </w:numPr>
        <w:spacing w:line="240" w:lineRule="auto"/>
      </w:pPr>
      <w:r w:rsidRPr="009D7366">
        <w:t>De inschrijver die</w:t>
      </w:r>
      <w:r w:rsidR="00091BFA">
        <w:t xml:space="preserve"> onderdeel is van een concern die</w:t>
      </w:r>
      <w:r w:rsidRPr="009D7366">
        <w:t>nt</w:t>
      </w:r>
      <w:r w:rsidR="00091BFA">
        <w:t xml:space="preserve"> desgevraagd</w:t>
      </w:r>
      <w:r w:rsidRPr="009D7366">
        <w:t xml:space="preserve"> een verklaring af te geven van de moedermaatschappij/holding van de inschrijver dat deze zich in geval van gunning van de opdracht garant stelt voor de juiste en tijdige nakoming van de verplichtingen </w:t>
      </w:r>
      <w:r w:rsidR="00091BFA">
        <w:t>uit de overeenkomst</w:t>
      </w:r>
      <w:r w:rsidRPr="009D7366">
        <w:t>. De inschrijver dient hiervoor de Model Concerngarantie (bijlage</w:t>
      </w:r>
      <w:r w:rsidR="00F26426">
        <w:t>)</w:t>
      </w:r>
      <w:r w:rsidRPr="009D7366">
        <w:t xml:space="preserve"> rechtsgeldig te laten ondertekenen. </w:t>
      </w:r>
      <w:r w:rsidR="0095107D">
        <w:br/>
      </w:r>
    </w:p>
    <w:p w14:paraId="3D130A64" w14:textId="77777777" w:rsidR="004D7EB3" w:rsidRDefault="004D7EB3" w:rsidP="004D7EB3"/>
    <w:p w14:paraId="1032DACD" w14:textId="20327650" w:rsidR="00B30718" w:rsidRPr="00222306" w:rsidRDefault="00B30718" w:rsidP="007161BE">
      <w:pPr>
        <w:pStyle w:val="Kop2"/>
      </w:pPr>
      <w:bookmarkStart w:id="79" w:name="_Toc51856102"/>
      <w:bookmarkStart w:id="80" w:name="_Toc89681235"/>
      <w:bookmarkStart w:id="81" w:name="_Hlk154592789"/>
      <w:bookmarkStart w:id="82" w:name="_Toc225942293"/>
      <w:bookmarkEnd w:id="77"/>
      <w:bookmarkEnd w:id="78"/>
      <w:r>
        <w:lastRenderedPageBreak/>
        <w:t>Voorwaarden voor een samenwerkingsverband (combinatie)</w:t>
      </w:r>
      <w:bookmarkEnd w:id="79"/>
      <w:bookmarkEnd w:id="80"/>
      <w:bookmarkEnd w:id="82"/>
      <w:r>
        <w:t xml:space="preserve"> </w:t>
      </w:r>
    </w:p>
    <w:p w14:paraId="0A0099FB" w14:textId="77777777" w:rsidR="00B30718" w:rsidRPr="00222306" w:rsidRDefault="00B30718" w:rsidP="00B30718">
      <w:bookmarkStart w:id="83" w:name="_Hlk154663826"/>
      <w:r w:rsidRPr="00222306">
        <w:t xml:space="preserve">Indien de inschrijver niet zelfstandig de opdracht kan of wenst uit te voeren, is de mogelijkheid aanwezig om in te schrijven in samenwerking met andere ondernemingen. </w:t>
      </w:r>
    </w:p>
    <w:p w14:paraId="68128E99" w14:textId="77777777" w:rsidR="00B30718" w:rsidRPr="00222306" w:rsidRDefault="00B30718" w:rsidP="00B30718">
      <w:pPr>
        <w:rPr>
          <w:b/>
          <w:bCs/>
        </w:rPr>
      </w:pPr>
    </w:p>
    <w:p w14:paraId="2AF57088" w14:textId="77777777" w:rsidR="00B30718" w:rsidRPr="00222306" w:rsidRDefault="00B30718" w:rsidP="00B30718">
      <w:r w:rsidRPr="00222306">
        <w:rPr>
          <w:b/>
          <w:bCs/>
        </w:rPr>
        <w:t xml:space="preserve">Combinatie </w:t>
      </w:r>
    </w:p>
    <w:p w14:paraId="24EAC8EE" w14:textId="77777777" w:rsidR="00B30718" w:rsidRPr="00222306" w:rsidRDefault="00B30718" w:rsidP="00B30718">
      <w:r w:rsidRPr="00222306">
        <w:t xml:space="preserve">De combinanten zijn gezamenlijk en hoofdelijk aansprakelijk voor de volledige en juiste uitvoering van de opdracht. </w:t>
      </w:r>
    </w:p>
    <w:p w14:paraId="5E2B1CCA" w14:textId="77777777" w:rsidR="00B30718" w:rsidRPr="00222306" w:rsidRDefault="00B30718" w:rsidP="00B30718"/>
    <w:p w14:paraId="36FC526A" w14:textId="2E2FEE96" w:rsidR="00B30718" w:rsidRPr="00222306" w:rsidRDefault="00B30718" w:rsidP="00B30718">
      <w:r w:rsidRPr="00222306">
        <w:t xml:space="preserve">Een wijziging in de samenstelling van de combinatie is alleen toegestaan </w:t>
      </w:r>
      <w:r w:rsidRPr="00222306">
        <w:rPr>
          <w:b/>
          <w:u w:val="single"/>
        </w:rPr>
        <w:t>na voorafgaande schriftelijke toestemming</w:t>
      </w:r>
      <w:r w:rsidRPr="00222306">
        <w:rPr>
          <w:u w:val="single"/>
        </w:rPr>
        <w:t xml:space="preserve"> </w:t>
      </w:r>
      <w:r w:rsidRPr="00222306">
        <w:t xml:space="preserve">van </w:t>
      </w:r>
      <w:r w:rsidR="00D513FB">
        <w:t>G</w:t>
      </w:r>
      <w:r w:rsidRPr="00222306">
        <w:t>emeente en in ieder geval op voorwaarde dat:</w:t>
      </w:r>
    </w:p>
    <w:p w14:paraId="08F28EF8" w14:textId="77777777" w:rsidR="00B30718" w:rsidRPr="00222306" w:rsidRDefault="00B30718" w:rsidP="00EF13CD">
      <w:pPr>
        <w:pStyle w:val="Lijstalinea"/>
        <w:numPr>
          <w:ilvl w:val="0"/>
          <w:numId w:val="16"/>
        </w:numPr>
        <w:spacing w:line="240" w:lineRule="auto"/>
      </w:pPr>
      <w:r w:rsidRPr="00222306">
        <w:t>tenminste één van de oorspronkelijke combinanten resteert; en</w:t>
      </w:r>
    </w:p>
    <w:p w14:paraId="5C636721" w14:textId="77777777" w:rsidR="00B30718" w:rsidRPr="00222306" w:rsidRDefault="00B30718" w:rsidP="00EF13CD">
      <w:pPr>
        <w:pStyle w:val="Lijstalinea"/>
        <w:numPr>
          <w:ilvl w:val="0"/>
          <w:numId w:val="16"/>
        </w:numPr>
        <w:spacing w:line="240" w:lineRule="auto"/>
      </w:pPr>
      <w:r w:rsidRPr="00222306">
        <w:t>de overgebleven ondernemer zelfstandig of de nieuwe combinatie als geheel voldoet aan de voorwaarden van de opdracht en de geschiktheidseisen; en  </w:t>
      </w:r>
    </w:p>
    <w:p w14:paraId="6C784F2D" w14:textId="77777777" w:rsidR="00B30718" w:rsidRPr="00222306" w:rsidRDefault="00B30718" w:rsidP="00EF13CD">
      <w:pPr>
        <w:pStyle w:val="Lijstalinea"/>
        <w:numPr>
          <w:ilvl w:val="0"/>
          <w:numId w:val="16"/>
        </w:numPr>
        <w:spacing w:line="240" w:lineRule="auto"/>
      </w:pPr>
      <w:r w:rsidRPr="00222306">
        <w:t xml:space="preserve">de andere inschrijvers niet worden benadeeld. </w:t>
      </w:r>
    </w:p>
    <w:p w14:paraId="5E826AA8" w14:textId="3DF8CAA0" w:rsidR="00B30718" w:rsidRPr="00222306" w:rsidRDefault="00B30718" w:rsidP="00B30718">
      <w:r w:rsidRPr="00222306">
        <w:t xml:space="preserve">Terugtrekking van een combinant zonder voorafgaande schriftelijke toestemming van </w:t>
      </w:r>
      <w:r w:rsidR="00D513FB">
        <w:t>G</w:t>
      </w:r>
      <w:r w:rsidRPr="00222306">
        <w:t xml:space="preserve">emeente leidt er toe dat de inschrijver zich als geheel terugtrekt uit de aanbestedingsprocedure. </w:t>
      </w:r>
    </w:p>
    <w:p w14:paraId="4C428BDE" w14:textId="77777777" w:rsidR="00B30718" w:rsidRPr="00222306" w:rsidRDefault="00B30718" w:rsidP="00B30718"/>
    <w:p w14:paraId="2FFC9F83" w14:textId="77777777" w:rsidR="00B30718" w:rsidRPr="00222306" w:rsidRDefault="00B30718" w:rsidP="00B30718">
      <w:pPr>
        <w:rPr>
          <w:b/>
        </w:rPr>
      </w:pPr>
      <w:r w:rsidRPr="00222306">
        <w:rPr>
          <w:b/>
        </w:rPr>
        <w:t xml:space="preserve">Als ingeschreven wordt door een samenwerkingsverband dient: </w:t>
      </w:r>
    </w:p>
    <w:p w14:paraId="09803298" w14:textId="7535E323" w:rsidR="00B30718" w:rsidRPr="00222306" w:rsidRDefault="00B30718" w:rsidP="00EF13CD">
      <w:pPr>
        <w:numPr>
          <w:ilvl w:val="0"/>
          <w:numId w:val="7"/>
        </w:numPr>
      </w:pPr>
      <w:r w:rsidRPr="00222306">
        <w:rPr>
          <w:u w:val="single"/>
        </w:rPr>
        <w:t>iedere deelnemer</w:t>
      </w:r>
      <w:r w:rsidRPr="00222306">
        <w:t xml:space="preserve"> van een samenwerkingsverband het UEA te ondertekenen waarbij alle tot dat samenwerkingsverband behorende ondernemingen ieder voor zich en gezamenlijk hoofdelijke aansprakelijkheid aanvaarden voor de gestanddoening van de verplichtingen voortvloeiend uit de inschrijving, alsmede voor de eventuele uitvoering van de overeenkomst</w:t>
      </w:r>
      <w:r w:rsidR="007161BE">
        <w:t>;</w:t>
      </w:r>
      <w:r w:rsidRPr="00222306">
        <w:t xml:space="preserve"> </w:t>
      </w:r>
    </w:p>
    <w:p w14:paraId="1621A812" w14:textId="42B7393E" w:rsidR="00B30718" w:rsidRPr="00222306" w:rsidRDefault="00B30718" w:rsidP="00EF13CD">
      <w:pPr>
        <w:numPr>
          <w:ilvl w:val="0"/>
          <w:numId w:val="7"/>
        </w:numPr>
      </w:pPr>
      <w:r w:rsidRPr="00222306">
        <w:t xml:space="preserve">dit te worden aangeven in deel II onderdeel A en C van de verklaring. Hieruit dient naar voren te komen wie de overige deelnemer(s) in het samenwerkingsverband is/zijn, wie de leiding van het samenwerkingsverband heeft en als verantwoordelijk gemachtigde jegens </w:t>
      </w:r>
      <w:r w:rsidR="00A7026B">
        <w:t>G</w:t>
      </w:r>
      <w:r w:rsidRPr="00222306">
        <w:t>emeente mag optreden en voor welk deel van de geschiktheidseisen ondergetekende aan de gestelde eisen voldoet, dan wel een beroep doet op (een van) de andere deelnemer(s) aan het samenwerkingsverband</w:t>
      </w:r>
      <w:r w:rsidR="007161BE">
        <w:t>; en</w:t>
      </w:r>
      <w:r w:rsidRPr="00222306">
        <w:t xml:space="preserve"> </w:t>
      </w:r>
    </w:p>
    <w:p w14:paraId="24396C85" w14:textId="6FEBE198" w:rsidR="00B30718" w:rsidRPr="003E7B15" w:rsidRDefault="007161BE" w:rsidP="00EF13CD">
      <w:pPr>
        <w:numPr>
          <w:ilvl w:val="0"/>
          <w:numId w:val="7"/>
        </w:numPr>
      </w:pPr>
      <w:r>
        <w:t>d</w:t>
      </w:r>
      <w:r w:rsidR="00B30718" w:rsidRPr="003E7B15">
        <w:t>e combinatie de rechtsvorm van een Vennootschap onder Firma (</w:t>
      </w:r>
      <w:proofErr w:type="spellStart"/>
      <w:r w:rsidR="00B30718" w:rsidRPr="003E7B15">
        <w:t>v.o.f.</w:t>
      </w:r>
      <w:proofErr w:type="spellEnd"/>
      <w:r w:rsidR="00B30718" w:rsidRPr="003E7B15">
        <w:t>) aan</w:t>
      </w:r>
      <w:r>
        <w:t xml:space="preserve"> </w:t>
      </w:r>
      <w:r w:rsidR="00C76652">
        <w:t>t</w:t>
      </w:r>
      <w:r>
        <w:t>e nemen</w:t>
      </w:r>
      <w:r w:rsidR="00B30718" w:rsidRPr="003E7B15">
        <w:t xml:space="preserve"> indien </w:t>
      </w:r>
      <w:r w:rsidR="00A7026B">
        <w:t>G</w:t>
      </w:r>
      <w:r w:rsidR="00B30718" w:rsidRPr="003E7B15">
        <w:t>emeente besluit een overeenkomst met de desbetreffende combinatie aan te gaan.</w:t>
      </w:r>
    </w:p>
    <w:bookmarkEnd w:id="83"/>
    <w:p w14:paraId="516CD30E" w14:textId="56E9ADEE" w:rsidR="008A368D" w:rsidRDefault="008A368D" w:rsidP="008A368D">
      <w:pPr>
        <w:rPr>
          <w:highlight w:val="lightGray"/>
        </w:rPr>
      </w:pPr>
    </w:p>
    <w:p w14:paraId="0625D1C4" w14:textId="77777777" w:rsidR="008A368D" w:rsidRPr="00222306" w:rsidRDefault="008A368D" w:rsidP="008A368D"/>
    <w:bookmarkEnd w:id="81"/>
    <w:p w14:paraId="5DC2683D" w14:textId="77777777" w:rsidR="008A368D" w:rsidRDefault="008A368D" w:rsidP="008A368D">
      <w:pPr>
        <w:rPr>
          <w:highlight w:val="lightGray"/>
        </w:rPr>
      </w:pPr>
    </w:p>
    <w:p w14:paraId="57002694" w14:textId="77777777" w:rsidR="002D22A0" w:rsidRPr="00222306" w:rsidRDefault="002D22A0" w:rsidP="008A368D">
      <w:pPr>
        <w:rPr>
          <w:highlight w:val="lightGray"/>
        </w:rPr>
      </w:pPr>
    </w:p>
    <w:p w14:paraId="4A04E3B6" w14:textId="77777777" w:rsidR="00B30718" w:rsidRPr="00222306" w:rsidRDefault="00B30718" w:rsidP="00B30718">
      <w:pPr>
        <w:ind w:left="360"/>
      </w:pPr>
    </w:p>
    <w:p w14:paraId="208C8662" w14:textId="77777777" w:rsidR="00CF73F2" w:rsidRDefault="00CF73F2">
      <w:pPr>
        <w:spacing w:line="240" w:lineRule="auto"/>
        <w:rPr>
          <w:rFonts w:eastAsiaTheme="majorEastAsia" w:cstheme="majorBidi"/>
          <w:color w:val="00365F"/>
          <w:sz w:val="60"/>
          <w:szCs w:val="32"/>
        </w:rPr>
      </w:pPr>
      <w:bookmarkStart w:id="84" w:name="_Toc89681237"/>
      <w:r>
        <w:br w:type="page"/>
      </w:r>
    </w:p>
    <w:p w14:paraId="33A28013" w14:textId="1A71F339" w:rsidR="00B30718" w:rsidRDefault="00CE7B0C" w:rsidP="004B7BF7">
      <w:pPr>
        <w:pStyle w:val="Kop1"/>
      </w:pPr>
      <w:bookmarkStart w:id="85" w:name="_Toc225942294"/>
      <w:r>
        <w:lastRenderedPageBreak/>
        <w:t xml:space="preserve">Uitsluitingsgronden en </w:t>
      </w:r>
      <w:r w:rsidR="006A14B4">
        <w:t>Geschiktheidseisen</w:t>
      </w:r>
      <w:bookmarkEnd w:id="84"/>
      <w:bookmarkEnd w:id="85"/>
    </w:p>
    <w:p w14:paraId="3847F767" w14:textId="77777777" w:rsidR="00DC7D01" w:rsidRPr="00DC7D01" w:rsidRDefault="00DC7D01" w:rsidP="00DC7D01"/>
    <w:p w14:paraId="4ACACCEE" w14:textId="71BE0D38" w:rsidR="00222306" w:rsidRDefault="00AA2310" w:rsidP="2D0FBD75">
      <w:pPr>
        <w:pStyle w:val="Introtekst"/>
        <w:spacing w:before="40" w:after="240" w:line="280" w:lineRule="exact"/>
        <w:rPr>
          <w:sz w:val="22"/>
        </w:rPr>
      </w:pPr>
      <w:bookmarkStart w:id="86" w:name="_Toc89676636"/>
      <w:r w:rsidRPr="2D0FBD75">
        <w:rPr>
          <w:sz w:val="22"/>
        </w:rPr>
        <w:t>De i</w:t>
      </w:r>
      <w:r w:rsidR="00B30718" w:rsidRPr="2D0FBD75">
        <w:rPr>
          <w:sz w:val="22"/>
        </w:rPr>
        <w:t xml:space="preserve">nschrijvers </w:t>
      </w:r>
      <w:r w:rsidR="00F86D6F" w:rsidRPr="2D0FBD75">
        <w:rPr>
          <w:sz w:val="22"/>
        </w:rPr>
        <w:t xml:space="preserve">worden </w:t>
      </w:r>
      <w:r w:rsidR="00B30718" w:rsidRPr="2D0FBD75">
        <w:rPr>
          <w:sz w:val="22"/>
        </w:rPr>
        <w:t xml:space="preserve">op de hieronder genoemde </w:t>
      </w:r>
      <w:r w:rsidR="00B80F73" w:rsidRPr="2D0FBD75">
        <w:rPr>
          <w:sz w:val="22"/>
        </w:rPr>
        <w:t xml:space="preserve">uitsluitingsgronden en </w:t>
      </w:r>
      <w:r w:rsidR="00B30718" w:rsidRPr="2D0FBD75">
        <w:rPr>
          <w:sz w:val="22"/>
        </w:rPr>
        <w:t>geschiktheidseisen beoordeeld.</w:t>
      </w:r>
      <w:r w:rsidR="00F86D6F" w:rsidRPr="2D0FBD75">
        <w:rPr>
          <w:sz w:val="22"/>
        </w:rPr>
        <w:t xml:space="preserve"> </w:t>
      </w:r>
      <w:r w:rsidR="00B30718" w:rsidRPr="2D0FBD75">
        <w:rPr>
          <w:sz w:val="22"/>
        </w:rPr>
        <w:t xml:space="preserve"> De geschiktheidseisen zijn minimumeisen. Indien op </w:t>
      </w:r>
      <w:r w:rsidR="001A3AAB" w:rsidRPr="2D0FBD75">
        <w:rPr>
          <w:sz w:val="22"/>
        </w:rPr>
        <w:t xml:space="preserve">de </w:t>
      </w:r>
      <w:r w:rsidR="00B30718" w:rsidRPr="2D0FBD75">
        <w:rPr>
          <w:sz w:val="22"/>
        </w:rPr>
        <w:t xml:space="preserve">inschrijver de van toepassing zijnde uitsluitingsgronden van toepassing zijn en/of de inschrijver niet voldoet aan onderstaande geschiktheidseisen, wordt de inschrijving </w:t>
      </w:r>
      <w:r w:rsidR="00F86D6F" w:rsidRPr="2D0FBD75">
        <w:rPr>
          <w:sz w:val="22"/>
        </w:rPr>
        <w:t xml:space="preserve">in beginsel </w:t>
      </w:r>
      <w:r w:rsidR="00B80F73" w:rsidRPr="2D0FBD75">
        <w:rPr>
          <w:sz w:val="22"/>
        </w:rPr>
        <w:t xml:space="preserve">als ongeldig terzijde gelegd en </w:t>
      </w:r>
      <w:r w:rsidR="00B30718" w:rsidRPr="2D0FBD75">
        <w:rPr>
          <w:sz w:val="22"/>
        </w:rPr>
        <w:t>niet verder meegenomen in de beoordeling.</w:t>
      </w:r>
      <w:bookmarkEnd w:id="86"/>
      <w:r w:rsidR="00B30718" w:rsidRPr="2D0FBD75">
        <w:rPr>
          <w:sz w:val="22"/>
        </w:rPr>
        <w:t xml:space="preserve"> </w:t>
      </w:r>
    </w:p>
    <w:p w14:paraId="3206A8F5" w14:textId="0E76A1C7" w:rsidR="00B30718" w:rsidRPr="00222306" w:rsidRDefault="00B30718" w:rsidP="004B7BF7">
      <w:pPr>
        <w:pStyle w:val="Kop2"/>
      </w:pPr>
      <w:bookmarkStart w:id="87" w:name="_Toc385580358"/>
      <w:bookmarkStart w:id="88" w:name="_Toc51856105"/>
      <w:bookmarkStart w:id="89" w:name="_Toc89681238"/>
      <w:bookmarkStart w:id="90" w:name="_Toc225942295"/>
      <w:r>
        <w:t>Uitsluitingsgronden</w:t>
      </w:r>
      <w:bookmarkEnd w:id="87"/>
      <w:bookmarkEnd w:id="88"/>
      <w:bookmarkEnd w:id="89"/>
      <w:bookmarkEnd w:id="90"/>
    </w:p>
    <w:p w14:paraId="448C9F10" w14:textId="77777777" w:rsidR="00B30718" w:rsidRPr="00222306" w:rsidRDefault="00B30718" w:rsidP="00BA3B31">
      <w:pPr>
        <w:pStyle w:val="Kop3"/>
      </w:pPr>
      <w:bookmarkStart w:id="91" w:name="_Toc454805157"/>
      <w:bookmarkStart w:id="92" w:name="_Hlk154664688"/>
      <w:bookmarkStart w:id="93" w:name="_Toc225942296"/>
      <w:r>
        <w:t xml:space="preserve">Uniform Europees Aanbestedingsdocument </w:t>
      </w:r>
      <w:bookmarkEnd w:id="91"/>
      <w:r>
        <w:t>(UEA)</w:t>
      </w:r>
      <w:bookmarkEnd w:id="93"/>
    </w:p>
    <w:p w14:paraId="61BEFD68" w14:textId="298FB834" w:rsidR="00B30718" w:rsidRPr="00222306" w:rsidRDefault="00B30718" w:rsidP="00B30718">
      <w:bookmarkStart w:id="94" w:name="_Hlk154664665"/>
      <w:bookmarkEnd w:id="92"/>
      <w:r w:rsidRPr="00222306">
        <w:t xml:space="preserve">Er wordt beoordeeld of op de inschrijver niet een of meer van de in het UEA genoemde uitsluitingsgronden van toepassing zijn. </w:t>
      </w:r>
    </w:p>
    <w:p w14:paraId="63447CDB" w14:textId="1CE75AB2" w:rsidR="00B30718" w:rsidRPr="00222306" w:rsidRDefault="00B30718" w:rsidP="00B30718">
      <w:bookmarkStart w:id="95" w:name="_Hlk51856641"/>
      <w:bookmarkStart w:id="96" w:name="_Hlk154575738"/>
      <w:r w:rsidRPr="009E1406">
        <w:t>Het UEA voor deze aanbesteding is opgenomen als bijlage</w:t>
      </w:r>
      <w:r w:rsidR="00403658" w:rsidRPr="009E1406">
        <w:t xml:space="preserve"> </w:t>
      </w:r>
      <w:r w:rsidRPr="009E1406">
        <w:t>en kan volledig digitaal ingevuld worden op TenderNed</w:t>
      </w:r>
      <w:r w:rsidR="00D11F21" w:rsidRPr="004239FA">
        <w:t>.</w:t>
      </w:r>
      <w:bookmarkEnd w:id="95"/>
      <w:bookmarkEnd w:id="96"/>
    </w:p>
    <w:p w14:paraId="5576C482" w14:textId="77777777" w:rsidR="00B30718" w:rsidRPr="00222306" w:rsidRDefault="00B30718" w:rsidP="00B30718">
      <w:r w:rsidRPr="00222306">
        <w:t xml:space="preserve">De inschrijver geeft op het UEA in Deel III  aan of de uitsluitingsgronden op hem van toepassing zijn. </w:t>
      </w:r>
    </w:p>
    <w:p w14:paraId="485D9F18" w14:textId="77777777" w:rsidR="00B30718" w:rsidRPr="00222306" w:rsidRDefault="00B30718" w:rsidP="00B30718">
      <w:bookmarkStart w:id="97" w:name="_Hlk85016969"/>
    </w:p>
    <w:tbl>
      <w:tblPr>
        <w:tblStyle w:val="Tabelraster"/>
        <w:tblW w:w="0" w:type="auto"/>
        <w:tblLook w:val="04A0" w:firstRow="1" w:lastRow="0" w:firstColumn="1" w:lastColumn="0" w:noHBand="0" w:noVBand="1"/>
      </w:tblPr>
      <w:tblGrid>
        <w:gridCol w:w="9060"/>
      </w:tblGrid>
      <w:tr w:rsidR="00B30718" w:rsidRPr="00222306" w14:paraId="73035413" w14:textId="77777777" w:rsidTr="003474C8">
        <w:tc>
          <w:tcPr>
            <w:tcW w:w="9060" w:type="dxa"/>
          </w:tcPr>
          <w:p w14:paraId="4AAD3CD3" w14:textId="77777777" w:rsidR="00B30718" w:rsidRPr="00222306" w:rsidRDefault="00B30718" w:rsidP="003474C8">
            <w:r w:rsidRPr="00222306">
              <w:rPr>
                <w:b/>
                <w:bCs/>
              </w:rPr>
              <w:t>NB:</w:t>
            </w:r>
            <w:r w:rsidRPr="00222306">
              <w:t xml:space="preserve"> het UEA formulier vult meerdere keren automatisch de voor de inschrijver positieve antwoorden in. Het blijft de verantwoordelijkheid van inschrijver om te verifiëren of dit klopt.</w:t>
            </w:r>
          </w:p>
        </w:tc>
      </w:tr>
    </w:tbl>
    <w:p w14:paraId="61BD4C8B" w14:textId="77777777" w:rsidR="00B30718" w:rsidRPr="00222306" w:rsidRDefault="00B30718" w:rsidP="00B30718"/>
    <w:p w14:paraId="230D73BE" w14:textId="7067677F" w:rsidR="00C76652" w:rsidRDefault="007161BE" w:rsidP="00525890">
      <w:pPr>
        <w:pStyle w:val="Kop3"/>
      </w:pPr>
      <w:bookmarkStart w:id="98" w:name="_Toc212632273"/>
      <w:bookmarkStart w:id="99" w:name="_Toc212632274"/>
      <w:bookmarkStart w:id="100" w:name="_Toc212632275"/>
      <w:bookmarkStart w:id="101" w:name="_Toc212632276"/>
      <w:bookmarkStart w:id="102" w:name="_Toc225942297"/>
      <w:bookmarkEnd w:id="94"/>
      <w:bookmarkEnd w:id="97"/>
      <w:bookmarkEnd w:id="98"/>
      <w:bookmarkEnd w:id="99"/>
      <w:bookmarkEnd w:id="100"/>
      <w:bookmarkEnd w:id="101"/>
      <w:r>
        <w:t xml:space="preserve">Geen Russische betrokkenheid </w:t>
      </w:r>
      <w:r w:rsidR="00490EAC">
        <w:t>*</w:t>
      </w:r>
      <w:bookmarkEnd w:id="102"/>
    </w:p>
    <w:p w14:paraId="142D814A" w14:textId="2F0EF169" w:rsidR="00525890" w:rsidRDefault="00C76652" w:rsidP="00C76652">
      <w:r>
        <w:t>Overheden mogen vanaf 10 oktober 2022 geen nieuwe opdrachten meer gunnen aan Russische partijen. Dit is het gevolg van sancties tegen Rusland die de landen van de Europese Unie met elkaar hebben afgesproken.</w:t>
      </w:r>
      <w:r w:rsidR="3F2F9545">
        <w:t xml:space="preserve"> </w:t>
      </w:r>
      <w:r>
        <w:t>De inschrijver verklaart dat er geen sprake is van Russische</w:t>
      </w:r>
      <w:r w:rsidR="60888ECB">
        <w:t xml:space="preserve"> </w:t>
      </w:r>
      <w:r>
        <w:t xml:space="preserve">betrokkenheid bij de uitvoering van de opdracht. Inschrijver dient hiervoor </w:t>
      </w:r>
      <w:r w:rsidR="287E98F8">
        <w:t>b</w:t>
      </w:r>
      <w:r>
        <w:t>ijlage</w:t>
      </w:r>
      <w:r w:rsidR="35B64825">
        <w:t xml:space="preserve"> </w:t>
      </w:r>
      <w:r w:rsidR="42F4E095">
        <w:t xml:space="preserve"> </w:t>
      </w:r>
      <w:r>
        <w:t>‘</w:t>
      </w:r>
      <w:r w:rsidRPr="6171FF3A">
        <w:rPr>
          <w:i/>
          <w:iCs/>
        </w:rPr>
        <w:t>Verklaring geen Russische betrokkenheid</w:t>
      </w:r>
      <w:r>
        <w:t>’ in te vullen, te ondertekenen en bij te voegen bij de inschrijving.</w:t>
      </w:r>
    </w:p>
    <w:p w14:paraId="5F7BF090" w14:textId="75DBFAD9" w:rsidR="007161BE" w:rsidRPr="00222306" w:rsidRDefault="007161BE" w:rsidP="0031311A">
      <w:pPr>
        <w:pStyle w:val="Kop3"/>
        <w:numPr>
          <w:ilvl w:val="0"/>
          <w:numId w:val="0"/>
        </w:numPr>
        <w:ind w:left="720"/>
      </w:pPr>
    </w:p>
    <w:p w14:paraId="45E0B38F" w14:textId="58F80B0E" w:rsidR="00B30718" w:rsidRPr="00222306" w:rsidRDefault="00B30718" w:rsidP="004B7BF7">
      <w:pPr>
        <w:pStyle w:val="Kop2"/>
      </w:pPr>
      <w:bookmarkStart w:id="103" w:name="_Toc51856106"/>
      <w:bookmarkStart w:id="104" w:name="_Toc89681239"/>
      <w:bookmarkStart w:id="105" w:name="_Toc225942298"/>
      <w:r>
        <w:t>Geschiktheidseisen</w:t>
      </w:r>
      <w:bookmarkEnd w:id="103"/>
      <w:bookmarkEnd w:id="104"/>
      <w:bookmarkEnd w:id="105"/>
    </w:p>
    <w:p w14:paraId="58555DEC" w14:textId="3BCB1904" w:rsidR="00B30718" w:rsidRPr="00222306" w:rsidRDefault="00A7026B" w:rsidP="00B30718">
      <w:pPr>
        <w:spacing w:line="240" w:lineRule="auto"/>
      </w:pPr>
      <w:r>
        <w:t>G</w:t>
      </w:r>
      <w:r w:rsidR="00B30718">
        <w:t>emeente toetst de geschiktheid van de inschrijvers op grond van de geschiktheidseisen: financiële en economische draagkracht, beroepsbevoegdheid en technische bekwaamheid, zoals hieronder opgenomen.</w:t>
      </w:r>
    </w:p>
    <w:p w14:paraId="5E0112EE" w14:textId="77777777" w:rsidR="00B30718" w:rsidRPr="00222306" w:rsidRDefault="00B30718" w:rsidP="00B30718">
      <w:pPr>
        <w:spacing w:line="240" w:lineRule="auto"/>
      </w:pPr>
    </w:p>
    <w:p w14:paraId="6A401963" w14:textId="0E005C39" w:rsidR="00B30718" w:rsidRDefault="00B30718" w:rsidP="6171FF3A">
      <w:pPr>
        <w:spacing w:line="240" w:lineRule="auto"/>
        <w:rPr>
          <w:b/>
          <w:bCs/>
        </w:rPr>
      </w:pPr>
      <w:r w:rsidRPr="6171FF3A">
        <w:rPr>
          <w:b/>
          <w:bCs/>
        </w:rPr>
        <w:t>Inschrijver moet op het UEA in deel I</w:t>
      </w:r>
      <w:r w:rsidR="00233572">
        <w:rPr>
          <w:b/>
          <w:bCs/>
        </w:rPr>
        <w:t>IC</w:t>
      </w:r>
      <w:r w:rsidRPr="6171FF3A">
        <w:rPr>
          <w:b/>
          <w:bCs/>
        </w:rPr>
        <w:t xml:space="preserve"> aangeven of hij voldoet aan de in deze paragraaf vermelde geschiktheidseisen. </w:t>
      </w:r>
    </w:p>
    <w:p w14:paraId="7727B031" w14:textId="77777777" w:rsidR="00F95960" w:rsidRPr="00222306" w:rsidRDefault="00F95960" w:rsidP="6171FF3A">
      <w:pPr>
        <w:spacing w:line="240" w:lineRule="auto"/>
        <w:rPr>
          <w:b/>
          <w:bCs/>
        </w:rPr>
      </w:pPr>
    </w:p>
    <w:p w14:paraId="79D6D825" w14:textId="121009E9" w:rsidR="00B30718" w:rsidRDefault="00B30718" w:rsidP="006F1390">
      <w:pPr>
        <w:pStyle w:val="Kop3"/>
      </w:pPr>
      <w:bookmarkStart w:id="106" w:name="_Hlk154664868"/>
      <w:bookmarkStart w:id="107" w:name="_Toc225942299"/>
      <w:r>
        <w:t>Financiële en economische draagkracht</w:t>
      </w:r>
      <w:bookmarkEnd w:id="107"/>
    </w:p>
    <w:p w14:paraId="0C58DCFB" w14:textId="77777777" w:rsidR="00E70293" w:rsidRPr="00E70293" w:rsidRDefault="00E70293" w:rsidP="00E70293"/>
    <w:p w14:paraId="422F091D" w14:textId="2BC0D0CE" w:rsidR="00B30718" w:rsidRPr="009E1406" w:rsidRDefault="00AA2310" w:rsidP="00B30718">
      <w:pPr>
        <w:spacing w:line="240" w:lineRule="auto"/>
      </w:pPr>
      <w:bookmarkStart w:id="108" w:name="_Hlk51856728"/>
      <w:r w:rsidRPr="009E1406">
        <w:t>De i</w:t>
      </w:r>
      <w:r w:rsidR="00B30718" w:rsidRPr="009E1406">
        <w:t xml:space="preserve">nschrijver dient een stabiele onderneming te zijn, wiens continuïteit is gegarandeerd gedurende de looptijd van de opdracht, inclusief </w:t>
      </w:r>
      <w:r w:rsidR="001A3AAB" w:rsidRPr="009E1406">
        <w:t xml:space="preserve">de </w:t>
      </w:r>
      <w:r w:rsidR="00B30718" w:rsidRPr="009E1406">
        <w:t>mogelijke verlengingen.</w:t>
      </w:r>
    </w:p>
    <w:p w14:paraId="27C3CA90" w14:textId="1D3EB076" w:rsidR="006F1390" w:rsidRPr="009E1406" w:rsidRDefault="006F1390" w:rsidP="00B30718">
      <w:pPr>
        <w:spacing w:line="240" w:lineRule="auto"/>
      </w:pPr>
    </w:p>
    <w:p w14:paraId="0592CEC0" w14:textId="5FF38062" w:rsidR="006F1390" w:rsidRPr="009E1406" w:rsidRDefault="00A7026B" w:rsidP="006F1390">
      <w:pPr>
        <w:spacing w:line="240" w:lineRule="auto"/>
      </w:pPr>
      <w:bookmarkStart w:id="109" w:name="_Hlk154576825"/>
      <w:r w:rsidRPr="009E1406">
        <w:t>G</w:t>
      </w:r>
      <w:r w:rsidR="006F1390" w:rsidRPr="009E1406">
        <w:t xml:space="preserve">emeente verlangt van </w:t>
      </w:r>
      <w:r w:rsidR="00AA2310" w:rsidRPr="009E1406">
        <w:t xml:space="preserve">de </w:t>
      </w:r>
      <w:r w:rsidR="00E70293" w:rsidRPr="009E1406">
        <w:t>i</w:t>
      </w:r>
      <w:r w:rsidR="006F1390" w:rsidRPr="009E1406">
        <w:t>nschrijver aan te geven:</w:t>
      </w:r>
    </w:p>
    <w:p w14:paraId="12F81275" w14:textId="36701BF4" w:rsidR="006F1390" w:rsidRPr="009E1406" w:rsidRDefault="006F1390" w:rsidP="6171FF3A">
      <w:pPr>
        <w:spacing w:line="240" w:lineRule="auto"/>
      </w:pPr>
      <w:r>
        <w:t>Informatie over de jaarrekening, zijnde</w:t>
      </w:r>
      <w:r w:rsidR="192F588D">
        <w:t>:</w:t>
      </w:r>
    </w:p>
    <w:p w14:paraId="51E8BFAF" w14:textId="4C9168A5" w:rsidR="006F1390" w:rsidRPr="009E1406" w:rsidRDefault="006F1390" w:rsidP="00EF13CD">
      <w:pPr>
        <w:pStyle w:val="Lijstalinea"/>
        <w:numPr>
          <w:ilvl w:val="0"/>
          <w:numId w:val="7"/>
        </w:numPr>
        <w:spacing w:line="240" w:lineRule="auto"/>
      </w:pPr>
      <w:r>
        <w:t xml:space="preserve">indien de inschrijver controleplichtig is, geldt dat de meest recente jaarrekening geen paragraaf bevat met negatieve continuïteitsverwachtingen. </w:t>
      </w:r>
      <w:r w:rsidR="00AA2310">
        <w:t xml:space="preserve">De inschrijver </w:t>
      </w:r>
      <w:r>
        <w:t>dient de meest recente jaarrekening te kunnen overleggen;</w:t>
      </w:r>
    </w:p>
    <w:p w14:paraId="1D7F67AE" w14:textId="5DD8834D" w:rsidR="00BB7FB9" w:rsidRPr="009E1406" w:rsidRDefault="006F1390" w:rsidP="6171FF3A">
      <w:pPr>
        <w:pStyle w:val="Lijstalinea"/>
        <w:numPr>
          <w:ilvl w:val="0"/>
          <w:numId w:val="3"/>
        </w:numPr>
        <w:spacing w:line="240" w:lineRule="auto"/>
      </w:pPr>
      <w:bookmarkStart w:id="110" w:name="_Hlk149043128"/>
      <w:bookmarkStart w:id="111" w:name="_Hlk51849385"/>
      <w:bookmarkEnd w:id="109"/>
      <w:r>
        <w:t>I</w:t>
      </w:r>
      <w:r w:rsidR="00BB7FB9">
        <w:t xml:space="preserve">ndien </w:t>
      </w:r>
      <w:r w:rsidR="00AA2310">
        <w:t xml:space="preserve">de </w:t>
      </w:r>
      <w:r w:rsidR="00BB7FB9">
        <w:t xml:space="preserve">inschrijver niet controleplichtig is, wordt door ondertekening van de UEA verklaard dat de financiële en economische draagkracht van </w:t>
      </w:r>
      <w:r w:rsidR="00AA2310">
        <w:t xml:space="preserve">de </w:t>
      </w:r>
      <w:r w:rsidR="00BB7FB9">
        <w:t xml:space="preserve">onderneming zodanig is dat de continuïteit van de dienstverlening gedurende de looptijd van de opdracht, inclusief eventuele mogelijke verlenging(en), niet in gevaar komt. </w:t>
      </w:r>
      <w:r w:rsidR="00A7026B">
        <w:t>G</w:t>
      </w:r>
      <w:r w:rsidR="00BB7FB9">
        <w:t xml:space="preserve">emeente kan na voorlopige gunning vragen om een jaarverslag en/ of een beoordelings- of samenstellingsverklaring. </w:t>
      </w:r>
    </w:p>
    <w:bookmarkEnd w:id="108"/>
    <w:bookmarkEnd w:id="110"/>
    <w:bookmarkEnd w:id="111"/>
    <w:p w14:paraId="362B1558" w14:textId="77777777" w:rsidR="00B30718" w:rsidRPr="00222306" w:rsidRDefault="00B30718" w:rsidP="00B30718">
      <w:pPr>
        <w:spacing w:line="240" w:lineRule="auto"/>
      </w:pPr>
    </w:p>
    <w:p w14:paraId="6A89CE6F" w14:textId="77777777" w:rsidR="00B30718" w:rsidRPr="00222306" w:rsidRDefault="00B30718" w:rsidP="004B7BF7">
      <w:pPr>
        <w:pStyle w:val="Kop3"/>
      </w:pPr>
      <w:bookmarkStart w:id="112" w:name="_Toc212632280"/>
      <w:bookmarkStart w:id="113" w:name="_Toc212632281"/>
      <w:bookmarkStart w:id="114" w:name="_Toc212632282"/>
      <w:bookmarkStart w:id="115" w:name="_Toc225942300"/>
      <w:bookmarkEnd w:id="106"/>
      <w:bookmarkEnd w:id="112"/>
      <w:bookmarkEnd w:id="113"/>
      <w:bookmarkEnd w:id="114"/>
      <w:r>
        <w:t>Beroepsbevoegdheid</w:t>
      </w:r>
      <w:bookmarkEnd w:id="115"/>
    </w:p>
    <w:p w14:paraId="43C162F3" w14:textId="77777777" w:rsidR="00B30718" w:rsidRPr="00222306" w:rsidRDefault="00B30718" w:rsidP="00B30718">
      <w:pPr>
        <w:pStyle w:val="Lijstalinea"/>
        <w:spacing w:line="240" w:lineRule="auto"/>
        <w:rPr>
          <w:b/>
          <w:bCs/>
          <w:iCs/>
        </w:rPr>
      </w:pPr>
    </w:p>
    <w:p w14:paraId="6CFDC9F5" w14:textId="2AC2A2FF" w:rsidR="00B30718" w:rsidRPr="00222306" w:rsidRDefault="00B30718" w:rsidP="00B30718">
      <w:pPr>
        <w:spacing w:line="240" w:lineRule="auto"/>
        <w:rPr>
          <w:bCs/>
          <w:iCs/>
        </w:rPr>
      </w:pPr>
      <w:r w:rsidRPr="004239FA">
        <w:rPr>
          <w:bCs/>
          <w:iCs/>
        </w:rPr>
        <w:t xml:space="preserve">De inschrijver dient ingeschreven te zijn in een handelsregister van een Kamer van Koophandel </w:t>
      </w:r>
      <w:r w:rsidRPr="009E1406">
        <w:rPr>
          <w:bCs/>
          <w:iCs/>
        </w:rPr>
        <w:t>of een in de lidstaten vergelijkbaar instituut</w:t>
      </w:r>
      <w:r w:rsidR="004239FA" w:rsidRPr="009E1406">
        <w:rPr>
          <w:bCs/>
          <w:i/>
          <w:iCs/>
        </w:rPr>
        <w:t>.</w:t>
      </w:r>
      <w:r w:rsidRPr="00222306">
        <w:rPr>
          <w:bCs/>
          <w:iCs/>
        </w:rPr>
        <w:t xml:space="preserve"> </w:t>
      </w:r>
    </w:p>
    <w:p w14:paraId="5F39B95B" w14:textId="77777777" w:rsidR="00B30718" w:rsidRPr="00222306" w:rsidRDefault="00B30718" w:rsidP="00B30718">
      <w:pPr>
        <w:spacing w:line="240" w:lineRule="auto"/>
        <w:rPr>
          <w:bCs/>
          <w:iCs/>
        </w:rPr>
      </w:pPr>
    </w:p>
    <w:p w14:paraId="4488D3EA" w14:textId="77777777" w:rsidR="00B30718" w:rsidRPr="00222306" w:rsidRDefault="00B30718" w:rsidP="004B7BF7">
      <w:pPr>
        <w:pStyle w:val="Kop3"/>
      </w:pPr>
      <w:bookmarkStart w:id="116" w:name="_Hlk26790586"/>
      <w:bookmarkStart w:id="117" w:name="_Hlk51856753"/>
      <w:bookmarkStart w:id="118" w:name="_Toc225942301"/>
      <w:r>
        <w:t>Technische bekwaamheid</w:t>
      </w:r>
      <w:bookmarkEnd w:id="118"/>
    </w:p>
    <w:p w14:paraId="50369B83" w14:textId="77777777" w:rsidR="00B30718" w:rsidRPr="00222306" w:rsidRDefault="00B30718" w:rsidP="00B30718">
      <w:pPr>
        <w:spacing w:line="240" w:lineRule="auto"/>
        <w:rPr>
          <w:b/>
          <w:bCs/>
          <w:iCs/>
        </w:rPr>
      </w:pPr>
    </w:p>
    <w:p w14:paraId="59F8D2D2" w14:textId="4A61CF36" w:rsidR="00B30718" w:rsidRPr="009E1406" w:rsidRDefault="00B30718" w:rsidP="00B30718">
      <w:pPr>
        <w:spacing w:line="240" w:lineRule="auto"/>
        <w:rPr>
          <w:b/>
          <w:bCs/>
          <w:iCs/>
        </w:rPr>
      </w:pPr>
      <w:r w:rsidRPr="009E1406">
        <w:rPr>
          <w:b/>
          <w:bCs/>
          <w:iCs/>
        </w:rPr>
        <w:t>Ervaring</w:t>
      </w:r>
      <w:r w:rsidR="00024E32">
        <w:rPr>
          <w:b/>
          <w:bCs/>
          <w:iCs/>
        </w:rPr>
        <w:t xml:space="preserve"> </w:t>
      </w:r>
    </w:p>
    <w:p w14:paraId="6EC1CBE8" w14:textId="0B7727E7" w:rsidR="114795FF" w:rsidRDefault="00B30718" w:rsidP="2D0FBD75">
      <w:pPr>
        <w:spacing w:line="240" w:lineRule="auto"/>
      </w:pPr>
      <w:r>
        <w:t>Voor het toetsen van de minimale technische geschiktheid voor het uitvoeren van de opdracht zijn de volgende kerncompetenties vastgesteld om de ervaring van de inschrijver met de essentiële punten van de opdracht uit te vragen:</w:t>
      </w:r>
    </w:p>
    <w:p w14:paraId="2A183B44" w14:textId="59F6914A" w:rsidR="005110D6" w:rsidRDefault="00DE0368" w:rsidP="00EF13CD">
      <w:pPr>
        <w:pStyle w:val="Lijstalinea"/>
        <w:numPr>
          <w:ilvl w:val="0"/>
          <w:numId w:val="4"/>
        </w:numPr>
        <w:spacing w:line="240" w:lineRule="auto"/>
      </w:pPr>
      <w:r w:rsidRPr="00DE0368">
        <w:rPr>
          <w:u w:val="single"/>
        </w:rPr>
        <w:t xml:space="preserve">Kerncompetentie </w:t>
      </w:r>
      <w:r w:rsidRPr="00E16403">
        <w:rPr>
          <w:u w:val="single"/>
        </w:rPr>
        <w:t>1</w:t>
      </w:r>
      <w:r w:rsidR="005110D6" w:rsidRPr="00E16403">
        <w:rPr>
          <w:u w:val="single"/>
        </w:rPr>
        <w:t xml:space="preserve"> </w:t>
      </w:r>
      <w:r w:rsidR="00E16403" w:rsidRPr="00E16403">
        <w:rPr>
          <w:u w:val="single"/>
        </w:rPr>
        <w:t xml:space="preserve"> ‘Leveren en installeren van </w:t>
      </w:r>
      <w:r w:rsidR="005110D6" w:rsidRPr="00E16403">
        <w:rPr>
          <w:u w:val="single"/>
        </w:rPr>
        <w:t>DRIS-displays’</w:t>
      </w:r>
      <w:r w:rsidRPr="00E16403">
        <w:t>:</w:t>
      </w:r>
    </w:p>
    <w:p w14:paraId="461A9583" w14:textId="017A59D9" w:rsidR="114795FF" w:rsidRDefault="008F47B1" w:rsidP="005110D6">
      <w:pPr>
        <w:pStyle w:val="Lijstalinea"/>
        <w:spacing w:line="240" w:lineRule="auto"/>
        <w:ind w:left="397"/>
      </w:pPr>
      <w:r>
        <w:t>i</w:t>
      </w:r>
      <w:r w:rsidR="7C636A12">
        <w:t>nschrijver is aantoonbaar in staat om in opdracht van een Opdrachtgever of ten behoeve van het eigen aanbod van producten en diensten dat op de markt wordt gebracht, programmatuur te ontwikkelen en hardware te leveren met een voor deze aanbesteding relevante functie. Onder relevante functie wordt hier verstaan programmatuur ten behoeve van het ontvangen en weergeven van reisinformatie op een display en de levering van displays, incl</w:t>
      </w:r>
      <w:r w:rsidR="2DB3BDB6">
        <w:t>usief</w:t>
      </w:r>
      <w:r w:rsidR="7C636A12">
        <w:t xml:space="preserve"> installatie en bijbehorende werkzaamheden.</w:t>
      </w:r>
    </w:p>
    <w:p w14:paraId="7D27E964" w14:textId="77777777" w:rsidR="005110D6" w:rsidRPr="00E16403" w:rsidRDefault="00DE0368" w:rsidP="00EF13CD">
      <w:pPr>
        <w:pStyle w:val="Lijstalinea"/>
        <w:numPr>
          <w:ilvl w:val="0"/>
          <w:numId w:val="4"/>
        </w:numPr>
        <w:spacing w:line="240" w:lineRule="auto"/>
      </w:pPr>
      <w:r w:rsidRPr="00E16403">
        <w:rPr>
          <w:u w:val="single"/>
        </w:rPr>
        <w:t>Kerncompetentie 2</w:t>
      </w:r>
      <w:r w:rsidR="008F47B1" w:rsidRPr="00E16403">
        <w:rPr>
          <w:u w:val="single"/>
        </w:rPr>
        <w:t xml:space="preserve"> ‘Beheer’</w:t>
      </w:r>
      <w:r w:rsidRPr="00E16403">
        <w:t>:</w:t>
      </w:r>
    </w:p>
    <w:p w14:paraId="6DE1E31C" w14:textId="46144156" w:rsidR="114795FF" w:rsidRPr="00E16403" w:rsidRDefault="114795FF" w:rsidP="005110D6">
      <w:pPr>
        <w:pStyle w:val="Lijstalinea"/>
        <w:spacing w:line="240" w:lineRule="auto"/>
        <w:ind w:left="397"/>
      </w:pPr>
      <w:r w:rsidRPr="00E16403">
        <w:t xml:space="preserve">Inschrijver is in staat een beheerorganisatie in te richten gericht op het meerjarig onderhouden van programmatuur en hardware, het ondersteunen van een Opdrachtgever bij het gebruik ervan en het doorvoeren van wijzigingen in de programmatuur op verzoek van een Opdrachtgever (referent). Met meerjarig wordt bedoeld: gedurende een aaneengesloten periode van minimaal 18 maanden voor één Opdrachtgever. </w:t>
      </w:r>
    </w:p>
    <w:p w14:paraId="0ED96A5E" w14:textId="4EBEB23D" w:rsidR="00B30718" w:rsidRPr="000616A7" w:rsidRDefault="00B30718" w:rsidP="2D0FBD75">
      <w:pPr>
        <w:spacing w:line="240" w:lineRule="auto"/>
        <w:rPr>
          <w:strike/>
        </w:rPr>
      </w:pPr>
    </w:p>
    <w:p w14:paraId="45D23E49" w14:textId="65878456" w:rsidR="00B30718" w:rsidRPr="009E1406" w:rsidRDefault="00B30718" w:rsidP="00B30718">
      <w:pPr>
        <w:spacing w:line="240" w:lineRule="auto"/>
        <w:rPr>
          <w:bCs/>
          <w:iCs/>
        </w:rPr>
      </w:pPr>
      <w:r w:rsidRPr="009E1406">
        <w:rPr>
          <w:bCs/>
          <w:iCs/>
        </w:rPr>
        <w:t>Voor elk van deze kerncompetentie moet de inschrijver één relevante referentieopdracht waaruit zijn ervaring blijkt</w:t>
      </w:r>
      <w:r w:rsidR="00D50D55" w:rsidRPr="009E1406">
        <w:rPr>
          <w:bCs/>
          <w:iCs/>
        </w:rPr>
        <w:t>,</w:t>
      </w:r>
      <w:r w:rsidRPr="009E1406">
        <w:rPr>
          <w:bCs/>
          <w:iCs/>
        </w:rPr>
        <w:t xml:space="preserve"> indienen. Een voor een bepaalde kerncompetentie ingediende referentieopdracht mag ook worden gebruikt om het voldoen aan een andere kerncompetentie aan te tonen. </w:t>
      </w:r>
      <w:r w:rsidRPr="009E1406">
        <w:rPr>
          <w:b/>
          <w:bCs/>
          <w:iCs/>
        </w:rPr>
        <w:t>De ingediende referentieopdrachten zijn voorzien van een tevredenheidsverklaring. Uit de tevredenheidsverklaring dient te blijken dat de werkzaamheden naar volle tevredenheid zijn verricht, zowel met betrekking tot de wijze van uitvoering als met betrekking tot het resultaat. De tevredenheidsverklaring is vormvrij.</w:t>
      </w:r>
    </w:p>
    <w:p w14:paraId="2DAC61D1" w14:textId="77777777" w:rsidR="00B30718" w:rsidRPr="009E1406" w:rsidRDefault="00B30718" w:rsidP="00B30718">
      <w:pPr>
        <w:spacing w:line="240" w:lineRule="auto"/>
        <w:rPr>
          <w:bCs/>
          <w:iCs/>
        </w:rPr>
      </w:pPr>
    </w:p>
    <w:p w14:paraId="49316CF6" w14:textId="1ED51269" w:rsidR="00B30718" w:rsidRPr="009E1406" w:rsidRDefault="00E1192A" w:rsidP="00B30718">
      <w:pPr>
        <w:spacing w:line="240" w:lineRule="auto"/>
        <w:rPr>
          <w:bCs/>
          <w:iCs/>
        </w:rPr>
      </w:pPr>
      <w:bookmarkStart w:id="119" w:name="_Hlk154665040"/>
      <w:r w:rsidRPr="009E1406">
        <w:rPr>
          <w:bCs/>
          <w:iCs/>
        </w:rPr>
        <w:t>De i</w:t>
      </w:r>
      <w:r w:rsidR="00B30718" w:rsidRPr="009E1406">
        <w:rPr>
          <w:bCs/>
          <w:iCs/>
        </w:rPr>
        <w:t>nschrijver dient hiervoor het Model referentieopdrachten (</w:t>
      </w:r>
      <w:r w:rsidR="00F421B1">
        <w:rPr>
          <w:bCs/>
          <w:iCs/>
        </w:rPr>
        <w:t xml:space="preserve">zie </w:t>
      </w:r>
      <w:r w:rsidR="00B30718" w:rsidRPr="009E1406">
        <w:rPr>
          <w:bCs/>
          <w:iCs/>
        </w:rPr>
        <w:t xml:space="preserve">bijlage in te vullen en bij te voegen bij de inschrijving als bijlage </w:t>
      </w:r>
      <w:r w:rsidR="004F7EAB">
        <w:rPr>
          <w:bCs/>
          <w:iCs/>
        </w:rPr>
        <w:t>‘Tevredenheidsverklaring’</w:t>
      </w:r>
      <w:r w:rsidR="00B30718" w:rsidRPr="009E1406">
        <w:rPr>
          <w:bCs/>
          <w:iCs/>
        </w:rPr>
        <w:t xml:space="preserve">. </w:t>
      </w:r>
      <w:r w:rsidRPr="009E1406">
        <w:rPr>
          <w:bCs/>
          <w:iCs/>
        </w:rPr>
        <w:t>De i</w:t>
      </w:r>
      <w:r w:rsidR="00B30718" w:rsidRPr="009E1406">
        <w:rPr>
          <w:bCs/>
          <w:iCs/>
        </w:rPr>
        <w:t xml:space="preserve">nschrijver geeft een beschrijving van de opdracht waaruit blijkt dat het om een voor de desbetreffende kerncompetentie relevante opdracht gaat. </w:t>
      </w:r>
    </w:p>
    <w:p w14:paraId="082DF1A3" w14:textId="7C5A1071" w:rsidR="00B30718" w:rsidRPr="009E1406" w:rsidRDefault="00B30718" w:rsidP="00EF13CD">
      <w:pPr>
        <w:pStyle w:val="Lijstalinea"/>
        <w:numPr>
          <w:ilvl w:val="0"/>
          <w:numId w:val="16"/>
        </w:numPr>
        <w:spacing w:line="240" w:lineRule="auto"/>
      </w:pPr>
      <w:r>
        <w:lastRenderedPageBreak/>
        <w:t xml:space="preserve">Een referentieopdracht dient de </w:t>
      </w:r>
      <w:r w:rsidR="00E70293">
        <w:t>inschrijver</w:t>
      </w:r>
      <w:r>
        <w:t xml:space="preserve"> in de </w:t>
      </w:r>
      <w:r w:rsidR="455623F8">
        <w:t xml:space="preserve">vier </w:t>
      </w:r>
      <w:r>
        <w:t>jaar voorafgaand aan de dag</w:t>
      </w:r>
      <w:r w:rsidR="00E70293">
        <w:t xml:space="preserve"> van</w:t>
      </w:r>
      <w:r>
        <w:t xml:space="preserve"> </w:t>
      </w:r>
      <w:r w:rsidR="00206B73">
        <w:t xml:space="preserve">inschrijving </w:t>
      </w:r>
      <w:r>
        <w:t xml:space="preserve">naar tevredenheid van de referent </w:t>
      </w:r>
      <w:r w:rsidR="00D50D55">
        <w:t>te hebben</w:t>
      </w:r>
      <w:r>
        <w:t xml:space="preserve"> uitgevoerd en opgeleverd (artikel 2.93 </w:t>
      </w:r>
      <w:proofErr w:type="spellStart"/>
      <w:r>
        <w:t>Aw</w:t>
      </w:r>
      <w:proofErr w:type="spellEnd"/>
      <w:r>
        <w:t>). Onder referent wordt verstaan</w:t>
      </w:r>
      <w:r w:rsidR="00465590">
        <w:t>:</w:t>
      </w:r>
      <w:r>
        <w:t xml:space="preserve"> </w:t>
      </w:r>
      <w:r w:rsidR="00465590">
        <w:t xml:space="preserve">(een vertegenwoordiger van) </w:t>
      </w:r>
      <w:r>
        <w:t>de opdrachtgever.</w:t>
      </w:r>
    </w:p>
    <w:p w14:paraId="203AF2C9" w14:textId="2AA5BF3E" w:rsidR="00B30718" w:rsidRPr="009E1406" w:rsidRDefault="00B30718" w:rsidP="00EF13CD">
      <w:pPr>
        <w:pStyle w:val="Lijstalinea"/>
        <w:numPr>
          <w:ilvl w:val="0"/>
          <w:numId w:val="16"/>
        </w:numPr>
        <w:spacing w:line="240" w:lineRule="auto"/>
        <w:rPr>
          <w:bCs/>
          <w:iCs/>
        </w:rPr>
      </w:pPr>
      <w:r w:rsidRPr="009E1406">
        <w:rPr>
          <w:bCs/>
          <w:iCs/>
        </w:rPr>
        <w:t xml:space="preserve">Indien </w:t>
      </w:r>
      <w:r w:rsidR="00E1192A" w:rsidRPr="009E1406">
        <w:rPr>
          <w:bCs/>
          <w:iCs/>
        </w:rPr>
        <w:t xml:space="preserve">de </w:t>
      </w:r>
      <w:r w:rsidRPr="009E1406">
        <w:rPr>
          <w:bCs/>
          <w:iCs/>
        </w:rPr>
        <w:t xml:space="preserve">inschrijver een referentieopdracht indient waarin de opdracht deels door (een) derde(n) is </w:t>
      </w:r>
      <w:r w:rsidRPr="009E1406">
        <w:t>uitgevoerd</w:t>
      </w:r>
      <w:r w:rsidRPr="009E1406">
        <w:rPr>
          <w:bCs/>
          <w:iCs/>
        </w:rPr>
        <w:t xml:space="preserve">, dan dient </w:t>
      </w:r>
      <w:r w:rsidR="00E1192A" w:rsidRPr="009E1406">
        <w:rPr>
          <w:bCs/>
          <w:iCs/>
        </w:rPr>
        <w:t xml:space="preserve">de </w:t>
      </w:r>
      <w:r w:rsidRPr="009E1406">
        <w:rPr>
          <w:bCs/>
          <w:iCs/>
        </w:rPr>
        <w:t xml:space="preserve">inschrijver duidelijk te maken welk deel door de inschrijver is uitgevoerd en welk deel door die derde(n). Als </w:t>
      </w:r>
      <w:r w:rsidR="00E1192A" w:rsidRPr="009E1406">
        <w:rPr>
          <w:bCs/>
          <w:iCs/>
        </w:rPr>
        <w:t xml:space="preserve">de </w:t>
      </w:r>
      <w:r w:rsidRPr="009E1406">
        <w:rPr>
          <w:bCs/>
          <w:iCs/>
        </w:rPr>
        <w:t xml:space="preserve">inschrijver de ervaring van die derde in het kader van deze aanbestedingsprocedure wil laten gelden als zijn ervaring dan geldt het bepaalde in paragraaf 4.2.3. </w:t>
      </w:r>
      <w:r w:rsidR="00E1192A" w:rsidRPr="009E1406">
        <w:rPr>
          <w:bCs/>
          <w:iCs/>
        </w:rPr>
        <w:t>De i</w:t>
      </w:r>
      <w:r w:rsidRPr="009E1406">
        <w:rPr>
          <w:bCs/>
          <w:iCs/>
        </w:rPr>
        <w:t xml:space="preserve">nschrijver dient dit expliciet bij zijn inschrijving op het UEA te vermelden. </w:t>
      </w:r>
      <w:r w:rsidR="00E1192A" w:rsidRPr="009E1406">
        <w:rPr>
          <w:bCs/>
          <w:iCs/>
        </w:rPr>
        <w:t>De i</w:t>
      </w:r>
      <w:r w:rsidRPr="009E1406">
        <w:rPr>
          <w:bCs/>
          <w:iCs/>
        </w:rPr>
        <w:t>nschrijver neemt automatisch de verplichting op zich deze derde bij de uitvoering van de opdracht(en) daadwerkelijk beschikbaar te hebben en in te zetten voor die onderdelen, waarvoor het beroep op de derde is gedaan.</w:t>
      </w:r>
    </w:p>
    <w:p w14:paraId="1080CF61" w14:textId="77777777" w:rsidR="00B30718" w:rsidRPr="009E1406" w:rsidRDefault="00B30718" w:rsidP="00B30718">
      <w:pPr>
        <w:spacing w:line="240" w:lineRule="auto"/>
        <w:rPr>
          <w:bCs/>
          <w:iCs/>
        </w:rPr>
      </w:pPr>
    </w:p>
    <w:p w14:paraId="38A08538" w14:textId="2F83E87E" w:rsidR="00B30718" w:rsidRPr="004239FA" w:rsidRDefault="00A7026B" w:rsidP="00B30718">
      <w:pPr>
        <w:spacing w:line="240" w:lineRule="auto"/>
        <w:rPr>
          <w:bCs/>
          <w:iCs/>
        </w:rPr>
      </w:pPr>
      <w:r w:rsidRPr="009E1406">
        <w:rPr>
          <w:bCs/>
          <w:iCs/>
        </w:rPr>
        <w:t>G</w:t>
      </w:r>
      <w:r w:rsidR="00B30718" w:rsidRPr="009E1406">
        <w:rPr>
          <w:bCs/>
          <w:iCs/>
        </w:rPr>
        <w:t xml:space="preserve">emeente behoudt zich het recht voor de gegevens over de referentieopdrachten en de tevredenheidsverklaring zonder tussenkomst van </w:t>
      </w:r>
      <w:r w:rsidR="00E1192A" w:rsidRPr="009E1406">
        <w:rPr>
          <w:bCs/>
          <w:iCs/>
        </w:rPr>
        <w:t xml:space="preserve">de </w:t>
      </w:r>
      <w:r w:rsidR="00B30718" w:rsidRPr="009E1406">
        <w:rPr>
          <w:bCs/>
          <w:iCs/>
        </w:rPr>
        <w:t xml:space="preserve">inschrijver te verifiëren bij de </w:t>
      </w:r>
      <w:r w:rsidR="00465590" w:rsidRPr="009E1406">
        <w:rPr>
          <w:bCs/>
          <w:iCs/>
        </w:rPr>
        <w:t xml:space="preserve">referent </w:t>
      </w:r>
      <w:r w:rsidR="00B30718" w:rsidRPr="009E1406">
        <w:rPr>
          <w:bCs/>
          <w:iCs/>
        </w:rPr>
        <w:t xml:space="preserve">en de locatie te bezoeken. </w:t>
      </w:r>
      <w:r w:rsidRPr="009E1406">
        <w:rPr>
          <w:bCs/>
          <w:iCs/>
        </w:rPr>
        <w:t>G</w:t>
      </w:r>
      <w:r w:rsidR="00B30718" w:rsidRPr="009E1406">
        <w:rPr>
          <w:bCs/>
          <w:iCs/>
        </w:rPr>
        <w:t>emeente hecht veel waarde aan het verifiëren van de referentieopdracht.</w:t>
      </w:r>
      <w:r w:rsidR="00B30718" w:rsidRPr="004239FA">
        <w:rPr>
          <w:bCs/>
          <w:iCs/>
        </w:rPr>
        <w:t xml:space="preserve"> </w:t>
      </w:r>
    </w:p>
    <w:p w14:paraId="01238C0A" w14:textId="77777777" w:rsidR="00B30718" w:rsidRPr="004239FA" w:rsidRDefault="00B30718" w:rsidP="00B30718">
      <w:pPr>
        <w:spacing w:line="240" w:lineRule="auto"/>
        <w:rPr>
          <w:bCs/>
          <w:iCs/>
        </w:rPr>
      </w:pPr>
    </w:p>
    <w:p w14:paraId="4BC0152D" w14:textId="3EA4B491" w:rsidR="00B30718" w:rsidRPr="00222306" w:rsidRDefault="00B30718" w:rsidP="00B30718">
      <w:pPr>
        <w:spacing w:line="240" w:lineRule="auto"/>
        <w:rPr>
          <w:bCs/>
          <w:iCs/>
        </w:rPr>
      </w:pPr>
      <w:bookmarkStart w:id="120" w:name="_Hlk59616306"/>
      <w:bookmarkEnd w:id="116"/>
      <w:bookmarkEnd w:id="117"/>
      <w:r w:rsidRPr="009E1406">
        <w:rPr>
          <w:bCs/>
          <w:iCs/>
        </w:rPr>
        <w:t>De opgegeven referenten dienen in de Nederlandse taal te communiceren</w:t>
      </w:r>
      <w:r w:rsidR="008F2980" w:rsidRPr="009E1406">
        <w:rPr>
          <w:bCs/>
          <w:iCs/>
        </w:rPr>
        <w:t>,</w:t>
      </w:r>
      <w:r w:rsidRPr="009E1406">
        <w:rPr>
          <w:bCs/>
          <w:iCs/>
        </w:rPr>
        <w:t xml:space="preserve"> al dan niet met behulp van een tolk.</w:t>
      </w:r>
      <w:r w:rsidRPr="00222306">
        <w:rPr>
          <w:bCs/>
          <w:iCs/>
        </w:rPr>
        <w:t xml:space="preserve"> </w:t>
      </w:r>
    </w:p>
    <w:bookmarkEnd w:id="119"/>
    <w:bookmarkEnd w:id="120"/>
    <w:p w14:paraId="22F94C5F" w14:textId="77777777" w:rsidR="00B30718" w:rsidRPr="00222306" w:rsidRDefault="00B30718" w:rsidP="00B30718">
      <w:pPr>
        <w:spacing w:line="240" w:lineRule="auto"/>
        <w:rPr>
          <w:bCs/>
          <w:iCs/>
        </w:rPr>
      </w:pPr>
    </w:p>
    <w:p w14:paraId="2205DA58" w14:textId="77777777" w:rsidR="004B7BF7" w:rsidRPr="00222306" w:rsidRDefault="004B7BF7" w:rsidP="6171FF3A">
      <w:pPr>
        <w:rPr>
          <w:b/>
          <w:bCs/>
          <w:color w:val="000000" w:themeColor="text1"/>
        </w:rPr>
      </w:pPr>
      <w:bookmarkStart w:id="121" w:name="_Hlk154664976"/>
      <w:bookmarkEnd w:id="121"/>
      <w:r w:rsidRPr="6171FF3A">
        <w:rPr>
          <w:b/>
          <w:bCs/>
          <w:color w:val="000000" w:themeColor="text1"/>
        </w:rPr>
        <w:t>ISO 9001 Kwaliteitsmanagementsysteem</w:t>
      </w:r>
    </w:p>
    <w:p w14:paraId="55963969" w14:textId="77777777" w:rsidR="004B7BF7" w:rsidRPr="00222306" w:rsidRDefault="004B7BF7" w:rsidP="6171FF3A">
      <w:pPr>
        <w:rPr>
          <w:color w:val="000000" w:themeColor="text1"/>
        </w:rPr>
      </w:pPr>
      <w:bookmarkStart w:id="122" w:name="_Hlk154665236"/>
      <w:r w:rsidRPr="6171FF3A">
        <w:rPr>
          <w:color w:val="000000" w:themeColor="text1"/>
        </w:rPr>
        <w:t>De inschrijver beschikt op het moment van inschrijving ten aanzien van het continue verbeteren van de kwaliteit van haar dienstverlening en/of producten, over een adequaat kwaliteitsborgingssysteem. Dat kwaliteitsborgingssysteem voldoet minimaal aan de normen zoals opgenomen in ISO 9001.</w:t>
      </w:r>
    </w:p>
    <w:p w14:paraId="549518E6" w14:textId="186F8939" w:rsidR="004B7BF7" w:rsidRPr="00222306" w:rsidRDefault="00E1192A" w:rsidP="00EF13CD">
      <w:pPr>
        <w:pStyle w:val="Lijstalinea"/>
        <w:numPr>
          <w:ilvl w:val="0"/>
          <w:numId w:val="11"/>
        </w:numPr>
        <w:spacing w:line="240" w:lineRule="auto"/>
        <w:contextualSpacing w:val="0"/>
        <w:rPr>
          <w:rFonts w:eastAsia="Times New Roman"/>
          <w:color w:val="000000" w:themeColor="text1"/>
        </w:rPr>
      </w:pPr>
      <w:r w:rsidRPr="6171FF3A">
        <w:rPr>
          <w:rFonts w:eastAsia="Times New Roman"/>
          <w:color w:val="000000" w:themeColor="text1"/>
        </w:rPr>
        <w:t>De i</w:t>
      </w:r>
      <w:r w:rsidR="004B7BF7" w:rsidRPr="6171FF3A">
        <w:rPr>
          <w:rFonts w:eastAsia="Times New Roman"/>
          <w:color w:val="000000" w:themeColor="text1"/>
        </w:rPr>
        <w:t>nschrijver toont dit aan door het overleggen van:</w:t>
      </w:r>
    </w:p>
    <w:p w14:paraId="76E9183A" w14:textId="77777777" w:rsidR="004B7BF7" w:rsidRPr="00222306" w:rsidRDefault="004B7BF7" w:rsidP="00EF13CD">
      <w:pPr>
        <w:pStyle w:val="Lijstalinea"/>
        <w:numPr>
          <w:ilvl w:val="0"/>
          <w:numId w:val="12"/>
        </w:numPr>
        <w:spacing w:line="240" w:lineRule="auto"/>
        <w:ind w:left="720"/>
        <w:contextualSpacing w:val="0"/>
        <w:rPr>
          <w:color w:val="000000" w:themeColor="text1"/>
        </w:rPr>
      </w:pPr>
      <w:r w:rsidRPr="6171FF3A">
        <w:rPr>
          <w:color w:val="000000" w:themeColor="text1"/>
        </w:rPr>
        <w:t xml:space="preserve">een kopie van het meest recente geldige* NEN/ISO 9001 certificaat, of; </w:t>
      </w:r>
    </w:p>
    <w:p w14:paraId="67535FC1" w14:textId="554B6499" w:rsidR="004B7BF7" w:rsidRPr="00222306" w:rsidRDefault="004B7BF7" w:rsidP="00EF13CD">
      <w:pPr>
        <w:pStyle w:val="Lijstalinea"/>
        <w:numPr>
          <w:ilvl w:val="0"/>
          <w:numId w:val="12"/>
        </w:numPr>
        <w:spacing w:line="240" w:lineRule="auto"/>
        <w:ind w:left="720"/>
        <w:contextualSpacing w:val="0"/>
        <w:rPr>
          <w:color w:val="000000" w:themeColor="text1"/>
        </w:rPr>
      </w:pPr>
      <w:r w:rsidRPr="6171FF3A">
        <w:rPr>
          <w:color w:val="000000" w:themeColor="text1"/>
        </w:rPr>
        <w:t xml:space="preserve">een </w:t>
      </w:r>
      <w:r w:rsidR="008F2980" w:rsidRPr="6171FF3A">
        <w:rPr>
          <w:color w:val="000000" w:themeColor="text1"/>
        </w:rPr>
        <w:t xml:space="preserve">naar het oordeel van </w:t>
      </w:r>
      <w:r w:rsidR="00A7026B" w:rsidRPr="6171FF3A">
        <w:rPr>
          <w:color w:val="000000" w:themeColor="text1"/>
        </w:rPr>
        <w:t>G</w:t>
      </w:r>
      <w:r w:rsidR="008F2980" w:rsidRPr="6171FF3A">
        <w:rPr>
          <w:color w:val="000000" w:themeColor="text1"/>
        </w:rPr>
        <w:t xml:space="preserve">emeente </w:t>
      </w:r>
      <w:r w:rsidRPr="6171FF3A">
        <w:rPr>
          <w:color w:val="000000" w:themeColor="text1"/>
        </w:rPr>
        <w:t xml:space="preserve">gelijkwaardig certificaat, afgegeven door een instituut binnen de EU. </w:t>
      </w:r>
      <w:r w:rsidR="219FC87C" w:rsidRPr="6171FF3A">
        <w:rPr>
          <w:color w:val="000000" w:themeColor="text1"/>
        </w:rPr>
        <w:t>Als</w:t>
      </w:r>
      <w:r w:rsidRPr="6171FF3A">
        <w:rPr>
          <w:color w:val="000000" w:themeColor="text1"/>
        </w:rPr>
        <w:t xml:space="preserve"> de titel van het certificaat niet duidelijk maakt of de scope van het certificaat het gevraagde afdekt, dient een toelichting van de certificerende instantie te worden bijgevoegd. </w:t>
      </w:r>
    </w:p>
    <w:p w14:paraId="048D6488" w14:textId="79034F27" w:rsidR="004B7BF7" w:rsidRPr="00222306" w:rsidRDefault="00A7026B" w:rsidP="00EF13CD">
      <w:pPr>
        <w:pStyle w:val="Lijstalinea"/>
        <w:numPr>
          <w:ilvl w:val="0"/>
          <w:numId w:val="11"/>
        </w:numPr>
        <w:spacing w:line="240" w:lineRule="auto"/>
        <w:contextualSpacing w:val="0"/>
        <w:rPr>
          <w:rFonts w:eastAsia="Times New Roman"/>
          <w:color w:val="000000" w:themeColor="text1"/>
        </w:rPr>
      </w:pPr>
      <w:r w:rsidRPr="6171FF3A">
        <w:rPr>
          <w:rFonts w:eastAsia="Times New Roman"/>
          <w:color w:val="000000" w:themeColor="text1"/>
        </w:rPr>
        <w:t>G</w:t>
      </w:r>
      <w:r w:rsidR="004B7BF7" w:rsidRPr="6171FF3A">
        <w:rPr>
          <w:rFonts w:eastAsia="Times New Roman"/>
          <w:color w:val="000000" w:themeColor="text1"/>
        </w:rPr>
        <w:t xml:space="preserve">emeente wijst er op dat de certificeringseis een geschiktheidseis is waaraan op het moment van inschrijving moet worden voldaan. </w:t>
      </w:r>
      <w:r w:rsidRPr="6171FF3A">
        <w:rPr>
          <w:rFonts w:eastAsia="Times New Roman"/>
          <w:color w:val="000000" w:themeColor="text1"/>
        </w:rPr>
        <w:t>G</w:t>
      </w:r>
      <w:r w:rsidR="004B7BF7" w:rsidRPr="6171FF3A">
        <w:rPr>
          <w:rFonts w:eastAsia="Times New Roman"/>
          <w:color w:val="000000" w:themeColor="text1"/>
        </w:rPr>
        <w:t xml:space="preserve">emeente aanvaardt </w:t>
      </w:r>
      <w:r w:rsidR="673657AF" w:rsidRPr="6171FF3A">
        <w:rPr>
          <w:rFonts w:eastAsia="Times New Roman"/>
          <w:color w:val="000000" w:themeColor="text1"/>
        </w:rPr>
        <w:t>volgens</w:t>
      </w:r>
      <w:r w:rsidR="004B7BF7" w:rsidRPr="6171FF3A">
        <w:rPr>
          <w:rFonts w:eastAsia="Times New Roman"/>
          <w:color w:val="000000" w:themeColor="text1"/>
        </w:rPr>
        <w:t xml:space="preserve"> artikel 2.96 lid 2 </w:t>
      </w:r>
      <w:proofErr w:type="spellStart"/>
      <w:r w:rsidR="004B7BF7" w:rsidRPr="6171FF3A">
        <w:rPr>
          <w:rFonts w:eastAsia="Times New Roman"/>
          <w:color w:val="000000" w:themeColor="text1"/>
        </w:rPr>
        <w:t>Aw</w:t>
      </w:r>
      <w:proofErr w:type="spellEnd"/>
      <w:r w:rsidR="004B7BF7" w:rsidRPr="6171FF3A">
        <w:rPr>
          <w:rFonts w:eastAsia="Times New Roman"/>
          <w:color w:val="000000" w:themeColor="text1"/>
        </w:rPr>
        <w:t xml:space="preserve"> eveneens andere bewijzen </w:t>
      </w:r>
      <w:r w:rsidR="3575EEE7" w:rsidRPr="6171FF3A">
        <w:rPr>
          <w:rFonts w:eastAsia="Times New Roman"/>
          <w:color w:val="000000" w:themeColor="text1"/>
        </w:rPr>
        <w:t>over</w:t>
      </w:r>
      <w:r w:rsidR="004B7BF7" w:rsidRPr="6171FF3A">
        <w:rPr>
          <w:rFonts w:eastAsia="Times New Roman"/>
          <w:color w:val="000000" w:themeColor="text1"/>
        </w:rPr>
        <w:t xml:space="preserve"> gelijkwaardige maatregelen op het gebied van de kwaliteitsbewaking, maar </w:t>
      </w:r>
      <w:r w:rsidR="004B7BF7" w:rsidRPr="6171FF3A">
        <w:rPr>
          <w:rFonts w:eastAsia="Times New Roman"/>
          <w:color w:val="000000" w:themeColor="text1"/>
          <w:u w:val="single"/>
        </w:rPr>
        <w:t>alleen</w:t>
      </w:r>
      <w:r w:rsidR="004B7BF7" w:rsidRPr="6171FF3A">
        <w:rPr>
          <w:rFonts w:eastAsia="Times New Roman"/>
          <w:color w:val="000000" w:themeColor="text1"/>
        </w:rPr>
        <w:t xml:space="preserve"> </w:t>
      </w:r>
      <w:r w:rsidR="60234666" w:rsidRPr="6171FF3A">
        <w:rPr>
          <w:rFonts w:eastAsia="Times New Roman"/>
          <w:color w:val="000000" w:themeColor="text1"/>
        </w:rPr>
        <w:t>als</w:t>
      </w:r>
      <w:r w:rsidR="004B7BF7" w:rsidRPr="6171FF3A">
        <w:rPr>
          <w:rFonts w:eastAsia="Times New Roman"/>
          <w:color w:val="000000" w:themeColor="text1"/>
        </w:rPr>
        <w:t xml:space="preserve"> </w:t>
      </w:r>
      <w:r w:rsidR="00E1192A" w:rsidRPr="6171FF3A">
        <w:rPr>
          <w:rFonts w:eastAsia="Times New Roman"/>
          <w:color w:val="000000" w:themeColor="text1"/>
        </w:rPr>
        <w:t xml:space="preserve">de </w:t>
      </w:r>
      <w:r w:rsidR="004B7BF7" w:rsidRPr="6171FF3A">
        <w:rPr>
          <w:rFonts w:eastAsia="Times New Roman"/>
          <w:color w:val="000000" w:themeColor="text1"/>
        </w:rPr>
        <w:t xml:space="preserve">inschrijver die certificaten niet binnen de gestelde termijnen kan verwerven om redenen die hem niet aangerekend kunnen worden. </w:t>
      </w:r>
      <w:r w:rsidR="00E1192A" w:rsidRPr="6171FF3A">
        <w:rPr>
          <w:rFonts w:eastAsia="Times New Roman"/>
          <w:color w:val="000000" w:themeColor="text1"/>
        </w:rPr>
        <w:t>De i</w:t>
      </w:r>
      <w:r w:rsidR="004B7BF7" w:rsidRPr="6171FF3A">
        <w:rPr>
          <w:rFonts w:eastAsia="Times New Roman"/>
          <w:color w:val="000000" w:themeColor="text1"/>
        </w:rPr>
        <w:t>nschrijver moet in dat geval bewijzen dat de voorgestelde maatregelen op het gebied van de kwaliteitsbewaking aan de kwaliteitsnormen voldoen.</w:t>
      </w:r>
    </w:p>
    <w:p w14:paraId="3F565AB9" w14:textId="6A307F69" w:rsidR="004B7BF7" w:rsidRPr="00222306" w:rsidRDefault="000821FD" w:rsidP="00EF13CD">
      <w:pPr>
        <w:pStyle w:val="Lijstalinea"/>
        <w:numPr>
          <w:ilvl w:val="0"/>
          <w:numId w:val="11"/>
        </w:numPr>
        <w:spacing w:line="240" w:lineRule="auto"/>
        <w:contextualSpacing w:val="0"/>
        <w:rPr>
          <w:rFonts w:eastAsia="Times New Roman"/>
          <w:b/>
          <w:bCs/>
          <w:color w:val="000000" w:themeColor="text1"/>
        </w:rPr>
      </w:pPr>
      <w:r w:rsidRPr="6171FF3A">
        <w:rPr>
          <w:rFonts w:eastAsia="Times New Roman"/>
          <w:color w:val="000000" w:themeColor="text1"/>
        </w:rPr>
        <w:t>G</w:t>
      </w:r>
      <w:r w:rsidR="004B7BF7" w:rsidRPr="6171FF3A">
        <w:rPr>
          <w:rFonts w:eastAsia="Times New Roman"/>
          <w:color w:val="000000" w:themeColor="text1"/>
        </w:rPr>
        <w:t xml:space="preserve">emeente wijst er verder op dat onder de </w:t>
      </w:r>
      <w:proofErr w:type="spellStart"/>
      <w:r w:rsidR="004B7BF7" w:rsidRPr="6171FF3A">
        <w:rPr>
          <w:rFonts w:eastAsia="Times New Roman"/>
          <w:color w:val="000000" w:themeColor="text1"/>
        </w:rPr>
        <w:t>Aw</w:t>
      </w:r>
      <w:proofErr w:type="spellEnd"/>
      <w:r w:rsidR="004B7BF7" w:rsidRPr="6171FF3A">
        <w:rPr>
          <w:rFonts w:eastAsia="Times New Roman"/>
          <w:color w:val="000000" w:themeColor="text1"/>
        </w:rPr>
        <w:t xml:space="preserve"> als </w:t>
      </w:r>
      <w:r w:rsidR="004B7BF7" w:rsidRPr="6171FF3A">
        <w:rPr>
          <w:rFonts w:eastAsia="Times New Roman"/>
          <w:color w:val="000000" w:themeColor="text1"/>
          <w:u w:val="single"/>
        </w:rPr>
        <w:t>uitgangspunt</w:t>
      </w:r>
      <w:r w:rsidR="004B7BF7" w:rsidRPr="6171FF3A">
        <w:rPr>
          <w:rFonts w:eastAsia="Times New Roman"/>
          <w:color w:val="000000" w:themeColor="text1"/>
        </w:rPr>
        <w:t xml:space="preserve"> geldt dat uitsluitend gelijkwaardige certificaten worden geaccepteerd. Een handboek of een procesbeschrijving, ook al is dat gebaseerd op ISO 9001, is </w:t>
      </w:r>
      <w:r w:rsidR="004B7BF7" w:rsidRPr="6171FF3A">
        <w:rPr>
          <w:rFonts w:eastAsia="Times New Roman"/>
          <w:color w:val="000000" w:themeColor="text1"/>
          <w:u w:val="single"/>
        </w:rPr>
        <w:t>niet zonder meer</w:t>
      </w:r>
      <w:r w:rsidR="004B7BF7" w:rsidRPr="6171FF3A">
        <w:rPr>
          <w:rFonts w:eastAsia="Times New Roman"/>
          <w:color w:val="000000" w:themeColor="text1"/>
        </w:rPr>
        <w:t xml:space="preserve"> gelijkwaardig aan een ISO certificaat. Voor het verkrijgen en behouden van een dergelijke certificering is immers een </w:t>
      </w:r>
      <w:r w:rsidR="004B7BF7" w:rsidRPr="6171FF3A">
        <w:rPr>
          <w:rFonts w:eastAsia="Times New Roman"/>
          <w:color w:val="000000" w:themeColor="text1"/>
          <w:u w:val="single"/>
        </w:rPr>
        <w:t>externe audit</w:t>
      </w:r>
      <w:r w:rsidR="004B7BF7" w:rsidRPr="6171FF3A">
        <w:rPr>
          <w:rFonts w:eastAsia="Times New Roman"/>
          <w:color w:val="000000" w:themeColor="text1"/>
        </w:rPr>
        <w:t xml:space="preserve"> nodig die jaarlijks dient te worden herhaald. Met deze beoordeling door een derde partij wordt de kwaliteit gewaarborgd.</w:t>
      </w:r>
    </w:p>
    <w:p w14:paraId="6EE33037" w14:textId="4A94A3ED" w:rsidR="004B7BF7" w:rsidRPr="00222306" w:rsidRDefault="006A10FE" w:rsidP="00EF13CD">
      <w:pPr>
        <w:pStyle w:val="Lijstalinea"/>
        <w:numPr>
          <w:ilvl w:val="0"/>
          <w:numId w:val="11"/>
        </w:numPr>
        <w:spacing w:line="240" w:lineRule="auto"/>
        <w:contextualSpacing w:val="0"/>
        <w:rPr>
          <w:rFonts w:eastAsia="Times New Roman"/>
          <w:color w:val="000000" w:themeColor="text1"/>
        </w:rPr>
      </w:pPr>
      <w:r w:rsidRPr="6171FF3A">
        <w:rPr>
          <w:rFonts w:eastAsia="Times New Roman"/>
          <w:color w:val="000000" w:themeColor="text1"/>
        </w:rPr>
        <w:t>Contractant is gedurende de uitvoering van de opdracht tot en met de opleverdatum gecertificeerd.</w:t>
      </w:r>
      <w:r w:rsidR="004B7BF7" w:rsidRPr="6171FF3A">
        <w:rPr>
          <w:rFonts w:eastAsia="Times New Roman"/>
          <w:color w:val="000000" w:themeColor="text1"/>
        </w:rPr>
        <w:t xml:space="preserve"> </w:t>
      </w:r>
    </w:p>
    <w:p w14:paraId="1A553B3F" w14:textId="4661855D" w:rsidR="00A375E3" w:rsidRPr="00222306" w:rsidRDefault="00A375E3" w:rsidP="00EF13CD">
      <w:pPr>
        <w:pStyle w:val="Lijstalinea"/>
        <w:numPr>
          <w:ilvl w:val="0"/>
          <w:numId w:val="11"/>
        </w:numPr>
        <w:spacing w:line="240" w:lineRule="auto"/>
      </w:pPr>
      <w:r>
        <w:t xml:space="preserve">Indien de inschrijver zich voor deze eisen beroept op het kwaliteitsbewakingssysteem van (een) derde(n), geldt het bepaalde in paragraaf </w:t>
      </w:r>
      <w:r w:rsidRPr="00DE0368">
        <w:t>4.2.</w:t>
      </w:r>
      <w:r w:rsidR="005B4ADD" w:rsidRPr="00DE0368">
        <w:t>4</w:t>
      </w:r>
      <w:r w:rsidRPr="00DE0368">
        <w:t>.</w:t>
      </w:r>
      <w:r>
        <w:t xml:space="preserve"> De inschrijver dient dit expliciet bij zijn inschrijving te vermelden op het UEA. De inschrijver neemt automatisch de verplichting op zich </w:t>
      </w:r>
      <w:r>
        <w:lastRenderedPageBreak/>
        <w:t>deze derde(n) bij de uitvoering van de opdracht(en) daadwerkelijk beschikbaar te hebben en in te zetten voor die onderdelen, waarvoor het beroep op de derde(n) is gedaan.</w:t>
      </w:r>
    </w:p>
    <w:p w14:paraId="11575E32" w14:textId="77777777" w:rsidR="002D1FBD" w:rsidRPr="00222306" w:rsidRDefault="002D1FBD" w:rsidP="004B7BF7">
      <w:pPr>
        <w:rPr>
          <w:color w:val="000000" w:themeColor="text1"/>
          <w:highlight w:val="lightGray"/>
        </w:rPr>
      </w:pPr>
    </w:p>
    <w:p w14:paraId="497459D3" w14:textId="40F836FF" w:rsidR="004B7BF7" w:rsidRPr="00222306" w:rsidRDefault="004B7BF7" w:rsidP="6171FF3A">
      <w:pPr>
        <w:rPr>
          <w:b/>
          <w:bCs/>
          <w:color w:val="000000" w:themeColor="text1"/>
        </w:rPr>
      </w:pPr>
      <w:r w:rsidRPr="6171FF3A">
        <w:rPr>
          <w:b/>
          <w:bCs/>
          <w:color w:val="000000" w:themeColor="text1"/>
        </w:rPr>
        <w:t>VCA*</w:t>
      </w:r>
    </w:p>
    <w:p w14:paraId="0FA6C09B" w14:textId="62DD2B3E" w:rsidR="004B7BF7" w:rsidRPr="00222306" w:rsidRDefault="004B7BF7" w:rsidP="6171FF3A">
      <w:pPr>
        <w:rPr>
          <w:color w:val="000000" w:themeColor="text1"/>
        </w:rPr>
      </w:pPr>
      <w:r w:rsidRPr="68F87513">
        <w:rPr>
          <w:color w:val="000000" w:themeColor="text1"/>
        </w:rPr>
        <w:t>De inschrijver beschikt op het moment van inschrijving ten aanzien van veilig, gezond en milieuvriendelijk werken over een managementsysteem (controlelijst). Dat managementsysteem voldoet minimaal aan de normen zoals opgenomen in VCA *</w:t>
      </w:r>
      <w:r w:rsidRPr="68F87513">
        <w:rPr>
          <w:color w:val="000000" w:themeColor="text1"/>
          <w:sz w:val="18"/>
          <w:szCs w:val="18"/>
        </w:rPr>
        <w:t>.</w:t>
      </w:r>
    </w:p>
    <w:p w14:paraId="7534C59B" w14:textId="4DF51823" w:rsidR="004B7BF7" w:rsidRPr="00222306" w:rsidRDefault="00E1192A" w:rsidP="00EF13CD">
      <w:pPr>
        <w:pStyle w:val="Lijstalinea"/>
        <w:numPr>
          <w:ilvl w:val="0"/>
          <w:numId w:val="13"/>
        </w:numPr>
        <w:spacing w:line="240" w:lineRule="auto"/>
        <w:contextualSpacing w:val="0"/>
        <w:rPr>
          <w:rFonts w:eastAsia="Times New Roman"/>
          <w:color w:val="000000" w:themeColor="text1"/>
        </w:rPr>
      </w:pPr>
      <w:r w:rsidRPr="6171FF3A">
        <w:rPr>
          <w:rFonts w:eastAsia="Times New Roman"/>
          <w:color w:val="000000" w:themeColor="text1"/>
        </w:rPr>
        <w:t>De i</w:t>
      </w:r>
      <w:r w:rsidR="004B7BF7" w:rsidRPr="6171FF3A">
        <w:rPr>
          <w:rFonts w:eastAsia="Times New Roman"/>
          <w:color w:val="000000" w:themeColor="text1"/>
        </w:rPr>
        <w:t>nschrijver toont dit aan door het overleggen van:</w:t>
      </w:r>
    </w:p>
    <w:p w14:paraId="048DCC30" w14:textId="7A56C107" w:rsidR="004B7BF7" w:rsidRPr="00222306" w:rsidRDefault="004B7BF7" w:rsidP="00EF13CD">
      <w:pPr>
        <w:pStyle w:val="Lijstalinea"/>
        <w:numPr>
          <w:ilvl w:val="0"/>
          <w:numId w:val="14"/>
        </w:numPr>
        <w:spacing w:line="240" w:lineRule="auto"/>
        <w:contextualSpacing w:val="0"/>
        <w:rPr>
          <w:rFonts w:eastAsia="Times New Roman"/>
          <w:color w:val="000000" w:themeColor="text1"/>
        </w:rPr>
      </w:pPr>
      <w:r w:rsidRPr="6171FF3A">
        <w:rPr>
          <w:rFonts w:eastAsia="Times New Roman"/>
          <w:color w:val="000000" w:themeColor="text1"/>
        </w:rPr>
        <w:t>een kopie van het meest recente geldige VCA</w:t>
      </w:r>
      <w:r w:rsidR="12D018C2" w:rsidRPr="6171FF3A">
        <w:rPr>
          <w:rFonts w:eastAsia="Times New Roman"/>
          <w:color w:val="000000" w:themeColor="text1"/>
        </w:rPr>
        <w:t>*-</w:t>
      </w:r>
      <w:r w:rsidRPr="6171FF3A">
        <w:rPr>
          <w:rFonts w:eastAsia="Times New Roman"/>
          <w:color w:val="000000" w:themeColor="text1"/>
        </w:rPr>
        <w:t xml:space="preserve">certificaat, of; </w:t>
      </w:r>
    </w:p>
    <w:p w14:paraId="4EDF1119" w14:textId="09F0C787" w:rsidR="004B7BF7" w:rsidRPr="00222306" w:rsidRDefault="004B7BF7" w:rsidP="00EF13CD">
      <w:pPr>
        <w:pStyle w:val="Lijstalinea"/>
        <w:numPr>
          <w:ilvl w:val="0"/>
          <w:numId w:val="14"/>
        </w:numPr>
        <w:spacing w:line="240" w:lineRule="auto"/>
        <w:contextualSpacing w:val="0"/>
        <w:rPr>
          <w:rFonts w:eastAsia="Times New Roman"/>
          <w:color w:val="000000" w:themeColor="text1"/>
        </w:rPr>
      </w:pPr>
      <w:r w:rsidRPr="6171FF3A">
        <w:rPr>
          <w:rFonts w:eastAsia="Times New Roman"/>
          <w:color w:val="000000" w:themeColor="text1"/>
        </w:rPr>
        <w:t xml:space="preserve">een gelijkwaardig certificaat, afgegeven door een instituut binnen de EU; dit naar oordeel van </w:t>
      </w:r>
      <w:r w:rsidR="000821FD" w:rsidRPr="6171FF3A">
        <w:rPr>
          <w:rFonts w:eastAsia="Times New Roman"/>
          <w:color w:val="000000" w:themeColor="text1"/>
        </w:rPr>
        <w:t>G</w:t>
      </w:r>
      <w:r w:rsidRPr="6171FF3A">
        <w:rPr>
          <w:rFonts w:eastAsia="Times New Roman"/>
          <w:color w:val="000000" w:themeColor="text1"/>
        </w:rPr>
        <w:t xml:space="preserve">emeente. Indien de titel van het certificaat niet duidelijk maakt of de scope van het certificaat het gevraagde afdekt, dient een toelichting van de certificerende instantie te worden bijgevoegd. </w:t>
      </w:r>
    </w:p>
    <w:p w14:paraId="5E9FC6BE" w14:textId="10B35D5D" w:rsidR="004B7BF7" w:rsidRPr="00222306" w:rsidRDefault="000821FD" w:rsidP="00EF13CD">
      <w:pPr>
        <w:pStyle w:val="Lijstalinea"/>
        <w:numPr>
          <w:ilvl w:val="0"/>
          <w:numId w:val="13"/>
        </w:numPr>
        <w:spacing w:line="240" w:lineRule="auto"/>
        <w:contextualSpacing w:val="0"/>
        <w:rPr>
          <w:rFonts w:eastAsia="Times New Roman"/>
          <w:color w:val="000000" w:themeColor="text1"/>
        </w:rPr>
      </w:pPr>
      <w:r w:rsidRPr="6171FF3A">
        <w:rPr>
          <w:rFonts w:eastAsia="Times New Roman"/>
          <w:color w:val="000000" w:themeColor="text1"/>
        </w:rPr>
        <w:t>G</w:t>
      </w:r>
      <w:r w:rsidR="004B7BF7" w:rsidRPr="6171FF3A">
        <w:rPr>
          <w:rFonts w:eastAsia="Times New Roman"/>
          <w:color w:val="000000" w:themeColor="text1"/>
        </w:rPr>
        <w:t xml:space="preserve">emeente wijst er op dat de certificeringseis een geschiktheidseis is waaraan op het moment van inschrijving moet worden voldaan. </w:t>
      </w:r>
      <w:r w:rsidRPr="6171FF3A">
        <w:rPr>
          <w:rFonts w:eastAsia="Times New Roman"/>
          <w:color w:val="000000" w:themeColor="text1"/>
        </w:rPr>
        <w:t>G</w:t>
      </w:r>
      <w:r w:rsidR="004B7BF7" w:rsidRPr="6171FF3A">
        <w:rPr>
          <w:rFonts w:eastAsia="Times New Roman"/>
          <w:color w:val="000000" w:themeColor="text1"/>
        </w:rPr>
        <w:t xml:space="preserve">emeente aanvaardt conform artikel 2.96 lid 2 </w:t>
      </w:r>
      <w:proofErr w:type="spellStart"/>
      <w:r w:rsidR="004B7BF7" w:rsidRPr="6171FF3A">
        <w:rPr>
          <w:rFonts w:eastAsia="Times New Roman"/>
          <w:color w:val="000000" w:themeColor="text1"/>
        </w:rPr>
        <w:t>Aw</w:t>
      </w:r>
      <w:proofErr w:type="spellEnd"/>
      <w:r w:rsidR="004B7BF7" w:rsidRPr="6171FF3A">
        <w:rPr>
          <w:rFonts w:eastAsia="Times New Roman"/>
          <w:color w:val="000000" w:themeColor="text1"/>
        </w:rPr>
        <w:t xml:space="preserve"> eveneens andere bewijzen inzake gelijkwaardige maatregelen op het gebied van de kwaliteitsbewaking, maar alleen indien </w:t>
      </w:r>
      <w:r w:rsidR="00E1192A" w:rsidRPr="6171FF3A">
        <w:rPr>
          <w:rFonts w:eastAsia="Times New Roman"/>
          <w:color w:val="000000" w:themeColor="text1"/>
        </w:rPr>
        <w:t xml:space="preserve">de </w:t>
      </w:r>
      <w:r w:rsidR="004B7BF7" w:rsidRPr="6171FF3A">
        <w:rPr>
          <w:rFonts w:eastAsia="Times New Roman"/>
          <w:color w:val="000000" w:themeColor="text1"/>
        </w:rPr>
        <w:t xml:space="preserve">inschrijver die certificaten niet binnen de gestelde termijnen kan verwerven om redenen die hem niet aangerekend kunnen worden. </w:t>
      </w:r>
      <w:r w:rsidR="00E1192A" w:rsidRPr="6171FF3A">
        <w:rPr>
          <w:rFonts w:eastAsia="Times New Roman"/>
          <w:color w:val="000000" w:themeColor="text1"/>
        </w:rPr>
        <w:t>De i</w:t>
      </w:r>
      <w:r w:rsidR="004B7BF7" w:rsidRPr="6171FF3A">
        <w:rPr>
          <w:rFonts w:eastAsia="Times New Roman"/>
          <w:color w:val="000000" w:themeColor="text1"/>
        </w:rPr>
        <w:t>nschrijver moet in dat geval bewijzen dat de voorgestelde beveiligingsmaatregelen ten aanzien van informatiebeveiliging voldoen.</w:t>
      </w:r>
    </w:p>
    <w:p w14:paraId="32985EFC" w14:textId="1123D0B1" w:rsidR="004B7BF7" w:rsidRPr="00222306" w:rsidRDefault="000821FD" w:rsidP="00EF13CD">
      <w:pPr>
        <w:pStyle w:val="Lijstalinea"/>
        <w:numPr>
          <w:ilvl w:val="0"/>
          <w:numId w:val="13"/>
        </w:numPr>
        <w:spacing w:line="240" w:lineRule="auto"/>
        <w:contextualSpacing w:val="0"/>
        <w:rPr>
          <w:rFonts w:eastAsia="Times New Roman"/>
          <w:color w:val="000000" w:themeColor="text1"/>
        </w:rPr>
      </w:pPr>
      <w:r w:rsidRPr="6171FF3A">
        <w:rPr>
          <w:rFonts w:eastAsia="Times New Roman"/>
          <w:color w:val="000000" w:themeColor="text1"/>
        </w:rPr>
        <w:t>G</w:t>
      </w:r>
      <w:r w:rsidR="004B7BF7" w:rsidRPr="6171FF3A">
        <w:rPr>
          <w:rFonts w:eastAsia="Times New Roman"/>
          <w:color w:val="000000" w:themeColor="text1"/>
        </w:rPr>
        <w:t xml:space="preserve">emeente wijst er verder op dat onder de </w:t>
      </w:r>
      <w:proofErr w:type="spellStart"/>
      <w:r w:rsidR="004B7BF7" w:rsidRPr="6171FF3A">
        <w:rPr>
          <w:rFonts w:eastAsia="Times New Roman"/>
          <w:color w:val="000000" w:themeColor="text1"/>
        </w:rPr>
        <w:t>Aw</w:t>
      </w:r>
      <w:proofErr w:type="spellEnd"/>
      <w:r w:rsidR="004B7BF7" w:rsidRPr="6171FF3A">
        <w:rPr>
          <w:rFonts w:eastAsia="Times New Roman"/>
          <w:color w:val="000000" w:themeColor="text1"/>
        </w:rPr>
        <w:t xml:space="preserve"> als </w:t>
      </w:r>
      <w:r w:rsidR="004B7BF7" w:rsidRPr="6171FF3A">
        <w:rPr>
          <w:rFonts w:eastAsia="Times New Roman"/>
          <w:color w:val="000000" w:themeColor="text1"/>
          <w:u w:val="single"/>
        </w:rPr>
        <w:t>uitgangspunt</w:t>
      </w:r>
      <w:r w:rsidR="004B7BF7" w:rsidRPr="6171FF3A">
        <w:rPr>
          <w:rFonts w:eastAsia="Times New Roman"/>
          <w:color w:val="000000" w:themeColor="text1"/>
        </w:rPr>
        <w:t xml:space="preserve"> geldt dat uitsluitend gelijkwaardige certificaten worden geaccepteerd. Een handboek of een procesbeschrijving, ook al is dat gebaseerd op veilig, gezond en milieuvriendelijk werken, is </w:t>
      </w:r>
      <w:r w:rsidR="004B7BF7" w:rsidRPr="6171FF3A">
        <w:rPr>
          <w:rFonts w:eastAsia="Times New Roman"/>
          <w:color w:val="000000" w:themeColor="text1"/>
          <w:u w:val="single"/>
        </w:rPr>
        <w:t>niet zonder meer</w:t>
      </w:r>
      <w:r w:rsidR="004B7BF7" w:rsidRPr="6171FF3A">
        <w:rPr>
          <w:rFonts w:eastAsia="Times New Roman"/>
          <w:color w:val="000000" w:themeColor="text1"/>
        </w:rPr>
        <w:t xml:space="preserve"> gelijkwaardig aan een VCA</w:t>
      </w:r>
      <w:r w:rsidR="1C093741" w:rsidRPr="6171FF3A">
        <w:rPr>
          <w:rFonts w:eastAsia="Times New Roman"/>
          <w:color w:val="000000" w:themeColor="text1"/>
        </w:rPr>
        <w:t>*-</w:t>
      </w:r>
      <w:r w:rsidR="004B7BF7" w:rsidRPr="6171FF3A">
        <w:rPr>
          <w:rFonts w:eastAsia="Times New Roman"/>
          <w:color w:val="000000" w:themeColor="text1"/>
        </w:rPr>
        <w:t xml:space="preserve">certificaat. Voor het verkrijgen en behouden van een dergelijke certificering is immers een </w:t>
      </w:r>
      <w:r w:rsidR="004B7BF7" w:rsidRPr="6171FF3A">
        <w:rPr>
          <w:rFonts w:eastAsia="Times New Roman"/>
          <w:color w:val="000000" w:themeColor="text1"/>
          <w:u w:val="single"/>
        </w:rPr>
        <w:t>externe audit</w:t>
      </w:r>
      <w:r w:rsidR="004B7BF7" w:rsidRPr="6171FF3A">
        <w:rPr>
          <w:rFonts w:eastAsia="Times New Roman"/>
          <w:color w:val="000000" w:themeColor="text1"/>
        </w:rPr>
        <w:t xml:space="preserve"> nodig die jaarlijks dient te worden herhaald. Met deze beoordeling door een derde partij wordt de kwaliteit gewaarborgd.</w:t>
      </w:r>
    </w:p>
    <w:p w14:paraId="32B51019" w14:textId="77777777" w:rsidR="000002FB" w:rsidRPr="000002FB" w:rsidRDefault="000002FB" w:rsidP="00EF13CD">
      <w:pPr>
        <w:pStyle w:val="Lijstalinea"/>
        <w:numPr>
          <w:ilvl w:val="0"/>
          <w:numId w:val="13"/>
        </w:numPr>
        <w:spacing w:line="240" w:lineRule="auto"/>
        <w:contextualSpacing w:val="0"/>
        <w:rPr>
          <w:rFonts w:eastAsia="Times New Roman"/>
          <w:color w:val="000000" w:themeColor="text1"/>
        </w:rPr>
      </w:pPr>
      <w:r w:rsidRPr="6171FF3A">
        <w:rPr>
          <w:rFonts w:eastAsia="Times New Roman"/>
          <w:color w:val="000000" w:themeColor="text1"/>
        </w:rPr>
        <w:t xml:space="preserve">Contractant is gedurende de uitvoering van de opdracht tot en met de opleverdatum gecertificeerd.  </w:t>
      </w:r>
    </w:p>
    <w:p w14:paraId="175773B4" w14:textId="4C528081" w:rsidR="0080524D" w:rsidRPr="00222306" w:rsidRDefault="0080524D" w:rsidP="00EF13CD">
      <w:pPr>
        <w:pStyle w:val="Lijstalinea"/>
        <w:numPr>
          <w:ilvl w:val="0"/>
          <w:numId w:val="13"/>
        </w:numPr>
        <w:spacing w:line="240" w:lineRule="auto"/>
      </w:pPr>
      <w:r>
        <w:t xml:space="preserve">Indien de inschrijver zich voor deze eisen beroept op het veiligheidszorgsysteem van (een) derde(n), geldt het bepaalde in paragraaf </w:t>
      </w:r>
      <w:r w:rsidRPr="00DE0368">
        <w:t>4.2.</w:t>
      </w:r>
      <w:r w:rsidR="00784BE9" w:rsidRPr="00DE0368">
        <w:t>4</w:t>
      </w:r>
      <w:r w:rsidRPr="00DE0368">
        <w:t>.</w:t>
      </w:r>
      <w:r>
        <w:t xml:space="preserve"> Inschrijver dient dit expliciet bij zijn inschrijving op het UEA te vermelden. </w:t>
      </w:r>
      <w:r w:rsidR="00841214">
        <w:t>De i</w:t>
      </w:r>
      <w:r>
        <w:t>nschrijver neemt automatisch de verplichting op zich deze derde(n) bij de uitvoering van de opdracht(en) daadwerkelijk beschikbaar te hebben en in te zetten voor die onderdelen, waarvoor het beroep op de derde(n) is gedaan.</w:t>
      </w:r>
    </w:p>
    <w:bookmarkEnd w:id="122"/>
    <w:p w14:paraId="02FB3541" w14:textId="7BF73FF4" w:rsidR="002C42BE" w:rsidRDefault="002C42BE">
      <w:pPr>
        <w:spacing w:line="240" w:lineRule="auto"/>
        <w:rPr>
          <w:rFonts w:eastAsiaTheme="majorEastAsia" w:cstheme="majorBidi"/>
          <w:b/>
          <w:color w:val="000000" w:themeColor="text1"/>
        </w:rPr>
      </w:pPr>
    </w:p>
    <w:p w14:paraId="3B69DFDE" w14:textId="2AE0892C" w:rsidR="00B30718" w:rsidRPr="00222306" w:rsidRDefault="00B30718" w:rsidP="004B7BF7">
      <w:pPr>
        <w:pStyle w:val="Kop3"/>
      </w:pPr>
      <w:bookmarkStart w:id="123" w:name="_Hlk154665325"/>
      <w:bookmarkStart w:id="124" w:name="_Toc225942302"/>
      <w:r>
        <w:t>Beroep op draagkracht van andere entiteiten (beroep op een derde)</w:t>
      </w:r>
      <w:bookmarkEnd w:id="124"/>
      <w:r>
        <w:t xml:space="preserve"> </w:t>
      </w:r>
    </w:p>
    <w:p w14:paraId="67BE2AC7" w14:textId="77777777" w:rsidR="00B30718" w:rsidRPr="00222306" w:rsidRDefault="00B30718" w:rsidP="00B30718">
      <w:pPr>
        <w:spacing w:line="240" w:lineRule="auto"/>
        <w:rPr>
          <w:b/>
          <w:bCs/>
          <w:iCs/>
        </w:rPr>
      </w:pPr>
    </w:p>
    <w:p w14:paraId="00346B77" w14:textId="0CB22808" w:rsidR="00B30718" w:rsidRPr="00222306" w:rsidRDefault="00841214" w:rsidP="00B30718">
      <w:pPr>
        <w:spacing w:line="240" w:lineRule="auto"/>
        <w:rPr>
          <w:iCs/>
        </w:rPr>
      </w:pPr>
      <w:r>
        <w:rPr>
          <w:iCs/>
        </w:rPr>
        <w:t>De</w:t>
      </w:r>
      <w:r w:rsidRPr="00222306">
        <w:rPr>
          <w:iCs/>
        </w:rPr>
        <w:t xml:space="preserve"> </w:t>
      </w:r>
      <w:r w:rsidR="00B30718" w:rsidRPr="00222306">
        <w:rPr>
          <w:iCs/>
        </w:rPr>
        <w:t>inschrijver kan zich, om te voldoen aan de geschiktheidseisen beroepen op de financiële en economische draagkracht en/of de technische bekwaamheid van andere entiteiten. In dat geval moet:</w:t>
      </w:r>
    </w:p>
    <w:p w14:paraId="760B642E" w14:textId="7593B9AE" w:rsidR="00B30718" w:rsidRPr="00222306" w:rsidRDefault="00841214" w:rsidP="00EF13CD">
      <w:pPr>
        <w:numPr>
          <w:ilvl w:val="0"/>
          <w:numId w:val="9"/>
        </w:numPr>
        <w:spacing w:line="240" w:lineRule="auto"/>
        <w:rPr>
          <w:iCs/>
        </w:rPr>
      </w:pPr>
      <w:r>
        <w:rPr>
          <w:iCs/>
        </w:rPr>
        <w:t xml:space="preserve">de </w:t>
      </w:r>
      <w:r w:rsidR="005B4ADD">
        <w:rPr>
          <w:iCs/>
        </w:rPr>
        <w:t>inschrijver a</w:t>
      </w:r>
      <w:r w:rsidR="00B30718" w:rsidRPr="00222306">
        <w:rPr>
          <w:iCs/>
        </w:rPr>
        <w:t>antonen dat hij daadwerkelijk en onherroepelijk kan beschikken over de voor de uitvoering van de opdracht noodzakelijke financiële middelen van de andere entiteiten;</w:t>
      </w:r>
    </w:p>
    <w:p w14:paraId="2E0F4282" w14:textId="5FA7D9E9" w:rsidR="00B30718" w:rsidRPr="00222306" w:rsidRDefault="00841214" w:rsidP="00EF13CD">
      <w:pPr>
        <w:numPr>
          <w:ilvl w:val="0"/>
          <w:numId w:val="9"/>
        </w:numPr>
        <w:spacing w:line="240" w:lineRule="auto"/>
        <w:rPr>
          <w:iCs/>
        </w:rPr>
      </w:pPr>
      <w:r>
        <w:rPr>
          <w:iCs/>
        </w:rPr>
        <w:t xml:space="preserve">de </w:t>
      </w:r>
      <w:r w:rsidR="005B4ADD">
        <w:rPr>
          <w:iCs/>
        </w:rPr>
        <w:t>inschrijver a</w:t>
      </w:r>
      <w:r w:rsidR="00B30718" w:rsidRPr="00222306">
        <w:rPr>
          <w:iCs/>
        </w:rPr>
        <w:t xml:space="preserve">antonen dat hij daadwerkelijk en onherroepelijk </w:t>
      </w:r>
      <w:r w:rsidR="00B30718" w:rsidRPr="005B4ADD">
        <w:rPr>
          <w:iCs/>
        </w:rPr>
        <w:t>kan</w:t>
      </w:r>
      <w:r w:rsidR="00B30718" w:rsidRPr="00222306">
        <w:rPr>
          <w:iCs/>
        </w:rPr>
        <w:t xml:space="preserve"> beschikken over de voor de uitvoering van de opdracht noodzakelijke technische middelen, en aantonen dat hij die andere entiteiten ook daadwerkelijk en onherroepelijk in kan zetten bij de uitvoering van die delen van de opdracht waarvoor het beroep op d</w:t>
      </w:r>
      <w:r>
        <w:rPr>
          <w:iCs/>
        </w:rPr>
        <w:t>ie</w:t>
      </w:r>
      <w:r w:rsidR="00B30718" w:rsidRPr="00222306">
        <w:rPr>
          <w:iCs/>
        </w:rPr>
        <w:t xml:space="preserve"> andere entiteit is gedaan. Indien de opdracht aan de inschrijver wordt gegund, is hij tot deze inzet verplicht</w:t>
      </w:r>
      <w:r w:rsidR="005B4ADD">
        <w:rPr>
          <w:iCs/>
        </w:rPr>
        <w:t>;</w:t>
      </w:r>
    </w:p>
    <w:p w14:paraId="1A773897" w14:textId="1512DE2C" w:rsidR="00B30718" w:rsidRPr="005B4ADD" w:rsidRDefault="005B4ADD" w:rsidP="00EF13CD">
      <w:pPr>
        <w:numPr>
          <w:ilvl w:val="0"/>
          <w:numId w:val="9"/>
        </w:numPr>
        <w:spacing w:line="240" w:lineRule="auto"/>
      </w:pPr>
      <w:r>
        <w:t>d</w:t>
      </w:r>
      <w:r w:rsidR="00B30718">
        <w:t>e andere entiteit de Verklaring beschikbaarheid technische middelen/ financiële middelen</w:t>
      </w:r>
      <w:r>
        <w:t xml:space="preserve"> tekenen</w:t>
      </w:r>
      <w:r w:rsidR="00B30718">
        <w:t>.</w:t>
      </w:r>
      <w:r w:rsidR="00654422">
        <w:t xml:space="preserve"> </w:t>
      </w:r>
      <w:r w:rsidR="00654422" w:rsidRPr="009A3C16">
        <w:t>Zie bijlage</w:t>
      </w:r>
      <w:r w:rsidR="00B414C3" w:rsidRPr="009A3C16">
        <w:t xml:space="preserve"> </w:t>
      </w:r>
      <w:r w:rsidR="009A3C16" w:rsidRPr="009A3C16">
        <w:t>‘V</w:t>
      </w:r>
      <w:r w:rsidR="00654422" w:rsidRPr="009A3C16">
        <w:t>erklaring beroep derden</w:t>
      </w:r>
      <w:r w:rsidR="009A3C16" w:rsidRPr="009A3C16">
        <w:t>’</w:t>
      </w:r>
      <w:r w:rsidR="00654422" w:rsidRPr="009A3C16">
        <w:t>.</w:t>
      </w:r>
    </w:p>
    <w:p w14:paraId="6AC2B7A5" w14:textId="77777777" w:rsidR="00B30718" w:rsidRPr="00222306" w:rsidRDefault="00B30718" w:rsidP="00B30718">
      <w:pPr>
        <w:spacing w:line="240" w:lineRule="auto"/>
        <w:rPr>
          <w:iCs/>
        </w:rPr>
      </w:pPr>
    </w:p>
    <w:p w14:paraId="4B0C1706" w14:textId="5BC3F735" w:rsidR="00B30718" w:rsidRPr="00222306" w:rsidRDefault="00B30718" w:rsidP="00B30718">
      <w:pPr>
        <w:spacing w:line="240" w:lineRule="auto"/>
      </w:pPr>
      <w:r>
        <w:lastRenderedPageBreak/>
        <w:t xml:space="preserve">Een wijziging in de in te zetten entiteit is slechts </w:t>
      </w:r>
      <w:r w:rsidRPr="2D0FBD75">
        <w:rPr>
          <w:b/>
          <w:bCs/>
        </w:rPr>
        <w:t>toegestaan na voorafgaande schriftelijke toestemming</w:t>
      </w:r>
      <w:r>
        <w:t xml:space="preserve"> van </w:t>
      </w:r>
      <w:r w:rsidR="000821FD">
        <w:t>G</w:t>
      </w:r>
      <w:r>
        <w:t xml:space="preserve">emeente en in ieder geval op voorwaarde dat de toestemming van </w:t>
      </w:r>
      <w:r w:rsidR="000821FD">
        <w:t>G</w:t>
      </w:r>
      <w:r>
        <w:t>emeente geen verandering van voorwaarden inhoudt die zou hebben geleid tot andere inschrijvers of de keuze voor een andere inschrijver.</w:t>
      </w:r>
    </w:p>
    <w:p w14:paraId="29DC121B" w14:textId="77777777" w:rsidR="00B30718" w:rsidRPr="00222306" w:rsidRDefault="00B30718" w:rsidP="00B30718">
      <w:pPr>
        <w:spacing w:line="240" w:lineRule="auto"/>
        <w:rPr>
          <w:iCs/>
        </w:rPr>
      </w:pPr>
    </w:p>
    <w:p w14:paraId="7AAF4FE0" w14:textId="09E13BE5" w:rsidR="00B30718" w:rsidRPr="00222306" w:rsidRDefault="00B30718" w:rsidP="00B30718">
      <w:pPr>
        <w:spacing w:line="240" w:lineRule="auto"/>
        <w:rPr>
          <w:iCs/>
        </w:rPr>
      </w:pPr>
      <w:r w:rsidRPr="00222306">
        <w:rPr>
          <w:iCs/>
        </w:rPr>
        <w:t xml:space="preserve">Indien </w:t>
      </w:r>
      <w:r w:rsidR="00841214">
        <w:rPr>
          <w:iCs/>
        </w:rPr>
        <w:t xml:space="preserve">de </w:t>
      </w:r>
      <w:r w:rsidRPr="00222306">
        <w:rPr>
          <w:iCs/>
        </w:rPr>
        <w:t xml:space="preserve">inschrijver een beroep doet op draagkracht van andere entiteiten moet dit op het UEA afdeling B II C ingevuld worden én voor elk van die entiteiten een afzonderlijk UEA met de informatie die gevraagd wordt in de afdelingen A en B van deel II en deel III worden verstrekt. De betrokken entiteiten moeten het formulier invullen en ondertekenen. </w:t>
      </w:r>
    </w:p>
    <w:bookmarkEnd w:id="123"/>
    <w:p w14:paraId="32983BD0" w14:textId="77777777" w:rsidR="00B30718" w:rsidRPr="00222306" w:rsidRDefault="00B30718" w:rsidP="00B30718">
      <w:pPr>
        <w:spacing w:line="240" w:lineRule="auto"/>
        <w:rPr>
          <w:b/>
          <w:bCs/>
          <w:iCs/>
        </w:rPr>
      </w:pPr>
    </w:p>
    <w:p w14:paraId="153B62B9" w14:textId="77777777" w:rsidR="00B30718" w:rsidRPr="00222306" w:rsidRDefault="00B30718" w:rsidP="00B30718">
      <w:pPr>
        <w:spacing w:line="240" w:lineRule="auto"/>
      </w:pPr>
    </w:p>
    <w:p w14:paraId="2247039D" w14:textId="3857E705" w:rsidR="00B30718" w:rsidRPr="00222306" w:rsidRDefault="002C42BE" w:rsidP="004B7BF7">
      <w:pPr>
        <w:pStyle w:val="Kop2"/>
      </w:pPr>
      <w:bookmarkStart w:id="125" w:name="_Toc51856107"/>
      <w:bookmarkStart w:id="126" w:name="_Toc89681240"/>
      <w:bookmarkStart w:id="127" w:name="_Toc225942303"/>
      <w:r>
        <w:t>B</w:t>
      </w:r>
      <w:r w:rsidR="00B30718">
        <w:t>ewijsstukken na inschrijving</w:t>
      </w:r>
      <w:bookmarkEnd w:id="125"/>
      <w:bookmarkEnd w:id="126"/>
      <w:bookmarkEnd w:id="127"/>
    </w:p>
    <w:p w14:paraId="19625E8D" w14:textId="6BBEC2B7" w:rsidR="00B30718" w:rsidRPr="00222306" w:rsidRDefault="00B30718" w:rsidP="00B30718">
      <w:pPr>
        <w:spacing w:line="240" w:lineRule="auto"/>
      </w:pPr>
      <w:r w:rsidRPr="00222306">
        <w:t xml:space="preserve">Door het indienen van het UEA verklaart </w:t>
      </w:r>
      <w:r w:rsidR="00841214">
        <w:t xml:space="preserve">de </w:t>
      </w:r>
      <w:r w:rsidRPr="00222306">
        <w:t xml:space="preserve">inschrijver op verzoek van </w:t>
      </w:r>
      <w:r w:rsidR="000821FD">
        <w:t>G</w:t>
      </w:r>
      <w:r w:rsidRPr="00222306">
        <w:t>emeente bewijsstukken te overleggen.</w:t>
      </w:r>
    </w:p>
    <w:p w14:paraId="6DD209C2" w14:textId="77777777" w:rsidR="00B30718" w:rsidRPr="00222306" w:rsidRDefault="00B30718" w:rsidP="00B30718">
      <w:pPr>
        <w:spacing w:line="240" w:lineRule="auto"/>
      </w:pPr>
    </w:p>
    <w:p w14:paraId="2DCD3CB5" w14:textId="1510A1A3" w:rsidR="00B30718" w:rsidRPr="00222306" w:rsidRDefault="000821FD" w:rsidP="00B30718">
      <w:pPr>
        <w:spacing w:line="240" w:lineRule="auto"/>
      </w:pPr>
      <w:bookmarkStart w:id="128" w:name="_Hlk56695544"/>
      <w:r>
        <w:t>G</w:t>
      </w:r>
      <w:r w:rsidR="00B30718" w:rsidRPr="00222306">
        <w:t xml:space="preserve">emeente kan in elk geval de inschrijver aan wie </w:t>
      </w:r>
      <w:r w:rsidR="00864CC4">
        <w:t>G</w:t>
      </w:r>
      <w:r w:rsidR="00B30718" w:rsidRPr="00222306">
        <w:t xml:space="preserve">emeente voornemens is de opdracht te gunnen verzoeken bewijsstukken ter staving van de informatie die de inschrijver over de geschiktheidseisen en uitsluitingsgronden op het UEA hebben verklaard, te overleggen. </w:t>
      </w:r>
      <w:bookmarkEnd w:id="128"/>
      <w:r w:rsidR="00B30718" w:rsidRPr="00222306">
        <w:t xml:space="preserve">Bewijsstukken worden binnen 5 kalenderdagen va verzoek van </w:t>
      </w:r>
      <w:r w:rsidR="00864CC4">
        <w:t>G</w:t>
      </w:r>
      <w:r w:rsidR="00B30718" w:rsidRPr="00222306">
        <w:t xml:space="preserve">emeente door de inschrijver verstrekt. </w:t>
      </w:r>
    </w:p>
    <w:p w14:paraId="359EAE84" w14:textId="77777777" w:rsidR="00B30718" w:rsidRPr="00222306" w:rsidRDefault="00B30718" w:rsidP="00B30718">
      <w:pPr>
        <w:spacing w:line="240" w:lineRule="auto"/>
      </w:pPr>
    </w:p>
    <w:p w14:paraId="2399D1BA" w14:textId="77777777" w:rsidR="00B30718" w:rsidRPr="00222306" w:rsidRDefault="00B30718" w:rsidP="00B30718">
      <w:pPr>
        <w:spacing w:line="240" w:lineRule="auto"/>
      </w:pPr>
      <w:r w:rsidRPr="00222306">
        <w:t>Een overzicht van de bewijsstukken is opgenomen in de Controlelijst (hoofdstuk 6).</w:t>
      </w:r>
    </w:p>
    <w:p w14:paraId="5F0F82E4" w14:textId="77777777" w:rsidR="00B30718" w:rsidRPr="00222306" w:rsidRDefault="00B30718" w:rsidP="00B30718">
      <w:pPr>
        <w:spacing w:line="240" w:lineRule="auto"/>
      </w:pPr>
    </w:p>
    <w:p w14:paraId="711D591D" w14:textId="357FC5FF" w:rsidR="00B30718" w:rsidRPr="00222306" w:rsidRDefault="00B30718" w:rsidP="00B30718">
      <w:pPr>
        <w:spacing w:line="240" w:lineRule="auto"/>
        <w:rPr>
          <w:b/>
        </w:rPr>
      </w:pPr>
      <w:bookmarkStart w:id="129" w:name="_Hlk154665482"/>
      <w:r w:rsidRPr="00222306">
        <w:rPr>
          <w:b/>
        </w:rPr>
        <w:t>Gedragsverklaring aanbesteden</w:t>
      </w:r>
      <w:r w:rsidR="005B4ADD">
        <w:rPr>
          <w:b/>
        </w:rPr>
        <w:t xml:space="preserve"> (GVA)</w:t>
      </w:r>
    </w:p>
    <w:p w14:paraId="0DF0AA25" w14:textId="249FC10A" w:rsidR="00B30718" w:rsidRPr="00222306" w:rsidRDefault="00864CC4" w:rsidP="00B30718">
      <w:pPr>
        <w:spacing w:line="240" w:lineRule="auto"/>
      </w:pPr>
      <w:r>
        <w:t>G</w:t>
      </w:r>
      <w:r w:rsidR="00B30718">
        <w:t xml:space="preserve">emeente kan </w:t>
      </w:r>
      <w:r w:rsidR="00841214">
        <w:t>de</w:t>
      </w:r>
      <w:r w:rsidR="00B30718">
        <w:t xml:space="preserve"> inschrijver </w:t>
      </w:r>
      <w:r w:rsidR="23089DBD">
        <w:t>vragen om</w:t>
      </w:r>
      <w:r w:rsidR="00B30718">
        <w:t xml:space="preserve"> aan te tonen dat uitsluitingsgronden die betrekking hebben op onherroepelijke veroordelingen</w:t>
      </w:r>
      <w:r w:rsidR="00C05E86">
        <w:t xml:space="preserve"> of beschikkingen wegens overtreding van de mededingingsregels </w:t>
      </w:r>
      <w:r w:rsidR="00B30718">
        <w:t xml:space="preserve">niet op </w:t>
      </w:r>
      <w:r w:rsidR="00841214">
        <w:t xml:space="preserve">de </w:t>
      </w:r>
      <w:r w:rsidR="00B30718">
        <w:t>inschrijver van toepassing zijn, door middel van een G</w:t>
      </w:r>
      <w:r w:rsidR="005B4ADD">
        <w:t>VA</w:t>
      </w:r>
      <w:r w:rsidR="00B30718">
        <w:t xml:space="preserve">, conform artikel 1.20 </w:t>
      </w:r>
      <w:proofErr w:type="spellStart"/>
      <w:r w:rsidR="00B30718">
        <w:t>Aw</w:t>
      </w:r>
      <w:proofErr w:type="spellEnd"/>
      <w:r w:rsidR="00B30718">
        <w:t xml:space="preserve">. </w:t>
      </w:r>
    </w:p>
    <w:p w14:paraId="64BC039D" w14:textId="77777777" w:rsidR="00B30718" w:rsidRPr="00222306" w:rsidRDefault="00B30718" w:rsidP="00B30718">
      <w:pPr>
        <w:spacing w:line="240" w:lineRule="auto"/>
      </w:pPr>
    </w:p>
    <w:p w14:paraId="1BE38464" w14:textId="617AC61D" w:rsidR="00B30718" w:rsidRDefault="00841214" w:rsidP="00B30718">
      <w:pPr>
        <w:spacing w:line="240" w:lineRule="auto"/>
      </w:pPr>
      <w:r>
        <w:t>De i</w:t>
      </w:r>
      <w:r w:rsidR="00B30718" w:rsidRPr="00222306">
        <w:t xml:space="preserve">nschrijver dient er rekening mee te houden dat in dat geval een periode van 5 kalenderdagen wordt verleend om de gedragsverklaring te verstrekken en het aanvragen van de gedragsverklaring meer tijd kost. Informatie over het aanvragen van een gedragsverklaring zie: </w:t>
      </w:r>
      <w:hyperlink r:id="rId13" w:history="1">
        <w:r w:rsidR="00B30718" w:rsidRPr="00222306">
          <w:rPr>
            <w:rStyle w:val="Hyperlink"/>
            <w:rFonts w:cstheme="minorBidi"/>
          </w:rPr>
          <w:t>https://www.justis.nl/producten/gva/</w:t>
        </w:r>
      </w:hyperlink>
    </w:p>
    <w:p w14:paraId="223170C9" w14:textId="77777777" w:rsidR="009044D7" w:rsidRDefault="009044D7" w:rsidP="00B30718">
      <w:pPr>
        <w:spacing w:line="240" w:lineRule="auto"/>
      </w:pPr>
    </w:p>
    <w:p w14:paraId="4265EA35" w14:textId="1FE0974B" w:rsidR="009044D7" w:rsidRPr="00222306" w:rsidRDefault="009044D7" w:rsidP="00B30718">
      <w:pPr>
        <w:spacing w:line="240" w:lineRule="auto"/>
      </w:pPr>
      <w:r>
        <w:t>Ook de gewenst</w:t>
      </w:r>
      <w:r w:rsidR="000211B3">
        <w:t>e</w:t>
      </w:r>
      <w:r>
        <w:t xml:space="preserve"> verklaring van de Belastingdienst kan meer tijd kosten dan 5 kalenderdagen.</w:t>
      </w:r>
    </w:p>
    <w:bookmarkEnd w:id="129"/>
    <w:p w14:paraId="025AA874" w14:textId="77777777" w:rsidR="00B30718" w:rsidRPr="00222306" w:rsidRDefault="00B30718" w:rsidP="00B30718">
      <w:pPr>
        <w:spacing w:line="240" w:lineRule="auto"/>
      </w:pPr>
    </w:p>
    <w:p w14:paraId="6AFD1F7D" w14:textId="4AB69091" w:rsidR="00B30718" w:rsidRPr="009E1406" w:rsidRDefault="00B30718" w:rsidP="004B7BF7">
      <w:pPr>
        <w:pStyle w:val="Kop2"/>
      </w:pPr>
      <w:bookmarkStart w:id="130" w:name="_Toc51856108"/>
      <w:bookmarkStart w:id="131" w:name="_Toc89681241"/>
      <w:bookmarkStart w:id="132" w:name="_Toc225942304"/>
      <w:r>
        <w:t>Informatie betreffende onderaannemers op wier draagkracht de ondernemer geen beroep doet (Deel II D)</w:t>
      </w:r>
      <w:bookmarkEnd w:id="130"/>
      <w:bookmarkEnd w:id="131"/>
      <w:bookmarkEnd w:id="132"/>
    </w:p>
    <w:p w14:paraId="0BADE4D8" w14:textId="4AA6EA5B" w:rsidR="00B30718" w:rsidRPr="00222306" w:rsidRDefault="00B30718" w:rsidP="00B30718">
      <w:pPr>
        <w:spacing w:line="240" w:lineRule="auto"/>
      </w:pPr>
      <w:r w:rsidRPr="009E1406">
        <w:t xml:space="preserve">Als </w:t>
      </w:r>
      <w:r w:rsidR="00841214" w:rsidRPr="009E1406">
        <w:t xml:space="preserve">de </w:t>
      </w:r>
      <w:r w:rsidRPr="009E1406">
        <w:t xml:space="preserve">inschrijver van plan is een gedeelte van de opdracht in onderaanneming aan derden te geven terwijl er geen beroep wordt gedaan op de draagkracht van die onderaannemer, geeft </w:t>
      </w:r>
      <w:r w:rsidR="00841214" w:rsidRPr="009E1406">
        <w:t xml:space="preserve">de </w:t>
      </w:r>
      <w:r w:rsidRPr="009E1406">
        <w:t>inschrijver op het UEA Deel II D aan om welke onderaannemers het gaat.</w:t>
      </w:r>
      <w:r w:rsidRPr="00222306">
        <w:t xml:space="preserve"> </w:t>
      </w:r>
    </w:p>
    <w:p w14:paraId="2930E233" w14:textId="64508B59" w:rsidR="00B30718" w:rsidRPr="00222306" w:rsidRDefault="00B30718" w:rsidP="00B30718">
      <w:pPr>
        <w:spacing w:line="240" w:lineRule="auto"/>
      </w:pPr>
    </w:p>
    <w:p w14:paraId="53628D0D" w14:textId="6BCA07C1" w:rsidR="00B30718" w:rsidRPr="00222306" w:rsidRDefault="00701BEF" w:rsidP="004B7BF7">
      <w:pPr>
        <w:pStyle w:val="Kop1"/>
      </w:pPr>
      <w:bookmarkStart w:id="133" w:name="_Toc385580360"/>
      <w:bookmarkStart w:id="134" w:name="_Toc51856109"/>
      <w:bookmarkStart w:id="135" w:name="_Toc89681242"/>
      <w:r>
        <w:lastRenderedPageBreak/>
        <w:t xml:space="preserve">  </w:t>
      </w:r>
      <w:bookmarkStart w:id="136" w:name="_Toc225942305"/>
      <w:r w:rsidR="00B30718">
        <w:t>De gunning</w:t>
      </w:r>
      <w:bookmarkEnd w:id="133"/>
      <w:bookmarkEnd w:id="134"/>
      <w:bookmarkEnd w:id="135"/>
      <w:bookmarkEnd w:id="136"/>
    </w:p>
    <w:p w14:paraId="2366BD6A" w14:textId="5FD52732" w:rsidR="00DB593C" w:rsidRDefault="00DB593C" w:rsidP="00DB593C">
      <w:pPr>
        <w:pStyle w:val="Introtekst"/>
        <w:spacing w:before="40" w:after="240" w:line="280" w:lineRule="exact"/>
        <w:rPr>
          <w:sz w:val="22"/>
        </w:rPr>
      </w:pPr>
      <w:r w:rsidRPr="6171FF3A">
        <w:rPr>
          <w:sz w:val="22"/>
        </w:rPr>
        <w:t>Nadat de inschrijvers zich op basis van de uitsluitingsgronden en geschiktheidseisen als genoemd in hoofdstuk 4 hebben gekwalificeerd, worden</w:t>
      </w:r>
      <w:r w:rsidR="00866AC8" w:rsidRPr="6171FF3A">
        <w:rPr>
          <w:sz w:val="22"/>
        </w:rPr>
        <w:t xml:space="preserve"> de</w:t>
      </w:r>
      <w:r w:rsidRPr="6171FF3A">
        <w:rPr>
          <w:sz w:val="22"/>
        </w:rPr>
        <w:t xml:space="preserve"> inschrijv</w:t>
      </w:r>
      <w:r w:rsidR="00866AC8" w:rsidRPr="6171FF3A">
        <w:rPr>
          <w:sz w:val="22"/>
        </w:rPr>
        <w:t>ingen</w:t>
      </w:r>
      <w:r w:rsidRPr="6171FF3A">
        <w:rPr>
          <w:sz w:val="22"/>
        </w:rPr>
        <w:t xml:space="preserve"> beoordeeld conform onderstaande procedure. </w:t>
      </w:r>
      <w:r w:rsidR="008A56D8">
        <w:rPr>
          <w:sz w:val="22"/>
        </w:rPr>
        <w:t>*</w:t>
      </w:r>
    </w:p>
    <w:p w14:paraId="16566FD7" w14:textId="5828A70A" w:rsidR="008A56D8" w:rsidRDefault="008A56D8" w:rsidP="00DB593C">
      <w:pPr>
        <w:pStyle w:val="Introtekst"/>
        <w:spacing w:before="40" w:after="240" w:line="280" w:lineRule="exact"/>
        <w:rPr>
          <w:sz w:val="22"/>
        </w:rPr>
      </w:pPr>
    </w:p>
    <w:p w14:paraId="641DA600" w14:textId="68FA6431" w:rsidR="008A56D8" w:rsidRDefault="008A56D8" w:rsidP="002A7D94">
      <w:pPr>
        <w:pStyle w:val="Kop2"/>
      </w:pPr>
      <w:bookmarkStart w:id="137" w:name="_Toc225942306"/>
      <w:r>
        <w:t>Laagste prijs.</w:t>
      </w:r>
      <w:bookmarkEnd w:id="137"/>
      <w:r>
        <w:t xml:space="preserve"> </w:t>
      </w:r>
    </w:p>
    <w:p w14:paraId="5949C6EA" w14:textId="6106D608" w:rsidR="008A56D8" w:rsidRDefault="008A56D8" w:rsidP="008A56D8">
      <w:r>
        <w:t>De beoordeling</w:t>
      </w:r>
      <w:r w:rsidR="00325735">
        <w:t xml:space="preserve"> en gunnen</w:t>
      </w:r>
      <w:r>
        <w:t xml:space="preserve"> doen we alleen op basis van prijs. </w:t>
      </w:r>
    </w:p>
    <w:p w14:paraId="5F24E7E8" w14:textId="4E1792A9" w:rsidR="009858DB" w:rsidRPr="008A56D8" w:rsidRDefault="00695074" w:rsidP="008A56D8">
      <w:r>
        <w:t xml:space="preserve">In tegenstelling tot de leidraad van gemeente Purmerend. In deze aanbesteding vervalt de weging op kwaliteit. </w:t>
      </w:r>
    </w:p>
    <w:p w14:paraId="2A4BD3F8" w14:textId="77777777" w:rsidR="003B4B20" w:rsidRPr="00EC1776" w:rsidRDefault="003B4B20" w:rsidP="00EC1776">
      <w:bookmarkStart w:id="138" w:name="_Toc188876894"/>
      <w:bookmarkStart w:id="139" w:name="_Toc210722546"/>
      <w:bookmarkStart w:id="140" w:name="_Toc212203500"/>
      <w:bookmarkStart w:id="141" w:name="_Toc51856111"/>
      <w:bookmarkStart w:id="142" w:name="_Toc89681244"/>
    </w:p>
    <w:p w14:paraId="384CD7D6" w14:textId="77777777" w:rsidR="00BA6F2C" w:rsidRDefault="00BA6F2C">
      <w:pPr>
        <w:spacing w:line="240" w:lineRule="auto"/>
        <w:rPr>
          <w:rFonts w:eastAsiaTheme="majorEastAsia" w:cstheme="majorBidi"/>
          <w:b/>
          <w:color w:val="00A685"/>
          <w:sz w:val="30"/>
          <w:szCs w:val="26"/>
        </w:rPr>
      </w:pPr>
      <w:r>
        <w:br w:type="page"/>
      </w:r>
    </w:p>
    <w:p w14:paraId="2ABFBD79" w14:textId="5C73BFB8" w:rsidR="0079294A" w:rsidRPr="00E16403" w:rsidRDefault="0079294A" w:rsidP="007342C7">
      <w:pPr>
        <w:pStyle w:val="Kop2"/>
        <w:rPr>
          <w:strike/>
        </w:rPr>
      </w:pPr>
      <w:bookmarkStart w:id="143" w:name="_Toc225942307"/>
      <w:r>
        <w:lastRenderedPageBreak/>
        <w:t>Beoordeling Prijs</w:t>
      </w:r>
      <w:bookmarkEnd w:id="143"/>
      <w:r>
        <w:t xml:space="preserve"> </w:t>
      </w:r>
      <w:bookmarkEnd w:id="138"/>
      <w:bookmarkEnd w:id="139"/>
      <w:bookmarkEnd w:id="140"/>
    </w:p>
    <w:p w14:paraId="6B4C2D48" w14:textId="2547A7D6" w:rsidR="008B2780" w:rsidRDefault="008B4725" w:rsidP="008B4725">
      <w:r>
        <w:t>Voor het indienen van de Inschrijfprijs dienen Inschrijvers het als Bijlage C bijgevoegd “Inschrijvingsbiljet” in te vullen en rechtsgeldig te ondertekenen op het voorblad. De Inschrijfprijs wordt berekend over de totale kosten voor levering, installatie en beheer van nieuwe DRIS-displays en voor demontage en verwijdering van bestaande DRIS-displays.</w:t>
      </w:r>
    </w:p>
    <w:p w14:paraId="08D1DD09" w14:textId="77777777" w:rsidR="008B2780" w:rsidRDefault="008B2780" w:rsidP="0057291F">
      <w:r>
        <w:t xml:space="preserve">NB: </w:t>
      </w:r>
      <w:r w:rsidR="0057291F">
        <w:t xml:space="preserve">Het niet volledig invullen of wijzigen van </w:t>
      </w:r>
      <w:r>
        <w:t>b</w:t>
      </w:r>
      <w:r w:rsidR="0057291F">
        <w:t xml:space="preserve">ijlage </w:t>
      </w:r>
      <w:r>
        <w:t xml:space="preserve">2 ‘Prijslijst DRIS’ </w:t>
      </w:r>
      <w:r w:rsidR="0057291F">
        <w:t xml:space="preserve">leidt tot uitsluiting van de </w:t>
      </w:r>
    </w:p>
    <w:p w14:paraId="2170495F" w14:textId="77777777" w:rsidR="008B2780" w:rsidRDefault="008B2780" w:rsidP="008B2780">
      <w:r>
        <w:t>i</w:t>
      </w:r>
      <w:r w:rsidR="0057291F">
        <w:t>nschrijving.</w:t>
      </w:r>
    </w:p>
    <w:p w14:paraId="11EB5AEE" w14:textId="77777777" w:rsidR="008B2780" w:rsidRDefault="008B2780" w:rsidP="008B2780"/>
    <w:p w14:paraId="61BF8B21" w14:textId="77777777" w:rsidR="009B3861" w:rsidRDefault="0057291F" w:rsidP="0057291F">
      <w:r>
        <w:t xml:space="preserve">Het is enkel toegestaan positieve bedragen in te vullen. De prijsopgave dient in Euro’s (€) (op 2 decimalen) en exclusief </w:t>
      </w:r>
      <w:r w:rsidR="008B2780">
        <w:t>btw</w:t>
      </w:r>
      <w:r>
        <w:t xml:space="preserve"> te geschieden</w:t>
      </w:r>
      <w:r w:rsidR="008B2780">
        <w:t>.</w:t>
      </w:r>
    </w:p>
    <w:p w14:paraId="2DF36166" w14:textId="255731DF" w:rsidR="0057291F" w:rsidRDefault="0057291F" w:rsidP="0057291F">
      <w:r>
        <w:t>Met de door Inschrijvers ingevulde prijzen worden automatisch de totale kosten van de initiële levering en installatie en beheer over een periode van 15 jaar berekend.</w:t>
      </w:r>
      <w:r w:rsidR="0042428F">
        <w:t xml:space="preserve"> </w:t>
      </w:r>
    </w:p>
    <w:p w14:paraId="0C2F8B71" w14:textId="77777777" w:rsidR="008B2780" w:rsidRPr="0042428F" w:rsidRDefault="008B2780" w:rsidP="0057291F">
      <w:pPr>
        <w:rPr>
          <w:strike/>
        </w:rPr>
      </w:pPr>
    </w:p>
    <w:p w14:paraId="647D5AFB" w14:textId="1DFDE1CF" w:rsidR="0042428F" w:rsidRDefault="0057291F" w:rsidP="0057291F">
      <w:r>
        <w:t xml:space="preserve">In het geval een inschrijving ongeldig wordt verklaard, dan </w:t>
      </w:r>
      <w:r w:rsidR="0042428F">
        <w:t xml:space="preserve">zal de inschrijver met de </w:t>
      </w:r>
      <w:r w:rsidR="000211B3">
        <w:t>daarop volgende laagste prijs in aanmerking komen voor gunning van de opdracht.</w:t>
      </w:r>
    </w:p>
    <w:p w14:paraId="17347FF1" w14:textId="77777777" w:rsidR="0042428F" w:rsidRDefault="0042428F" w:rsidP="0057291F"/>
    <w:p w14:paraId="127D7392" w14:textId="77777777" w:rsidR="0057291F" w:rsidRPr="000211B3" w:rsidRDefault="0057291F" w:rsidP="0079294A">
      <w:pPr>
        <w:rPr>
          <w:strike/>
        </w:rPr>
      </w:pPr>
    </w:p>
    <w:p w14:paraId="690B0823" w14:textId="77777777" w:rsidR="0079294A" w:rsidRPr="00D0412B" w:rsidRDefault="0079294A" w:rsidP="00EF13CD">
      <w:pPr>
        <w:pStyle w:val="Kop2"/>
      </w:pPr>
      <w:bookmarkStart w:id="144" w:name="_Toc188876895"/>
      <w:bookmarkStart w:id="145" w:name="_Toc210722547"/>
      <w:bookmarkStart w:id="146" w:name="_Toc212203501"/>
      <w:bookmarkStart w:id="147" w:name="_Toc225942308"/>
      <w:r>
        <w:t>Gunning</w:t>
      </w:r>
      <w:bookmarkEnd w:id="144"/>
      <w:bookmarkEnd w:id="145"/>
      <w:bookmarkEnd w:id="146"/>
      <w:bookmarkEnd w:id="147"/>
    </w:p>
    <w:p w14:paraId="674409B1" w14:textId="27046629" w:rsidR="0079294A" w:rsidRDefault="0079294A" w:rsidP="0079294A">
      <w:pPr>
        <w:spacing w:line="240" w:lineRule="auto"/>
      </w:pPr>
      <w:r w:rsidRPr="00D0412B">
        <w:t xml:space="preserve">De </w:t>
      </w:r>
      <w:r w:rsidR="00EF13CD">
        <w:t>i</w:t>
      </w:r>
      <w:r w:rsidRPr="00D0412B">
        <w:t xml:space="preserve">nschrijver met de </w:t>
      </w:r>
      <w:r w:rsidR="009858DB">
        <w:t>laagste prijs</w:t>
      </w:r>
      <w:r w:rsidR="00CE4CCE">
        <w:t xml:space="preserve">, </w:t>
      </w:r>
      <w:r w:rsidRPr="00D0412B">
        <w:t>komt met inachtneming van het gestelde in hoofdstuk 2.9 (Mededeling van de gunningbeslissing) in aanmerking voor gunning van de opdracht.</w:t>
      </w:r>
    </w:p>
    <w:p w14:paraId="3A3B4B5F" w14:textId="2BEFB4CA" w:rsidR="00CE4CCE" w:rsidRPr="00D0412B" w:rsidRDefault="00CE4CCE" w:rsidP="0079294A">
      <w:pPr>
        <w:spacing w:line="240" w:lineRule="auto"/>
      </w:pPr>
      <w:r>
        <w:t>De laagste prijs is het resultaat van de berekening die volgt uit de prijslijst.</w:t>
      </w:r>
    </w:p>
    <w:p w14:paraId="3834C97B" w14:textId="77777777" w:rsidR="0079294A" w:rsidRPr="00D0412B" w:rsidRDefault="0079294A" w:rsidP="0079294A">
      <w:pPr>
        <w:spacing w:line="240" w:lineRule="auto"/>
      </w:pPr>
    </w:p>
    <w:p w14:paraId="1C7887A6" w14:textId="1E560E39" w:rsidR="0079294A" w:rsidRPr="00FC0BB6" w:rsidRDefault="00CE4CCE" w:rsidP="2D0FBD75">
      <w:pPr>
        <w:spacing w:line="240" w:lineRule="auto"/>
        <w:ind w:firstLine="709"/>
        <w:rPr>
          <w:strike/>
        </w:rPr>
      </w:pPr>
      <w:r>
        <w:rPr>
          <w:strike/>
        </w:rPr>
        <w:t xml:space="preserve"> </w:t>
      </w:r>
    </w:p>
    <w:p w14:paraId="48D6B9D4" w14:textId="77777777" w:rsidR="0079294A" w:rsidRPr="00D0412B" w:rsidRDefault="0079294A" w:rsidP="0079294A">
      <w:pPr>
        <w:autoSpaceDE w:val="0"/>
        <w:autoSpaceDN w:val="0"/>
        <w:adjustRightInd w:val="0"/>
        <w:spacing w:line="240" w:lineRule="auto"/>
        <w:rPr>
          <w:color w:val="FF0000"/>
        </w:rPr>
      </w:pPr>
    </w:p>
    <w:p w14:paraId="70A3D294" w14:textId="77777777" w:rsidR="0079294A" w:rsidRPr="00D0412B" w:rsidRDefault="0079294A" w:rsidP="0079294A">
      <w:pPr>
        <w:autoSpaceDE w:val="0"/>
        <w:autoSpaceDN w:val="0"/>
        <w:adjustRightInd w:val="0"/>
        <w:spacing w:line="240" w:lineRule="auto"/>
        <w:rPr>
          <w:b/>
          <w:bCs/>
        </w:rPr>
      </w:pPr>
      <w:r w:rsidRPr="00D0412B">
        <w:rPr>
          <w:b/>
          <w:bCs/>
        </w:rPr>
        <w:t xml:space="preserve">Gelijke score </w:t>
      </w:r>
    </w:p>
    <w:p w14:paraId="57D26C6E" w14:textId="629A2CA8" w:rsidR="0079294A" w:rsidRPr="00D0412B" w:rsidRDefault="0079294A" w:rsidP="0079294A">
      <w:pPr>
        <w:spacing w:line="240" w:lineRule="auto"/>
      </w:pPr>
      <w:r w:rsidRPr="00D0412B">
        <w:t>Indien inschrijvers ex aequo op de eerste plaats eindigen</w:t>
      </w:r>
      <w:r w:rsidR="0048617D">
        <w:rPr>
          <w:strike/>
        </w:rPr>
        <w:t>,</w:t>
      </w:r>
      <w:r w:rsidRPr="00D0412B">
        <w:t xml:space="preserve"> zal de gemeente overgaan tot loting. De inschrijvers (waarvoor dit relevant is) ontvangen een schriftelijke uitnodiging voor deze loting. </w:t>
      </w:r>
    </w:p>
    <w:bookmarkEnd w:id="141"/>
    <w:bookmarkEnd w:id="142"/>
    <w:p w14:paraId="297C31BA" w14:textId="4E2AF566" w:rsidR="00BA6F2C" w:rsidRDefault="00BA6F2C">
      <w:pPr>
        <w:spacing w:line="240" w:lineRule="auto"/>
        <w:rPr>
          <w:b/>
          <w:color w:val="00A685"/>
          <w:sz w:val="30"/>
          <w:szCs w:val="22"/>
        </w:rPr>
      </w:pPr>
      <w:r>
        <w:rPr>
          <w:b/>
          <w:color w:val="00A685"/>
          <w:sz w:val="30"/>
          <w:szCs w:val="22"/>
        </w:rPr>
        <w:br w:type="page"/>
      </w:r>
    </w:p>
    <w:p w14:paraId="1C8C7D7F" w14:textId="30F4C89F" w:rsidR="00B30718" w:rsidRPr="00222306" w:rsidRDefault="00701BEF" w:rsidP="004B7BF7">
      <w:pPr>
        <w:pStyle w:val="Kop1"/>
      </w:pPr>
      <w:bookmarkStart w:id="148" w:name="_Toc89681249"/>
      <w:r>
        <w:lastRenderedPageBreak/>
        <w:t xml:space="preserve">  </w:t>
      </w:r>
      <w:bookmarkStart w:id="149" w:name="_Toc225942309"/>
      <w:r w:rsidR="00B30718">
        <w:t>Controlelijst</w:t>
      </w:r>
      <w:bookmarkEnd w:id="148"/>
      <w:bookmarkEnd w:id="149"/>
    </w:p>
    <w:p w14:paraId="54B72B35" w14:textId="77777777" w:rsidR="00B30718" w:rsidRPr="00222306" w:rsidRDefault="00B30718" w:rsidP="00B30718">
      <w:pPr>
        <w:spacing w:line="240" w:lineRule="auto"/>
      </w:pPr>
      <w:r w:rsidRPr="00222306">
        <w:t>De inschrijver wordt verzocht aan de hand van deze controlelijst de stukken al dan niet aan de inschrijving toe te voegen.</w:t>
      </w:r>
    </w:p>
    <w:p w14:paraId="3DFE2C83" w14:textId="24A85D26" w:rsidR="00B30718" w:rsidRDefault="00B30718" w:rsidP="6171FF3A">
      <w:pPr>
        <w:spacing w:line="240" w:lineRule="auto"/>
      </w:pPr>
    </w:p>
    <w:p w14:paraId="6B3919FD" w14:textId="77777777" w:rsidR="00E2719C" w:rsidRPr="00222306" w:rsidRDefault="00E2719C" w:rsidP="00E2719C">
      <w:pPr>
        <w:pStyle w:val="Kop3"/>
      </w:pPr>
      <w:bookmarkStart w:id="150" w:name="_Toc225942310"/>
      <w:r>
        <w:t>In te dienen stukken</w:t>
      </w:r>
      <w:bookmarkEnd w:id="150"/>
      <w:r>
        <w:t xml:space="preserve"> </w:t>
      </w:r>
    </w:p>
    <w:tbl>
      <w:tblPr>
        <w:tblStyle w:val="GemeentePurmerend"/>
        <w:tblW w:w="8647" w:type="dxa"/>
        <w:tblLook w:val="04E0" w:firstRow="1" w:lastRow="1" w:firstColumn="1" w:lastColumn="0" w:noHBand="0" w:noVBand="1"/>
      </w:tblPr>
      <w:tblGrid>
        <w:gridCol w:w="960"/>
        <w:gridCol w:w="7687"/>
      </w:tblGrid>
      <w:tr w:rsidR="00E2719C" w:rsidRPr="00222306" w14:paraId="7D8DEE7B" w14:textId="77777777" w:rsidTr="007A21CC">
        <w:trPr>
          <w:cnfStyle w:val="100000000000" w:firstRow="1" w:lastRow="0" w:firstColumn="0" w:lastColumn="0" w:oddVBand="0" w:evenVBand="0" w:oddHBand="0" w:evenHBand="0" w:firstRowFirstColumn="0" w:firstRowLastColumn="0" w:lastRowFirstColumn="0" w:lastRowLastColumn="0"/>
          <w:trHeight w:val="227"/>
        </w:trPr>
        <w:tc>
          <w:tcPr>
            <w:tcW w:w="960" w:type="dxa"/>
            <w:tcBorders>
              <w:bottom w:val="single" w:sz="8" w:space="0" w:color="00A682"/>
            </w:tcBorders>
          </w:tcPr>
          <w:p w14:paraId="0600D677" w14:textId="77777777" w:rsidR="00E2719C" w:rsidRPr="00222306" w:rsidRDefault="00E2719C" w:rsidP="00F469B5">
            <w:pPr>
              <w:rPr>
                <w:sz w:val="20"/>
                <w:szCs w:val="20"/>
              </w:rPr>
            </w:pPr>
            <w:bookmarkStart w:id="151" w:name="_Hlk94533173"/>
            <w:r w:rsidRPr="00222306">
              <w:rPr>
                <w:sz w:val="20"/>
                <w:szCs w:val="20"/>
              </w:rPr>
              <w:t>Betreft</w:t>
            </w:r>
          </w:p>
        </w:tc>
        <w:tc>
          <w:tcPr>
            <w:tcW w:w="7687" w:type="dxa"/>
            <w:tcBorders>
              <w:bottom w:val="single" w:sz="8" w:space="0" w:color="00A682"/>
            </w:tcBorders>
          </w:tcPr>
          <w:p w14:paraId="69305085" w14:textId="77777777" w:rsidR="00E2719C" w:rsidRPr="00222306" w:rsidRDefault="00E2719C" w:rsidP="00F469B5">
            <w:pPr>
              <w:rPr>
                <w:sz w:val="20"/>
                <w:szCs w:val="20"/>
              </w:rPr>
            </w:pPr>
            <w:r w:rsidRPr="00222306">
              <w:rPr>
                <w:sz w:val="20"/>
                <w:szCs w:val="20"/>
              </w:rPr>
              <w:t>Omschrijving</w:t>
            </w:r>
          </w:p>
        </w:tc>
      </w:tr>
      <w:tr w:rsidR="00E2719C" w:rsidRPr="00222306" w14:paraId="7A9F10CD" w14:textId="77777777" w:rsidTr="007A21CC">
        <w:trPr>
          <w:trHeight w:val="227"/>
        </w:trPr>
        <w:tc>
          <w:tcPr>
            <w:tcW w:w="960" w:type="dxa"/>
            <w:tcBorders>
              <w:top w:val="single" w:sz="8" w:space="0" w:color="00A682"/>
              <w:bottom w:val="single" w:sz="2" w:space="0" w:color="CBCCCB"/>
            </w:tcBorders>
          </w:tcPr>
          <w:p w14:paraId="4902E1AA" w14:textId="37C32BD4" w:rsidR="00E2719C" w:rsidRPr="00E2719C" w:rsidRDefault="00E2719C" w:rsidP="00F469B5">
            <w:pPr>
              <w:rPr>
                <w:sz w:val="20"/>
                <w:szCs w:val="20"/>
              </w:rPr>
            </w:pPr>
            <w:r w:rsidRPr="00E2719C">
              <w:t>Bijlage</w:t>
            </w:r>
          </w:p>
        </w:tc>
        <w:tc>
          <w:tcPr>
            <w:tcW w:w="7687" w:type="dxa"/>
          </w:tcPr>
          <w:p w14:paraId="0E980FB3" w14:textId="77777777" w:rsidR="00E2719C" w:rsidRPr="00E2719C" w:rsidRDefault="00E2719C" w:rsidP="00F469B5">
            <w:pPr>
              <w:rPr>
                <w:sz w:val="20"/>
                <w:szCs w:val="20"/>
              </w:rPr>
            </w:pPr>
            <w:r w:rsidRPr="00E2719C">
              <w:t>UEA (invulbare pdf)</w:t>
            </w:r>
          </w:p>
        </w:tc>
      </w:tr>
      <w:bookmarkEnd w:id="151"/>
      <w:tr w:rsidR="00E2719C" w:rsidRPr="00222306" w14:paraId="2140320E" w14:textId="77777777" w:rsidTr="007A21CC">
        <w:trPr>
          <w:trHeight w:val="227"/>
        </w:trPr>
        <w:tc>
          <w:tcPr>
            <w:tcW w:w="960" w:type="dxa"/>
            <w:tcBorders>
              <w:top w:val="single" w:sz="2" w:space="0" w:color="CBCCCB"/>
            </w:tcBorders>
          </w:tcPr>
          <w:p w14:paraId="43549351" w14:textId="578F8CDD" w:rsidR="00E2719C" w:rsidRPr="00E2719C" w:rsidRDefault="00E2719C" w:rsidP="00F469B5">
            <w:pPr>
              <w:rPr>
                <w:sz w:val="20"/>
                <w:szCs w:val="20"/>
              </w:rPr>
            </w:pPr>
            <w:r w:rsidRPr="00E2719C">
              <w:t>Bijlage</w:t>
            </w:r>
          </w:p>
        </w:tc>
        <w:tc>
          <w:tcPr>
            <w:tcW w:w="7687" w:type="dxa"/>
          </w:tcPr>
          <w:p w14:paraId="1EA4543C" w14:textId="59B44519" w:rsidR="00E2719C" w:rsidRPr="00E2719C" w:rsidRDefault="00E2719C" w:rsidP="00F469B5">
            <w:pPr>
              <w:rPr>
                <w:sz w:val="20"/>
                <w:szCs w:val="20"/>
              </w:rPr>
            </w:pPr>
            <w:r w:rsidRPr="00E2719C">
              <w:t>Referentieopdrachten</w:t>
            </w:r>
            <w:r w:rsidR="00AF3456">
              <w:t xml:space="preserve"> met tevredenheidsverklaring</w:t>
            </w:r>
          </w:p>
        </w:tc>
      </w:tr>
      <w:tr w:rsidR="00E2719C" w:rsidRPr="00222306" w14:paraId="48ED7D40" w14:textId="77777777" w:rsidTr="007A21CC">
        <w:trPr>
          <w:trHeight w:val="227"/>
        </w:trPr>
        <w:tc>
          <w:tcPr>
            <w:tcW w:w="960" w:type="dxa"/>
            <w:tcBorders>
              <w:top w:val="single" w:sz="2" w:space="0" w:color="CBCCCB"/>
            </w:tcBorders>
          </w:tcPr>
          <w:p w14:paraId="36CCF5AA" w14:textId="7C241B9A" w:rsidR="00E2719C" w:rsidRPr="00E2719C" w:rsidRDefault="00E2719C" w:rsidP="00F469B5">
            <w:proofErr w:type="spellStart"/>
            <w:r w:rsidRPr="00E2719C">
              <w:rPr>
                <w:szCs w:val="22"/>
                <w:lang w:val="en-US"/>
              </w:rPr>
              <w:t>Bijlage</w:t>
            </w:r>
            <w:proofErr w:type="spellEnd"/>
          </w:p>
        </w:tc>
        <w:tc>
          <w:tcPr>
            <w:tcW w:w="7687" w:type="dxa"/>
          </w:tcPr>
          <w:p w14:paraId="6FF94589" w14:textId="77777777" w:rsidR="00E2719C" w:rsidRPr="00E2719C" w:rsidRDefault="00E2719C" w:rsidP="00F469B5">
            <w:r w:rsidRPr="00E2719C">
              <w:t>Verklaring geen Russische betrokkenheid</w:t>
            </w:r>
          </w:p>
        </w:tc>
      </w:tr>
      <w:tr w:rsidR="00E2719C" w:rsidRPr="00222306" w14:paraId="4D893F54" w14:textId="77777777" w:rsidTr="007A21CC">
        <w:trPr>
          <w:trHeight w:val="227"/>
        </w:trPr>
        <w:tc>
          <w:tcPr>
            <w:tcW w:w="960" w:type="dxa"/>
          </w:tcPr>
          <w:p w14:paraId="59EACA0E" w14:textId="74A0D801" w:rsidR="00E2719C" w:rsidRPr="00E2719C" w:rsidRDefault="00E2719C" w:rsidP="00F469B5">
            <w:pPr>
              <w:rPr>
                <w:sz w:val="20"/>
                <w:szCs w:val="20"/>
              </w:rPr>
            </w:pPr>
            <w:r w:rsidRPr="00E2719C">
              <w:t>Bijlage</w:t>
            </w:r>
            <w:r w:rsidR="007620F3">
              <w:t xml:space="preserve"> 1</w:t>
            </w:r>
          </w:p>
        </w:tc>
        <w:tc>
          <w:tcPr>
            <w:tcW w:w="7687" w:type="dxa"/>
          </w:tcPr>
          <w:p w14:paraId="1F5651B5" w14:textId="5EBD2ED5" w:rsidR="00E2719C" w:rsidRPr="00E2719C" w:rsidRDefault="00E2719C" w:rsidP="00F469B5">
            <w:pPr>
              <w:rPr>
                <w:sz w:val="20"/>
                <w:szCs w:val="20"/>
              </w:rPr>
            </w:pPr>
            <w:r w:rsidRPr="00E2719C">
              <w:t>Inschrijfbiljet</w:t>
            </w:r>
            <w:r w:rsidR="00725D6E">
              <w:t xml:space="preserve"> ondertekend</w:t>
            </w:r>
          </w:p>
        </w:tc>
      </w:tr>
      <w:tr w:rsidR="00E2719C" w:rsidRPr="00222306" w14:paraId="2116D252" w14:textId="77777777" w:rsidTr="007A21CC">
        <w:trPr>
          <w:cnfStyle w:val="010000000000" w:firstRow="0" w:lastRow="1" w:firstColumn="0" w:lastColumn="0" w:oddVBand="0" w:evenVBand="0" w:oddHBand="0" w:evenHBand="0" w:firstRowFirstColumn="0" w:firstRowLastColumn="0" w:lastRowFirstColumn="0" w:lastRowLastColumn="0"/>
          <w:trHeight w:val="227"/>
        </w:trPr>
        <w:tc>
          <w:tcPr>
            <w:tcW w:w="960" w:type="dxa"/>
          </w:tcPr>
          <w:p w14:paraId="254F6AA9" w14:textId="06713157" w:rsidR="00E2719C" w:rsidRPr="007A21CC" w:rsidRDefault="00E2719C" w:rsidP="00F469B5">
            <w:pPr>
              <w:rPr>
                <w:b w:val="0"/>
                <w:bCs/>
                <w:sz w:val="20"/>
                <w:szCs w:val="20"/>
              </w:rPr>
            </w:pPr>
            <w:r w:rsidRPr="007A21CC">
              <w:rPr>
                <w:b w:val="0"/>
                <w:bCs/>
              </w:rPr>
              <w:t>Bijlage</w:t>
            </w:r>
            <w:r w:rsidR="007620F3" w:rsidRPr="007A21CC">
              <w:rPr>
                <w:b w:val="0"/>
                <w:bCs/>
              </w:rPr>
              <w:t xml:space="preserve"> 2</w:t>
            </w:r>
          </w:p>
        </w:tc>
        <w:tc>
          <w:tcPr>
            <w:tcW w:w="7687" w:type="dxa"/>
          </w:tcPr>
          <w:p w14:paraId="72BB9382" w14:textId="4499FDCD" w:rsidR="00E2719C" w:rsidRPr="007A21CC" w:rsidRDefault="007620F3" w:rsidP="00F469B5">
            <w:pPr>
              <w:rPr>
                <w:b w:val="0"/>
                <w:bCs/>
                <w:sz w:val="20"/>
                <w:szCs w:val="20"/>
              </w:rPr>
            </w:pPr>
            <w:r w:rsidRPr="007A21CC">
              <w:rPr>
                <w:b w:val="0"/>
                <w:bCs/>
              </w:rPr>
              <w:t xml:space="preserve">Prijslijst DRIS </w:t>
            </w:r>
            <w:r w:rsidR="008B4725" w:rsidRPr="007A21CC">
              <w:rPr>
                <w:b w:val="0"/>
                <w:bCs/>
              </w:rPr>
              <w:t>(</w:t>
            </w:r>
            <w:r w:rsidR="00E2719C" w:rsidRPr="007A21CC">
              <w:rPr>
                <w:b w:val="0"/>
                <w:bCs/>
              </w:rPr>
              <w:t>in</w:t>
            </w:r>
            <w:r w:rsidR="008B4725" w:rsidRPr="007A21CC">
              <w:rPr>
                <w:b w:val="0"/>
                <w:bCs/>
              </w:rPr>
              <w:t xml:space="preserve"> Excel)</w:t>
            </w:r>
          </w:p>
        </w:tc>
      </w:tr>
    </w:tbl>
    <w:p w14:paraId="59A17D76" w14:textId="77777777" w:rsidR="00E2719C" w:rsidRPr="00222306" w:rsidRDefault="00E2719C" w:rsidP="6171FF3A">
      <w:pPr>
        <w:spacing w:line="240" w:lineRule="auto"/>
      </w:pPr>
    </w:p>
    <w:p w14:paraId="5AFE6658" w14:textId="51EB61CF" w:rsidR="00B30718" w:rsidRPr="00222306" w:rsidRDefault="00B30718" w:rsidP="004B7BF7">
      <w:pPr>
        <w:pStyle w:val="Kop3"/>
      </w:pPr>
      <w:bookmarkStart w:id="152" w:name="_Toc225942311"/>
      <w:r>
        <w:t>Overzicht bijlagen</w:t>
      </w:r>
      <w:bookmarkEnd w:id="152"/>
    </w:p>
    <w:tbl>
      <w:tblPr>
        <w:tblStyle w:val="GemeentePurmerend"/>
        <w:tblW w:w="8703" w:type="dxa"/>
        <w:tblLook w:val="04E0" w:firstRow="1" w:lastRow="1" w:firstColumn="1" w:lastColumn="0" w:noHBand="0" w:noVBand="1"/>
      </w:tblPr>
      <w:tblGrid>
        <w:gridCol w:w="993"/>
        <w:gridCol w:w="6750"/>
        <w:gridCol w:w="960"/>
      </w:tblGrid>
      <w:tr w:rsidR="00B30718" w:rsidRPr="00222306" w14:paraId="089C2111" w14:textId="77777777" w:rsidTr="5453FDC2">
        <w:trPr>
          <w:cnfStyle w:val="100000000000" w:firstRow="1" w:lastRow="0" w:firstColumn="0" w:lastColumn="0" w:oddVBand="0" w:evenVBand="0" w:oddHBand="0" w:evenHBand="0" w:firstRowFirstColumn="0" w:firstRowLastColumn="0" w:lastRowFirstColumn="0" w:lastRowLastColumn="0"/>
          <w:trHeight w:val="227"/>
        </w:trPr>
        <w:tc>
          <w:tcPr>
            <w:tcW w:w="993" w:type="dxa"/>
            <w:tcBorders>
              <w:bottom w:val="single" w:sz="8" w:space="0" w:color="00A682"/>
            </w:tcBorders>
          </w:tcPr>
          <w:p w14:paraId="3028392C" w14:textId="77777777" w:rsidR="00B30718" w:rsidRPr="00222306" w:rsidRDefault="00B30718" w:rsidP="003474C8">
            <w:pPr>
              <w:rPr>
                <w:sz w:val="20"/>
                <w:szCs w:val="20"/>
              </w:rPr>
            </w:pPr>
            <w:r w:rsidRPr="00222306">
              <w:rPr>
                <w:sz w:val="20"/>
                <w:szCs w:val="20"/>
              </w:rPr>
              <w:t>Betreft</w:t>
            </w:r>
          </w:p>
        </w:tc>
        <w:tc>
          <w:tcPr>
            <w:tcW w:w="6750" w:type="dxa"/>
            <w:tcBorders>
              <w:bottom w:val="single" w:sz="8" w:space="0" w:color="00A682"/>
            </w:tcBorders>
          </w:tcPr>
          <w:p w14:paraId="12261299" w14:textId="77777777" w:rsidR="00B30718" w:rsidRPr="00222306" w:rsidRDefault="00B30718" w:rsidP="003474C8">
            <w:pPr>
              <w:rPr>
                <w:sz w:val="20"/>
                <w:szCs w:val="20"/>
              </w:rPr>
            </w:pPr>
            <w:r w:rsidRPr="00222306">
              <w:rPr>
                <w:sz w:val="20"/>
                <w:szCs w:val="20"/>
              </w:rPr>
              <w:t>Omschrijving</w:t>
            </w:r>
          </w:p>
        </w:tc>
        <w:tc>
          <w:tcPr>
            <w:tcW w:w="960" w:type="dxa"/>
            <w:tcBorders>
              <w:bottom w:val="single" w:sz="8" w:space="0" w:color="00A682"/>
            </w:tcBorders>
          </w:tcPr>
          <w:p w14:paraId="59A4213E" w14:textId="3EFCC4BE" w:rsidR="00B30718" w:rsidRPr="00222306" w:rsidRDefault="00FB0991" w:rsidP="003474C8">
            <w:pPr>
              <w:rPr>
                <w:sz w:val="20"/>
                <w:szCs w:val="20"/>
              </w:rPr>
            </w:pPr>
            <w:r>
              <w:rPr>
                <w:sz w:val="20"/>
                <w:szCs w:val="20"/>
              </w:rPr>
              <w:t>P</w:t>
            </w:r>
            <w:r w:rsidR="00533C87">
              <w:rPr>
                <w:sz w:val="20"/>
                <w:szCs w:val="20"/>
              </w:rPr>
              <w:t>aragraaf</w:t>
            </w:r>
          </w:p>
        </w:tc>
      </w:tr>
      <w:tr w:rsidR="00B30718" w:rsidRPr="00222306" w14:paraId="6BD07480" w14:textId="77777777" w:rsidTr="5453FDC2">
        <w:trPr>
          <w:trHeight w:val="227"/>
        </w:trPr>
        <w:tc>
          <w:tcPr>
            <w:tcW w:w="993" w:type="dxa"/>
            <w:tcBorders>
              <w:top w:val="single" w:sz="2" w:space="0" w:color="CBCCCB"/>
            </w:tcBorders>
          </w:tcPr>
          <w:p w14:paraId="2704187A" w14:textId="23569F31" w:rsidR="00B30718" w:rsidRPr="00222306" w:rsidRDefault="00FB0991" w:rsidP="0096665A">
            <w:pPr>
              <w:rPr>
                <w:sz w:val="20"/>
                <w:szCs w:val="20"/>
              </w:rPr>
            </w:pPr>
            <w:r>
              <w:rPr>
                <w:sz w:val="20"/>
                <w:szCs w:val="20"/>
              </w:rPr>
              <w:t xml:space="preserve"> </w:t>
            </w:r>
            <w:r w:rsidR="00B30718" w:rsidRPr="6171FF3A">
              <w:rPr>
                <w:sz w:val="20"/>
                <w:szCs w:val="20"/>
              </w:rPr>
              <w:t>Bijlage</w:t>
            </w:r>
          </w:p>
        </w:tc>
        <w:tc>
          <w:tcPr>
            <w:tcW w:w="6750" w:type="dxa"/>
          </w:tcPr>
          <w:p w14:paraId="632BD9DC" w14:textId="0331D545" w:rsidR="00B30718" w:rsidRPr="00222306" w:rsidRDefault="00B30718" w:rsidP="003474C8">
            <w:pPr>
              <w:rPr>
                <w:sz w:val="20"/>
                <w:szCs w:val="20"/>
              </w:rPr>
            </w:pPr>
            <w:r w:rsidRPr="00222306">
              <w:rPr>
                <w:rFonts w:cs="Arial"/>
                <w:szCs w:val="22"/>
              </w:rPr>
              <w:t>UEA (invulbare pdf</w:t>
            </w:r>
            <w:r w:rsidR="0096665A">
              <w:rPr>
                <w:rFonts w:cs="Arial"/>
                <w:szCs w:val="22"/>
              </w:rPr>
              <w:t xml:space="preserve"> op TenderNed</w:t>
            </w:r>
            <w:r w:rsidRPr="00222306">
              <w:rPr>
                <w:rFonts w:cs="Arial"/>
                <w:szCs w:val="22"/>
              </w:rPr>
              <w:t>)</w:t>
            </w:r>
          </w:p>
        </w:tc>
        <w:tc>
          <w:tcPr>
            <w:tcW w:w="960" w:type="dxa"/>
          </w:tcPr>
          <w:p w14:paraId="2451A916" w14:textId="77777777" w:rsidR="00B30718" w:rsidRPr="00222306" w:rsidRDefault="00B30718" w:rsidP="003474C8">
            <w:pPr>
              <w:rPr>
                <w:sz w:val="20"/>
                <w:szCs w:val="20"/>
              </w:rPr>
            </w:pPr>
            <w:r w:rsidRPr="00222306">
              <w:rPr>
                <w:rFonts w:cs="Arial"/>
                <w:szCs w:val="22"/>
              </w:rPr>
              <w:t>4.1 en 4.3</w:t>
            </w:r>
          </w:p>
        </w:tc>
      </w:tr>
      <w:tr w:rsidR="00B30718" w:rsidRPr="00222306" w14:paraId="1356A5A2" w14:textId="77777777" w:rsidTr="5453FDC2">
        <w:trPr>
          <w:trHeight w:val="227"/>
        </w:trPr>
        <w:tc>
          <w:tcPr>
            <w:tcW w:w="993" w:type="dxa"/>
          </w:tcPr>
          <w:p w14:paraId="37124597" w14:textId="02146FF0" w:rsidR="00B30718" w:rsidRPr="00222306" w:rsidRDefault="00FB0991" w:rsidP="001D2B09">
            <w:pPr>
              <w:rPr>
                <w:sz w:val="20"/>
                <w:szCs w:val="20"/>
              </w:rPr>
            </w:pPr>
            <w:r>
              <w:rPr>
                <w:sz w:val="20"/>
                <w:szCs w:val="20"/>
              </w:rPr>
              <w:t xml:space="preserve"> </w:t>
            </w:r>
            <w:r w:rsidR="00B30718" w:rsidRPr="00222306">
              <w:rPr>
                <w:sz w:val="20"/>
                <w:szCs w:val="20"/>
              </w:rPr>
              <w:t>Bijlage</w:t>
            </w:r>
          </w:p>
        </w:tc>
        <w:tc>
          <w:tcPr>
            <w:tcW w:w="6750" w:type="dxa"/>
          </w:tcPr>
          <w:p w14:paraId="53048BB2" w14:textId="237433C0" w:rsidR="00B30718" w:rsidRPr="00222306" w:rsidRDefault="00182E6D" w:rsidP="003474C8">
            <w:pPr>
              <w:rPr>
                <w:sz w:val="20"/>
                <w:szCs w:val="20"/>
              </w:rPr>
            </w:pPr>
            <w:r w:rsidRPr="00182E6D">
              <w:rPr>
                <w:rFonts w:cs="Arial"/>
                <w:szCs w:val="22"/>
              </w:rPr>
              <w:t>R</w:t>
            </w:r>
            <w:r w:rsidR="00B30718" w:rsidRPr="00182E6D">
              <w:rPr>
                <w:rFonts w:cs="Arial"/>
                <w:szCs w:val="22"/>
              </w:rPr>
              <w:t>eferentieopdracht</w:t>
            </w:r>
            <w:r w:rsidR="009461C3">
              <w:rPr>
                <w:rFonts w:cs="Arial"/>
                <w:szCs w:val="22"/>
              </w:rPr>
              <w:t>(</w:t>
            </w:r>
            <w:r w:rsidR="00B30718" w:rsidRPr="00182E6D">
              <w:rPr>
                <w:rFonts w:cs="Arial"/>
                <w:szCs w:val="22"/>
              </w:rPr>
              <w:t>en</w:t>
            </w:r>
            <w:r w:rsidR="009461C3">
              <w:rPr>
                <w:rFonts w:cs="Arial"/>
                <w:szCs w:val="22"/>
              </w:rPr>
              <w:t>)</w:t>
            </w:r>
            <w:r>
              <w:rPr>
                <w:rFonts w:cs="Arial"/>
                <w:szCs w:val="22"/>
              </w:rPr>
              <w:t xml:space="preserve"> Ervaring t.b.v. DRIS-display</w:t>
            </w:r>
          </w:p>
        </w:tc>
        <w:tc>
          <w:tcPr>
            <w:tcW w:w="960" w:type="dxa"/>
          </w:tcPr>
          <w:p w14:paraId="706FFD55" w14:textId="5572F4B0" w:rsidR="00B30718" w:rsidRPr="00222306" w:rsidRDefault="00B30718" w:rsidP="003474C8">
            <w:pPr>
              <w:rPr>
                <w:sz w:val="20"/>
                <w:szCs w:val="20"/>
              </w:rPr>
            </w:pPr>
            <w:r w:rsidRPr="00182E6D">
              <w:rPr>
                <w:rFonts w:cs="Arial"/>
                <w:szCs w:val="22"/>
              </w:rPr>
              <w:t>4.2</w:t>
            </w:r>
            <w:r w:rsidR="00182E6D" w:rsidRPr="00182E6D">
              <w:rPr>
                <w:rFonts w:cs="Arial"/>
                <w:szCs w:val="22"/>
              </w:rPr>
              <w:t>.1</w:t>
            </w:r>
          </w:p>
        </w:tc>
      </w:tr>
      <w:tr w:rsidR="007A5E6B" w:rsidRPr="00222306" w14:paraId="3D9EC06D" w14:textId="77777777" w:rsidTr="5453FDC2">
        <w:trPr>
          <w:trHeight w:val="227"/>
        </w:trPr>
        <w:tc>
          <w:tcPr>
            <w:tcW w:w="993" w:type="dxa"/>
          </w:tcPr>
          <w:p w14:paraId="661C0674" w14:textId="65170587" w:rsidR="007A5E6B" w:rsidRPr="001D2B09" w:rsidRDefault="00FB0991" w:rsidP="6171FF3A">
            <w:pPr>
              <w:rPr>
                <w:sz w:val="20"/>
                <w:szCs w:val="20"/>
              </w:rPr>
            </w:pPr>
            <w:r>
              <w:rPr>
                <w:sz w:val="20"/>
                <w:szCs w:val="20"/>
              </w:rPr>
              <w:t xml:space="preserve"> </w:t>
            </w:r>
            <w:r w:rsidR="63895504" w:rsidRPr="001D2B09">
              <w:rPr>
                <w:sz w:val="20"/>
                <w:szCs w:val="20"/>
              </w:rPr>
              <w:t>Bijlage</w:t>
            </w:r>
          </w:p>
        </w:tc>
        <w:tc>
          <w:tcPr>
            <w:tcW w:w="6750" w:type="dxa"/>
          </w:tcPr>
          <w:p w14:paraId="5C307E35" w14:textId="312690B2" w:rsidR="007A5E6B" w:rsidRPr="00222306" w:rsidRDefault="63895504" w:rsidP="6171FF3A">
            <w:pPr>
              <w:rPr>
                <w:rFonts w:cs="Arial"/>
              </w:rPr>
            </w:pPr>
            <w:r>
              <w:t>Verklaring geen Russische betrokkenheid</w:t>
            </w:r>
          </w:p>
        </w:tc>
        <w:tc>
          <w:tcPr>
            <w:tcW w:w="960" w:type="dxa"/>
          </w:tcPr>
          <w:p w14:paraId="4B66B0F0" w14:textId="76D3B3CD" w:rsidR="007A5E6B" w:rsidRPr="00222306" w:rsidRDefault="3236840A" w:rsidP="6171FF3A">
            <w:pPr>
              <w:rPr>
                <w:rFonts w:cs="Arial"/>
              </w:rPr>
            </w:pPr>
            <w:r w:rsidRPr="6171FF3A">
              <w:rPr>
                <w:rFonts w:cs="Arial"/>
              </w:rPr>
              <w:t>4.1.2</w:t>
            </w:r>
          </w:p>
        </w:tc>
      </w:tr>
      <w:tr w:rsidR="6171FF3A" w14:paraId="2D981A25" w14:textId="77777777" w:rsidTr="5453FDC2">
        <w:trPr>
          <w:trHeight w:val="227"/>
        </w:trPr>
        <w:tc>
          <w:tcPr>
            <w:tcW w:w="993" w:type="dxa"/>
          </w:tcPr>
          <w:p w14:paraId="0D69AB58" w14:textId="3F3C06DA" w:rsidR="2C625324" w:rsidRPr="001D2B09" w:rsidRDefault="00FB0991" w:rsidP="6171FF3A">
            <w:pPr>
              <w:rPr>
                <w:sz w:val="20"/>
                <w:szCs w:val="20"/>
              </w:rPr>
            </w:pPr>
            <w:r>
              <w:rPr>
                <w:sz w:val="20"/>
                <w:szCs w:val="20"/>
              </w:rPr>
              <w:t xml:space="preserve"> </w:t>
            </w:r>
            <w:r w:rsidR="2C625324" w:rsidRPr="001D2B09">
              <w:rPr>
                <w:sz w:val="20"/>
                <w:szCs w:val="20"/>
              </w:rPr>
              <w:t>Bijlage</w:t>
            </w:r>
          </w:p>
        </w:tc>
        <w:tc>
          <w:tcPr>
            <w:tcW w:w="6750" w:type="dxa"/>
          </w:tcPr>
          <w:p w14:paraId="71814438" w14:textId="27FAA26F" w:rsidR="2C625324" w:rsidRDefault="2C625324" w:rsidP="6171FF3A">
            <w:pPr>
              <w:rPr>
                <w:rFonts w:cs="Arial"/>
              </w:rPr>
            </w:pPr>
            <w:r w:rsidRPr="6171FF3A">
              <w:rPr>
                <w:rFonts w:cs="Arial"/>
              </w:rPr>
              <w:t xml:space="preserve">Model K </w:t>
            </w:r>
            <w:r w:rsidR="3419400D" w:rsidRPr="6171FF3A">
              <w:rPr>
                <w:rFonts w:eastAsia="Corbel" w:cs="Corbel"/>
                <w:szCs w:val="22"/>
              </w:rPr>
              <w:t>Verklaring bestuurder omtrent rechtmatigheid inschrijving</w:t>
            </w:r>
          </w:p>
        </w:tc>
        <w:tc>
          <w:tcPr>
            <w:tcW w:w="960" w:type="dxa"/>
          </w:tcPr>
          <w:p w14:paraId="5CED813A" w14:textId="26538F1D" w:rsidR="2C625324" w:rsidRDefault="2C625324" w:rsidP="6171FF3A">
            <w:pPr>
              <w:rPr>
                <w:rFonts w:cs="Arial"/>
              </w:rPr>
            </w:pPr>
            <w:r w:rsidRPr="6171FF3A">
              <w:rPr>
                <w:rFonts w:cs="Arial"/>
              </w:rPr>
              <w:t>3.1</w:t>
            </w:r>
          </w:p>
        </w:tc>
      </w:tr>
      <w:tr w:rsidR="6171FF3A" w14:paraId="1D022253" w14:textId="77777777" w:rsidTr="5453FDC2">
        <w:trPr>
          <w:trHeight w:val="227"/>
        </w:trPr>
        <w:tc>
          <w:tcPr>
            <w:tcW w:w="993" w:type="dxa"/>
          </w:tcPr>
          <w:p w14:paraId="18550303" w14:textId="7CDFBEDF" w:rsidR="6171FF3A" w:rsidRPr="001D2B09" w:rsidRDefault="00FB0991">
            <w:pPr>
              <w:rPr>
                <w:sz w:val="20"/>
                <w:szCs w:val="20"/>
              </w:rPr>
            </w:pPr>
            <w:r>
              <w:rPr>
                <w:sz w:val="20"/>
                <w:szCs w:val="20"/>
              </w:rPr>
              <w:t xml:space="preserve"> </w:t>
            </w:r>
            <w:r w:rsidR="6171FF3A" w:rsidRPr="001D2B09">
              <w:rPr>
                <w:sz w:val="20"/>
                <w:szCs w:val="20"/>
              </w:rPr>
              <w:t>Bijlage</w:t>
            </w:r>
          </w:p>
        </w:tc>
        <w:tc>
          <w:tcPr>
            <w:tcW w:w="6750" w:type="dxa"/>
          </w:tcPr>
          <w:p w14:paraId="2C165F0A" w14:textId="107E1E66" w:rsidR="6171FF3A" w:rsidRDefault="6171FF3A" w:rsidP="6171FF3A">
            <w:pPr>
              <w:rPr>
                <w:rFonts w:cs="Arial"/>
                <w:highlight w:val="lightGray"/>
              </w:rPr>
            </w:pPr>
            <w:r>
              <w:t>KMA klachtenregeling 202</w:t>
            </w:r>
            <w:r w:rsidR="004C30BF">
              <w:t>3</w:t>
            </w:r>
            <w:r>
              <w:t xml:space="preserve"> v1.0</w:t>
            </w:r>
          </w:p>
        </w:tc>
        <w:tc>
          <w:tcPr>
            <w:tcW w:w="960" w:type="dxa"/>
          </w:tcPr>
          <w:p w14:paraId="57F81527" w14:textId="4E86205F" w:rsidR="74AF97F7" w:rsidRDefault="74AF97F7" w:rsidP="6171FF3A">
            <w:pPr>
              <w:rPr>
                <w:rFonts w:cs="Arial"/>
              </w:rPr>
            </w:pPr>
            <w:r w:rsidRPr="6171FF3A">
              <w:rPr>
                <w:rFonts w:cs="Arial"/>
              </w:rPr>
              <w:t>2.10</w:t>
            </w:r>
          </w:p>
        </w:tc>
      </w:tr>
      <w:tr w:rsidR="00FB0991" w14:paraId="6205692D" w14:textId="77777777" w:rsidTr="5453FDC2">
        <w:trPr>
          <w:trHeight w:val="227"/>
        </w:trPr>
        <w:tc>
          <w:tcPr>
            <w:tcW w:w="993" w:type="dxa"/>
          </w:tcPr>
          <w:p w14:paraId="780E8ADB" w14:textId="23DCAFCD" w:rsidR="00FB0991" w:rsidRDefault="00FB0991">
            <w:pPr>
              <w:rPr>
                <w:sz w:val="20"/>
                <w:szCs w:val="20"/>
              </w:rPr>
            </w:pPr>
            <w:r>
              <w:rPr>
                <w:sz w:val="20"/>
                <w:szCs w:val="20"/>
              </w:rPr>
              <w:t xml:space="preserve"> Bijlage</w:t>
            </w:r>
          </w:p>
        </w:tc>
        <w:tc>
          <w:tcPr>
            <w:tcW w:w="6750" w:type="dxa"/>
          </w:tcPr>
          <w:p w14:paraId="60F1E958" w14:textId="62F40EA9" w:rsidR="00FB0991" w:rsidRDefault="00FB0991" w:rsidP="6171FF3A">
            <w:r>
              <w:rPr>
                <w:rFonts w:cs="Arial"/>
                <w:szCs w:val="22"/>
              </w:rPr>
              <w:t>Concept wachtkamerovereenkomst</w:t>
            </w:r>
          </w:p>
        </w:tc>
        <w:tc>
          <w:tcPr>
            <w:tcW w:w="960" w:type="dxa"/>
          </w:tcPr>
          <w:p w14:paraId="3B91C37D" w14:textId="243C1E6B" w:rsidR="00FB0991" w:rsidRPr="6171FF3A" w:rsidRDefault="002D3114" w:rsidP="6171FF3A">
            <w:pPr>
              <w:rPr>
                <w:rFonts w:cs="Arial"/>
              </w:rPr>
            </w:pPr>
            <w:r>
              <w:rPr>
                <w:rFonts w:cs="Arial"/>
              </w:rPr>
              <w:t>1.4</w:t>
            </w:r>
          </w:p>
        </w:tc>
      </w:tr>
      <w:tr w:rsidR="00253F01" w14:paraId="7FCB4E5C" w14:textId="77777777" w:rsidTr="5453FDC2">
        <w:trPr>
          <w:trHeight w:val="227"/>
        </w:trPr>
        <w:tc>
          <w:tcPr>
            <w:tcW w:w="993" w:type="dxa"/>
          </w:tcPr>
          <w:p w14:paraId="467C127A" w14:textId="557539B1" w:rsidR="00253F01" w:rsidRDefault="00253F01">
            <w:pPr>
              <w:rPr>
                <w:sz w:val="20"/>
                <w:szCs w:val="20"/>
              </w:rPr>
            </w:pPr>
            <w:r>
              <w:rPr>
                <w:sz w:val="20"/>
                <w:szCs w:val="20"/>
              </w:rPr>
              <w:t>Bijlage</w:t>
            </w:r>
          </w:p>
        </w:tc>
        <w:tc>
          <w:tcPr>
            <w:tcW w:w="6750" w:type="dxa"/>
          </w:tcPr>
          <w:p w14:paraId="20DDAA97" w14:textId="5FD5645E" w:rsidR="00253F01" w:rsidRDefault="00253F01" w:rsidP="6171FF3A">
            <w:pPr>
              <w:rPr>
                <w:rFonts w:cs="Arial"/>
                <w:szCs w:val="22"/>
              </w:rPr>
            </w:pPr>
            <w:r>
              <w:rPr>
                <w:rFonts w:cs="Arial"/>
                <w:szCs w:val="22"/>
              </w:rPr>
              <w:t>Model Concerngarantie</w:t>
            </w:r>
          </w:p>
        </w:tc>
        <w:tc>
          <w:tcPr>
            <w:tcW w:w="960" w:type="dxa"/>
          </w:tcPr>
          <w:p w14:paraId="72E61548" w14:textId="42107529" w:rsidR="001C1BED" w:rsidRDefault="00253F01" w:rsidP="6171FF3A">
            <w:pPr>
              <w:rPr>
                <w:rFonts w:cs="Arial"/>
              </w:rPr>
            </w:pPr>
            <w:r>
              <w:rPr>
                <w:rFonts w:cs="Arial"/>
              </w:rPr>
              <w:t>3.1</w:t>
            </w:r>
          </w:p>
        </w:tc>
      </w:tr>
      <w:tr w:rsidR="00377787" w14:paraId="3AE416B5" w14:textId="77777777" w:rsidTr="5453FDC2">
        <w:trPr>
          <w:trHeight w:val="227"/>
        </w:trPr>
        <w:tc>
          <w:tcPr>
            <w:tcW w:w="993" w:type="dxa"/>
          </w:tcPr>
          <w:p w14:paraId="1C302D9F" w14:textId="2EAA5D82" w:rsidR="00377787" w:rsidRPr="001D2B09" w:rsidRDefault="00FB0991">
            <w:pPr>
              <w:rPr>
                <w:sz w:val="20"/>
                <w:szCs w:val="20"/>
              </w:rPr>
            </w:pPr>
            <w:r>
              <w:rPr>
                <w:sz w:val="20"/>
                <w:szCs w:val="20"/>
              </w:rPr>
              <w:t xml:space="preserve"> </w:t>
            </w:r>
            <w:r w:rsidR="00377787">
              <w:rPr>
                <w:sz w:val="20"/>
                <w:szCs w:val="20"/>
              </w:rPr>
              <w:t>Bijlage 1</w:t>
            </w:r>
          </w:p>
        </w:tc>
        <w:tc>
          <w:tcPr>
            <w:tcW w:w="6750" w:type="dxa"/>
          </w:tcPr>
          <w:p w14:paraId="7F52E3C1" w14:textId="6EC73830" w:rsidR="00377787" w:rsidRDefault="00377787" w:rsidP="6171FF3A">
            <w:r>
              <w:t>Inschrij</w:t>
            </w:r>
            <w:r w:rsidR="00E2719C">
              <w:t>f</w:t>
            </w:r>
            <w:r>
              <w:t>biljet</w:t>
            </w:r>
          </w:p>
        </w:tc>
        <w:tc>
          <w:tcPr>
            <w:tcW w:w="960" w:type="dxa"/>
          </w:tcPr>
          <w:p w14:paraId="29F86FC1" w14:textId="4E16E290" w:rsidR="00377787" w:rsidRPr="6171FF3A" w:rsidRDefault="008B4725" w:rsidP="6171FF3A">
            <w:pPr>
              <w:rPr>
                <w:rFonts w:cs="Arial"/>
              </w:rPr>
            </w:pPr>
            <w:r>
              <w:rPr>
                <w:rFonts w:cs="Arial"/>
              </w:rPr>
              <w:t>5.5</w:t>
            </w:r>
          </w:p>
        </w:tc>
      </w:tr>
      <w:tr w:rsidR="00377787" w14:paraId="0E03238C" w14:textId="77777777" w:rsidTr="5453FDC2">
        <w:trPr>
          <w:trHeight w:val="227"/>
        </w:trPr>
        <w:tc>
          <w:tcPr>
            <w:tcW w:w="993" w:type="dxa"/>
          </w:tcPr>
          <w:p w14:paraId="3BABDA57" w14:textId="58D21EAA" w:rsidR="00377787" w:rsidRDefault="00FB0991">
            <w:pPr>
              <w:rPr>
                <w:sz w:val="20"/>
                <w:szCs w:val="20"/>
              </w:rPr>
            </w:pPr>
            <w:r>
              <w:rPr>
                <w:sz w:val="20"/>
                <w:szCs w:val="20"/>
              </w:rPr>
              <w:t xml:space="preserve"> </w:t>
            </w:r>
            <w:r w:rsidR="00377787">
              <w:rPr>
                <w:sz w:val="20"/>
                <w:szCs w:val="20"/>
              </w:rPr>
              <w:t>Bijlage</w:t>
            </w:r>
            <w:r w:rsidR="00531E45">
              <w:rPr>
                <w:sz w:val="20"/>
                <w:szCs w:val="20"/>
              </w:rPr>
              <w:t xml:space="preserve"> 2</w:t>
            </w:r>
          </w:p>
        </w:tc>
        <w:tc>
          <w:tcPr>
            <w:tcW w:w="6750" w:type="dxa"/>
          </w:tcPr>
          <w:p w14:paraId="4AE404E3" w14:textId="69759097" w:rsidR="001712CC" w:rsidRDefault="007620F3" w:rsidP="6171FF3A">
            <w:r>
              <w:t>P</w:t>
            </w:r>
            <w:r w:rsidR="001712CC">
              <w:t>rijslijst</w:t>
            </w:r>
            <w:r w:rsidR="006C07C6">
              <w:t xml:space="preserve"> DRIS</w:t>
            </w:r>
          </w:p>
        </w:tc>
        <w:tc>
          <w:tcPr>
            <w:tcW w:w="960" w:type="dxa"/>
          </w:tcPr>
          <w:p w14:paraId="289C44AB" w14:textId="5EEF8A0D" w:rsidR="00377787" w:rsidRPr="6171FF3A" w:rsidRDefault="008B4725" w:rsidP="6171FF3A">
            <w:pPr>
              <w:rPr>
                <w:rFonts w:cs="Arial"/>
              </w:rPr>
            </w:pPr>
            <w:r>
              <w:rPr>
                <w:rFonts w:cs="Arial"/>
              </w:rPr>
              <w:t>5.5</w:t>
            </w:r>
          </w:p>
        </w:tc>
      </w:tr>
      <w:tr w:rsidR="00410AE4" w14:paraId="2205D3D2" w14:textId="77777777" w:rsidTr="5453FDC2">
        <w:trPr>
          <w:trHeight w:val="227"/>
        </w:trPr>
        <w:tc>
          <w:tcPr>
            <w:tcW w:w="993" w:type="dxa"/>
          </w:tcPr>
          <w:p w14:paraId="4C3356ED" w14:textId="0FEF42D1" w:rsidR="00410AE4" w:rsidRDefault="00FB0991" w:rsidP="00410AE4">
            <w:pPr>
              <w:rPr>
                <w:sz w:val="20"/>
                <w:szCs w:val="20"/>
              </w:rPr>
            </w:pPr>
            <w:r>
              <w:rPr>
                <w:sz w:val="20"/>
                <w:szCs w:val="20"/>
              </w:rPr>
              <w:t xml:space="preserve"> </w:t>
            </w:r>
            <w:r w:rsidR="00410AE4">
              <w:rPr>
                <w:sz w:val="20"/>
                <w:szCs w:val="20"/>
              </w:rPr>
              <w:t>Bijlage 3</w:t>
            </w:r>
          </w:p>
        </w:tc>
        <w:tc>
          <w:tcPr>
            <w:tcW w:w="6750" w:type="dxa"/>
          </w:tcPr>
          <w:p w14:paraId="689AACB8" w14:textId="0FBABC45" w:rsidR="00410AE4" w:rsidRDefault="00410AE4" w:rsidP="00410AE4">
            <w:r w:rsidRPr="0061241D">
              <w:t xml:space="preserve">Concept </w:t>
            </w:r>
            <w:r w:rsidR="008928CF">
              <w:t xml:space="preserve"> </w:t>
            </w:r>
            <w:r w:rsidRPr="0061241D">
              <w:t>overeenkomst</w:t>
            </w:r>
            <w:r w:rsidR="00E7322D" w:rsidRPr="0061241D">
              <w:t xml:space="preserve"> DRIS-displays</w:t>
            </w:r>
            <w:r w:rsidR="70E62C60" w:rsidRPr="0061241D">
              <w:t xml:space="preserve"> v1.0</w:t>
            </w:r>
          </w:p>
        </w:tc>
        <w:tc>
          <w:tcPr>
            <w:tcW w:w="960" w:type="dxa"/>
          </w:tcPr>
          <w:p w14:paraId="10E0FAE5" w14:textId="1C171982" w:rsidR="00410AE4" w:rsidRPr="6171FF3A" w:rsidRDefault="1052782A" w:rsidP="00410AE4">
            <w:pPr>
              <w:rPr>
                <w:rFonts w:cs="Arial"/>
              </w:rPr>
            </w:pPr>
            <w:r w:rsidRPr="4E04A93B">
              <w:rPr>
                <w:rFonts w:cs="Arial"/>
              </w:rPr>
              <w:t>1.3</w:t>
            </w:r>
          </w:p>
        </w:tc>
      </w:tr>
      <w:tr w:rsidR="008928CF" w14:paraId="14FC63D6" w14:textId="77777777" w:rsidTr="5453FDC2">
        <w:trPr>
          <w:trHeight w:val="227"/>
        </w:trPr>
        <w:tc>
          <w:tcPr>
            <w:tcW w:w="993" w:type="dxa"/>
          </w:tcPr>
          <w:p w14:paraId="7B8462DC" w14:textId="0671ACE1" w:rsidR="008928CF" w:rsidRDefault="008928CF" w:rsidP="008928CF">
            <w:pPr>
              <w:rPr>
                <w:sz w:val="20"/>
                <w:szCs w:val="20"/>
              </w:rPr>
            </w:pPr>
            <w:r>
              <w:rPr>
                <w:sz w:val="20"/>
                <w:szCs w:val="20"/>
              </w:rPr>
              <w:t xml:space="preserve"> Bijlage </w:t>
            </w:r>
            <w:r>
              <w:rPr>
                <w:sz w:val="20"/>
                <w:szCs w:val="20"/>
              </w:rPr>
              <w:t>4</w:t>
            </w:r>
          </w:p>
        </w:tc>
        <w:tc>
          <w:tcPr>
            <w:tcW w:w="6750" w:type="dxa"/>
          </w:tcPr>
          <w:p w14:paraId="20D18730" w14:textId="2FD69FA6" w:rsidR="008928CF" w:rsidRDefault="008928CF" w:rsidP="008928CF">
            <w:r>
              <w:t>Beheervariabelen</w:t>
            </w:r>
          </w:p>
        </w:tc>
        <w:tc>
          <w:tcPr>
            <w:tcW w:w="960" w:type="dxa"/>
          </w:tcPr>
          <w:p w14:paraId="213BFA41" w14:textId="21252EAC" w:rsidR="008928CF" w:rsidRPr="6171FF3A" w:rsidRDefault="008928CF" w:rsidP="008928CF">
            <w:pPr>
              <w:rPr>
                <w:rFonts w:cs="Arial"/>
              </w:rPr>
            </w:pPr>
            <w:r>
              <w:rPr>
                <w:rFonts w:cs="Arial"/>
              </w:rPr>
              <w:t>1.3</w:t>
            </w:r>
          </w:p>
        </w:tc>
      </w:tr>
      <w:tr w:rsidR="008928CF" w14:paraId="4AF5DB5E" w14:textId="77777777" w:rsidTr="5453FDC2">
        <w:trPr>
          <w:trHeight w:val="227"/>
        </w:trPr>
        <w:tc>
          <w:tcPr>
            <w:tcW w:w="993" w:type="dxa"/>
          </w:tcPr>
          <w:p w14:paraId="36A174FB" w14:textId="2F912953" w:rsidR="008928CF" w:rsidRDefault="008928CF" w:rsidP="008928CF">
            <w:pPr>
              <w:rPr>
                <w:sz w:val="20"/>
                <w:szCs w:val="20"/>
              </w:rPr>
            </w:pPr>
            <w:r>
              <w:rPr>
                <w:sz w:val="20"/>
                <w:szCs w:val="20"/>
              </w:rPr>
              <w:t xml:space="preserve"> Bijlage </w:t>
            </w:r>
            <w:r>
              <w:rPr>
                <w:sz w:val="20"/>
                <w:szCs w:val="20"/>
              </w:rPr>
              <w:t>5</w:t>
            </w:r>
          </w:p>
        </w:tc>
        <w:tc>
          <w:tcPr>
            <w:tcW w:w="6750" w:type="dxa"/>
          </w:tcPr>
          <w:p w14:paraId="6B11A164" w14:textId="5213D4B3" w:rsidR="008928CF" w:rsidRDefault="008928CF" w:rsidP="008928CF">
            <w:r>
              <w:t>Dossier Afspraken en Procedures Haltesystemen v1.0</w:t>
            </w:r>
          </w:p>
        </w:tc>
        <w:tc>
          <w:tcPr>
            <w:tcW w:w="960" w:type="dxa"/>
          </w:tcPr>
          <w:p w14:paraId="1E695BDC" w14:textId="0FFB4B28" w:rsidR="008928CF" w:rsidRPr="6171FF3A" w:rsidRDefault="008928CF" w:rsidP="008928CF">
            <w:pPr>
              <w:rPr>
                <w:rFonts w:cs="Arial"/>
              </w:rPr>
            </w:pPr>
          </w:p>
        </w:tc>
      </w:tr>
      <w:tr w:rsidR="008928CF" w14:paraId="3D010EB9" w14:textId="77777777" w:rsidTr="5453FDC2">
        <w:trPr>
          <w:trHeight w:val="227"/>
        </w:trPr>
        <w:tc>
          <w:tcPr>
            <w:tcW w:w="993" w:type="dxa"/>
          </w:tcPr>
          <w:p w14:paraId="32EBC090" w14:textId="4D20B2D8" w:rsidR="008928CF" w:rsidRDefault="008928CF" w:rsidP="008928CF">
            <w:pPr>
              <w:rPr>
                <w:sz w:val="20"/>
                <w:szCs w:val="20"/>
              </w:rPr>
            </w:pPr>
            <w:r>
              <w:rPr>
                <w:sz w:val="20"/>
                <w:szCs w:val="20"/>
              </w:rPr>
              <w:t xml:space="preserve"> Bijlage </w:t>
            </w:r>
            <w:r>
              <w:rPr>
                <w:sz w:val="20"/>
                <w:szCs w:val="20"/>
              </w:rPr>
              <w:t>6</w:t>
            </w:r>
          </w:p>
        </w:tc>
        <w:tc>
          <w:tcPr>
            <w:tcW w:w="6750" w:type="dxa"/>
          </w:tcPr>
          <w:p w14:paraId="1947204B" w14:textId="1C26D27B" w:rsidR="008928CF" w:rsidRDefault="008928CF" w:rsidP="008928CF">
            <w:r>
              <w:t>Programma van eisen DRIS-displays</w:t>
            </w:r>
          </w:p>
        </w:tc>
        <w:tc>
          <w:tcPr>
            <w:tcW w:w="960" w:type="dxa"/>
          </w:tcPr>
          <w:p w14:paraId="58AE97C4" w14:textId="39199E74" w:rsidR="008928CF" w:rsidRPr="6171FF3A" w:rsidRDefault="008928CF" w:rsidP="008928CF">
            <w:pPr>
              <w:rPr>
                <w:rFonts w:cs="Arial"/>
              </w:rPr>
            </w:pPr>
          </w:p>
        </w:tc>
      </w:tr>
      <w:tr w:rsidR="008928CF" w14:paraId="23EF1D37" w14:textId="77777777" w:rsidTr="5453FDC2">
        <w:trPr>
          <w:trHeight w:val="227"/>
        </w:trPr>
        <w:tc>
          <w:tcPr>
            <w:tcW w:w="993" w:type="dxa"/>
          </w:tcPr>
          <w:p w14:paraId="1CE75D8D" w14:textId="0D47ECAB" w:rsidR="008928CF" w:rsidRDefault="008928CF" w:rsidP="008928CF">
            <w:pPr>
              <w:rPr>
                <w:sz w:val="20"/>
                <w:szCs w:val="20"/>
              </w:rPr>
            </w:pPr>
            <w:r>
              <w:rPr>
                <w:sz w:val="20"/>
                <w:szCs w:val="20"/>
              </w:rPr>
              <w:t xml:space="preserve"> Bijlage </w:t>
            </w:r>
            <w:r>
              <w:rPr>
                <w:sz w:val="20"/>
                <w:szCs w:val="20"/>
              </w:rPr>
              <w:t>7</w:t>
            </w:r>
          </w:p>
        </w:tc>
        <w:tc>
          <w:tcPr>
            <w:tcW w:w="6750" w:type="dxa"/>
          </w:tcPr>
          <w:p w14:paraId="72FCBB54" w14:textId="66AF0FA2" w:rsidR="008928CF" w:rsidRDefault="008928CF" w:rsidP="008928CF">
            <w:r>
              <w:t>ARBIT-2022</w:t>
            </w:r>
          </w:p>
        </w:tc>
        <w:tc>
          <w:tcPr>
            <w:tcW w:w="960" w:type="dxa"/>
          </w:tcPr>
          <w:p w14:paraId="64AB8A8D" w14:textId="06363007" w:rsidR="008928CF" w:rsidRPr="6171FF3A" w:rsidRDefault="0078498D" w:rsidP="008928CF">
            <w:pPr>
              <w:rPr>
                <w:rFonts w:cs="Arial"/>
              </w:rPr>
            </w:pPr>
            <w:r>
              <w:rPr>
                <w:rFonts w:cs="Arial"/>
              </w:rPr>
              <w:t>1.1</w:t>
            </w:r>
          </w:p>
        </w:tc>
      </w:tr>
      <w:tr w:rsidR="008928CF" w14:paraId="00DEEE6D" w14:textId="77777777" w:rsidTr="5453FDC2">
        <w:trPr>
          <w:trHeight w:val="227"/>
        </w:trPr>
        <w:tc>
          <w:tcPr>
            <w:tcW w:w="993" w:type="dxa"/>
          </w:tcPr>
          <w:p w14:paraId="3A42E839" w14:textId="2125AB40" w:rsidR="008928CF" w:rsidRDefault="008928CF" w:rsidP="008928CF">
            <w:pPr>
              <w:rPr>
                <w:sz w:val="20"/>
                <w:szCs w:val="20"/>
              </w:rPr>
            </w:pPr>
          </w:p>
        </w:tc>
        <w:tc>
          <w:tcPr>
            <w:tcW w:w="6750" w:type="dxa"/>
          </w:tcPr>
          <w:p w14:paraId="33D3AF8B" w14:textId="61F578BC" w:rsidR="008928CF" w:rsidRDefault="008928CF" w:rsidP="008928CF"/>
        </w:tc>
        <w:tc>
          <w:tcPr>
            <w:tcW w:w="960" w:type="dxa"/>
          </w:tcPr>
          <w:p w14:paraId="5B02435B" w14:textId="624C0E4A" w:rsidR="008928CF" w:rsidRPr="6171FF3A" w:rsidRDefault="008928CF" w:rsidP="008928CF">
            <w:pPr>
              <w:rPr>
                <w:rFonts w:cs="Arial"/>
              </w:rPr>
            </w:pPr>
          </w:p>
        </w:tc>
      </w:tr>
      <w:tr w:rsidR="008928CF" w:rsidRPr="00222306" w14:paraId="6F148C0F" w14:textId="77777777" w:rsidTr="5453FDC2">
        <w:trPr>
          <w:cnfStyle w:val="010000000000" w:firstRow="0" w:lastRow="1" w:firstColumn="0" w:lastColumn="0" w:oddVBand="0" w:evenVBand="0" w:oddHBand="0" w:evenHBand="0" w:firstRowFirstColumn="0" w:firstRowLastColumn="0" w:lastRowFirstColumn="0" w:lastRowLastColumn="0"/>
          <w:trHeight w:val="227"/>
        </w:trPr>
        <w:tc>
          <w:tcPr>
            <w:tcW w:w="993" w:type="dxa"/>
          </w:tcPr>
          <w:p w14:paraId="7E25C357" w14:textId="443E44EF" w:rsidR="008928CF" w:rsidRPr="001C1BED" w:rsidRDefault="008928CF" w:rsidP="008928CF">
            <w:pPr>
              <w:rPr>
                <w:sz w:val="20"/>
                <w:szCs w:val="20"/>
                <w:highlight w:val="yellow"/>
              </w:rPr>
            </w:pPr>
            <w:r>
              <w:rPr>
                <w:sz w:val="20"/>
                <w:szCs w:val="20"/>
                <w:highlight w:val="yellow"/>
              </w:rPr>
              <w:t xml:space="preserve"> </w:t>
            </w:r>
          </w:p>
        </w:tc>
        <w:tc>
          <w:tcPr>
            <w:tcW w:w="6750" w:type="dxa"/>
          </w:tcPr>
          <w:p w14:paraId="09C3D8A5" w14:textId="7DB75678" w:rsidR="008928CF" w:rsidRPr="001C1BED" w:rsidRDefault="008928CF" w:rsidP="008928CF">
            <w:pPr>
              <w:rPr>
                <w:sz w:val="20"/>
                <w:szCs w:val="20"/>
                <w:highlight w:val="yellow"/>
              </w:rPr>
            </w:pPr>
            <w:r>
              <w:rPr>
                <w:sz w:val="20"/>
                <w:szCs w:val="20"/>
                <w:highlight w:val="yellow"/>
              </w:rPr>
              <w:t xml:space="preserve"> </w:t>
            </w:r>
            <w:r w:rsidRPr="001C1BED">
              <w:rPr>
                <w:sz w:val="20"/>
                <w:szCs w:val="20"/>
                <w:highlight w:val="yellow"/>
              </w:rPr>
              <w:t xml:space="preserve"> </w:t>
            </w:r>
          </w:p>
        </w:tc>
        <w:tc>
          <w:tcPr>
            <w:tcW w:w="960" w:type="dxa"/>
          </w:tcPr>
          <w:p w14:paraId="395AE51E" w14:textId="77777777" w:rsidR="008928CF" w:rsidRPr="00222306" w:rsidRDefault="008928CF" w:rsidP="008928CF">
            <w:pPr>
              <w:rPr>
                <w:sz w:val="20"/>
                <w:szCs w:val="20"/>
              </w:rPr>
            </w:pPr>
          </w:p>
        </w:tc>
      </w:tr>
    </w:tbl>
    <w:p w14:paraId="024E0554" w14:textId="77777777" w:rsidR="00B30718" w:rsidRPr="00222306" w:rsidRDefault="00B30718" w:rsidP="00B30718">
      <w:pPr>
        <w:spacing w:line="240" w:lineRule="auto"/>
        <w:rPr>
          <w:b/>
          <w:bCs/>
        </w:rPr>
      </w:pPr>
    </w:p>
    <w:p w14:paraId="103506B2" w14:textId="77777777" w:rsidR="00B91457" w:rsidRPr="00222306" w:rsidRDefault="00B91457" w:rsidP="004B7BF7">
      <w:pPr>
        <w:pStyle w:val="Kop3"/>
      </w:pPr>
      <w:bookmarkStart w:id="153" w:name="_Toc225942312"/>
      <w:r>
        <w:t>Toezenden na verzoek conform paragraaf 4.3</w:t>
      </w:r>
      <w:bookmarkEnd w:id="153"/>
    </w:p>
    <w:tbl>
      <w:tblPr>
        <w:tblStyle w:val="GemeentePurmerend"/>
        <w:tblW w:w="8410" w:type="dxa"/>
        <w:tblLook w:val="04E0" w:firstRow="1" w:lastRow="1" w:firstColumn="1" w:lastColumn="0" w:noHBand="0" w:noVBand="1"/>
      </w:tblPr>
      <w:tblGrid>
        <w:gridCol w:w="1886"/>
        <w:gridCol w:w="6524"/>
      </w:tblGrid>
      <w:tr w:rsidR="00B91457" w:rsidRPr="00222306" w14:paraId="62BA5B37" w14:textId="77777777" w:rsidTr="00896CCC">
        <w:trPr>
          <w:cnfStyle w:val="100000000000" w:firstRow="1" w:lastRow="0" w:firstColumn="0" w:lastColumn="0" w:oddVBand="0" w:evenVBand="0" w:oddHBand="0" w:evenHBand="0" w:firstRowFirstColumn="0" w:firstRowLastColumn="0" w:lastRowFirstColumn="0" w:lastRowLastColumn="0"/>
          <w:trHeight w:val="227"/>
        </w:trPr>
        <w:tc>
          <w:tcPr>
            <w:tcW w:w="1886" w:type="dxa"/>
            <w:tcBorders>
              <w:bottom w:val="single" w:sz="8" w:space="0" w:color="00A682"/>
            </w:tcBorders>
          </w:tcPr>
          <w:p w14:paraId="0A56C61D" w14:textId="77777777" w:rsidR="00B91457" w:rsidRPr="00222306" w:rsidRDefault="00B91457" w:rsidP="00A169AA">
            <w:pPr>
              <w:rPr>
                <w:sz w:val="20"/>
                <w:szCs w:val="20"/>
              </w:rPr>
            </w:pPr>
            <w:r w:rsidRPr="00222306">
              <w:rPr>
                <w:sz w:val="20"/>
                <w:szCs w:val="20"/>
              </w:rPr>
              <w:t>Betreft</w:t>
            </w:r>
          </w:p>
        </w:tc>
        <w:tc>
          <w:tcPr>
            <w:tcW w:w="6524" w:type="dxa"/>
            <w:tcBorders>
              <w:bottom w:val="single" w:sz="8" w:space="0" w:color="00A682"/>
            </w:tcBorders>
          </w:tcPr>
          <w:p w14:paraId="3DFB09F9" w14:textId="77777777" w:rsidR="00B91457" w:rsidRPr="00222306" w:rsidRDefault="00B91457" w:rsidP="00A169AA">
            <w:pPr>
              <w:rPr>
                <w:sz w:val="20"/>
                <w:szCs w:val="20"/>
              </w:rPr>
            </w:pPr>
            <w:r w:rsidRPr="00222306">
              <w:rPr>
                <w:sz w:val="20"/>
                <w:szCs w:val="20"/>
              </w:rPr>
              <w:t>Omschrijving</w:t>
            </w:r>
          </w:p>
        </w:tc>
      </w:tr>
      <w:tr w:rsidR="00B91457" w:rsidRPr="00222306" w14:paraId="4284D1BE" w14:textId="77777777" w:rsidTr="00896CCC">
        <w:trPr>
          <w:trHeight w:val="227"/>
        </w:trPr>
        <w:tc>
          <w:tcPr>
            <w:tcW w:w="1886" w:type="dxa"/>
            <w:tcBorders>
              <w:top w:val="single" w:sz="8" w:space="0" w:color="00A682"/>
              <w:bottom w:val="single" w:sz="8" w:space="0" w:color="00A682"/>
            </w:tcBorders>
          </w:tcPr>
          <w:p w14:paraId="224A2AF1" w14:textId="498B0535" w:rsidR="00B91457" w:rsidRPr="009A3C16" w:rsidRDefault="00B91457" w:rsidP="00A169AA">
            <w:pPr>
              <w:jc w:val="center"/>
              <w:rPr>
                <w:sz w:val="20"/>
                <w:szCs w:val="20"/>
              </w:rPr>
            </w:pPr>
            <w:r w:rsidRPr="009A3C16">
              <w:t>Bijlage</w:t>
            </w:r>
          </w:p>
        </w:tc>
        <w:tc>
          <w:tcPr>
            <w:tcW w:w="6524" w:type="dxa"/>
          </w:tcPr>
          <w:p w14:paraId="125E30DA" w14:textId="070F0B8E" w:rsidR="00B91457" w:rsidRPr="009A3C16" w:rsidRDefault="00B91457" w:rsidP="00B91457">
            <w:pPr>
              <w:rPr>
                <w:sz w:val="20"/>
                <w:szCs w:val="20"/>
              </w:rPr>
            </w:pPr>
            <w:r w:rsidRPr="009A3C16">
              <w:t>Gedragsverklaring aanbesteden (GVA)</w:t>
            </w:r>
          </w:p>
        </w:tc>
      </w:tr>
      <w:tr w:rsidR="00B91457" w:rsidRPr="00222306" w14:paraId="4D02B4E7" w14:textId="77777777" w:rsidTr="00896CCC">
        <w:trPr>
          <w:trHeight w:val="227"/>
        </w:trPr>
        <w:tc>
          <w:tcPr>
            <w:tcW w:w="1886" w:type="dxa"/>
            <w:tcBorders>
              <w:top w:val="single" w:sz="8" w:space="0" w:color="00A682"/>
              <w:bottom w:val="single" w:sz="8" w:space="0" w:color="00A682"/>
            </w:tcBorders>
          </w:tcPr>
          <w:p w14:paraId="7916C60F" w14:textId="4B0E7766" w:rsidR="00B91457" w:rsidRPr="009A3C16" w:rsidRDefault="00B91457" w:rsidP="00A169AA">
            <w:pPr>
              <w:jc w:val="center"/>
            </w:pPr>
            <w:r w:rsidRPr="009A3C16">
              <w:t>Bijlage</w:t>
            </w:r>
          </w:p>
        </w:tc>
        <w:tc>
          <w:tcPr>
            <w:tcW w:w="6524" w:type="dxa"/>
          </w:tcPr>
          <w:p w14:paraId="79B9190B" w14:textId="7FE8CB2E" w:rsidR="00B91457" w:rsidRPr="009A3C16" w:rsidRDefault="00B91457" w:rsidP="00B91457">
            <w:r w:rsidRPr="009A3C16">
              <w:t>&lt;Certificaten&gt;</w:t>
            </w:r>
          </w:p>
        </w:tc>
      </w:tr>
      <w:tr w:rsidR="00B91457" w:rsidRPr="00222306" w14:paraId="111D96A0" w14:textId="77777777" w:rsidTr="00896CCC">
        <w:trPr>
          <w:trHeight w:val="227"/>
        </w:trPr>
        <w:tc>
          <w:tcPr>
            <w:tcW w:w="1886" w:type="dxa"/>
            <w:tcBorders>
              <w:top w:val="single" w:sz="8" w:space="0" w:color="00A682"/>
              <w:bottom w:val="single" w:sz="8" w:space="0" w:color="00A682"/>
            </w:tcBorders>
          </w:tcPr>
          <w:p w14:paraId="1ABCC276" w14:textId="7553A335" w:rsidR="00B91457" w:rsidRPr="009A3C16" w:rsidRDefault="00B91457" w:rsidP="00253F01">
            <w:pPr>
              <w:jc w:val="center"/>
            </w:pPr>
            <w:r w:rsidRPr="009A3C16">
              <w:t>Bijlage</w:t>
            </w:r>
          </w:p>
        </w:tc>
        <w:tc>
          <w:tcPr>
            <w:tcW w:w="6524" w:type="dxa"/>
          </w:tcPr>
          <w:p w14:paraId="567CE9AE" w14:textId="785AC7B5" w:rsidR="00B91457" w:rsidRPr="009A3C16" w:rsidRDefault="00B91457" w:rsidP="00B91457">
            <w:r w:rsidRPr="009A3C16">
              <w:t>Concerngarantie</w:t>
            </w:r>
          </w:p>
        </w:tc>
      </w:tr>
      <w:tr w:rsidR="009A3C16" w:rsidRPr="00222306" w14:paraId="59C2D29A" w14:textId="77777777" w:rsidTr="00896CCC">
        <w:trPr>
          <w:trHeight w:val="227"/>
        </w:trPr>
        <w:tc>
          <w:tcPr>
            <w:tcW w:w="1886" w:type="dxa"/>
            <w:tcBorders>
              <w:top w:val="single" w:sz="8" w:space="0" w:color="00A682"/>
              <w:bottom w:val="single" w:sz="8" w:space="0" w:color="00A682"/>
            </w:tcBorders>
          </w:tcPr>
          <w:p w14:paraId="0311EE7D" w14:textId="24A92A1B" w:rsidR="009A3C16" w:rsidRPr="009A3C16" w:rsidRDefault="009A3C16" w:rsidP="00253F01">
            <w:pPr>
              <w:jc w:val="center"/>
              <w:rPr>
                <w:b/>
                <w:bCs/>
              </w:rPr>
            </w:pPr>
            <w:r w:rsidRPr="009A3C16">
              <w:rPr>
                <w:bCs/>
              </w:rPr>
              <w:t>Bijlage</w:t>
            </w:r>
          </w:p>
        </w:tc>
        <w:tc>
          <w:tcPr>
            <w:tcW w:w="6524" w:type="dxa"/>
          </w:tcPr>
          <w:p w14:paraId="61F6F285" w14:textId="6A641FFB" w:rsidR="00896CCC" w:rsidRPr="00896CCC" w:rsidRDefault="009A3C16" w:rsidP="00B91457">
            <w:pPr>
              <w:rPr>
                <w:b/>
                <w:bCs/>
              </w:rPr>
            </w:pPr>
            <w:r w:rsidRPr="009A3C16">
              <w:rPr>
                <w:bCs/>
              </w:rPr>
              <w:t>Verklaring beroep derden</w:t>
            </w:r>
          </w:p>
        </w:tc>
      </w:tr>
      <w:tr w:rsidR="00896CCC" w:rsidRPr="00222306" w14:paraId="6ABD8124" w14:textId="77777777" w:rsidTr="00896CCC">
        <w:trPr>
          <w:trHeight w:val="227"/>
        </w:trPr>
        <w:tc>
          <w:tcPr>
            <w:tcW w:w="1886" w:type="dxa"/>
            <w:tcBorders>
              <w:top w:val="single" w:sz="8" w:space="0" w:color="00A682"/>
              <w:bottom w:val="single" w:sz="8" w:space="0" w:color="00A682"/>
            </w:tcBorders>
          </w:tcPr>
          <w:p w14:paraId="264D8BCB" w14:textId="3C0D1700" w:rsidR="00896CCC" w:rsidRPr="00896CCC" w:rsidRDefault="00896CCC" w:rsidP="00253F01">
            <w:pPr>
              <w:jc w:val="center"/>
              <w:rPr>
                <w:bCs/>
              </w:rPr>
            </w:pPr>
            <w:r>
              <w:rPr>
                <w:bCs/>
              </w:rPr>
              <w:t xml:space="preserve"> </w:t>
            </w:r>
            <w:r w:rsidRPr="00896CCC">
              <w:rPr>
                <w:bCs/>
              </w:rPr>
              <w:t>Bijlage</w:t>
            </w:r>
          </w:p>
        </w:tc>
        <w:tc>
          <w:tcPr>
            <w:tcW w:w="6524" w:type="dxa"/>
          </w:tcPr>
          <w:p w14:paraId="07F8B17B" w14:textId="417D0F96" w:rsidR="00896CCC" w:rsidRPr="00896CCC" w:rsidRDefault="00DB6FB2" w:rsidP="00B91457">
            <w:pPr>
              <w:rPr>
                <w:bCs/>
              </w:rPr>
            </w:pPr>
            <w:r>
              <w:rPr>
                <w:bCs/>
              </w:rPr>
              <w:t>KvK</w:t>
            </w:r>
            <w:r w:rsidR="00896CCC">
              <w:rPr>
                <w:bCs/>
              </w:rPr>
              <w:t xml:space="preserve"> inschrijving </w:t>
            </w:r>
          </w:p>
        </w:tc>
      </w:tr>
      <w:tr w:rsidR="00896CCC" w:rsidRPr="00222306" w14:paraId="208AA998" w14:textId="77777777" w:rsidTr="00896CCC">
        <w:trPr>
          <w:cnfStyle w:val="010000000000" w:firstRow="0" w:lastRow="1" w:firstColumn="0" w:lastColumn="0" w:oddVBand="0" w:evenVBand="0" w:oddHBand="0" w:evenHBand="0" w:firstRowFirstColumn="0" w:firstRowLastColumn="0" w:lastRowFirstColumn="0" w:lastRowLastColumn="0"/>
          <w:trHeight w:val="227"/>
        </w:trPr>
        <w:tc>
          <w:tcPr>
            <w:tcW w:w="1886" w:type="dxa"/>
            <w:tcBorders>
              <w:top w:val="single" w:sz="8" w:space="0" w:color="00A682"/>
              <w:bottom w:val="single" w:sz="8" w:space="0" w:color="00A682"/>
            </w:tcBorders>
          </w:tcPr>
          <w:p w14:paraId="6BB03547" w14:textId="34AAEEFC" w:rsidR="00896CCC" w:rsidRPr="00896CCC" w:rsidRDefault="00896CCC" w:rsidP="00253F01">
            <w:pPr>
              <w:jc w:val="center"/>
              <w:rPr>
                <w:b w:val="0"/>
              </w:rPr>
            </w:pPr>
            <w:r w:rsidRPr="00896CCC">
              <w:rPr>
                <w:b w:val="0"/>
              </w:rPr>
              <w:t xml:space="preserve">Bijlage </w:t>
            </w:r>
          </w:p>
        </w:tc>
        <w:tc>
          <w:tcPr>
            <w:tcW w:w="6524" w:type="dxa"/>
          </w:tcPr>
          <w:p w14:paraId="61F8CAD8" w14:textId="0A3D19E5" w:rsidR="00896CCC" w:rsidRPr="00896CCC" w:rsidRDefault="00DB6FB2" w:rsidP="00B91457">
            <w:pPr>
              <w:rPr>
                <w:b w:val="0"/>
              </w:rPr>
            </w:pPr>
            <w:r>
              <w:rPr>
                <w:b w:val="0"/>
              </w:rPr>
              <w:t>‘</w:t>
            </w:r>
            <w:r w:rsidR="00896CCC" w:rsidRPr="00896CCC">
              <w:rPr>
                <w:b w:val="0"/>
              </w:rPr>
              <w:t>Verklaring betalingsgedrag nakoming fiscale verplichtingen</w:t>
            </w:r>
            <w:r>
              <w:rPr>
                <w:b w:val="0"/>
              </w:rPr>
              <w:t>’</w:t>
            </w:r>
            <w:r w:rsidR="00896CCC" w:rsidRPr="00896CCC">
              <w:rPr>
                <w:b w:val="0"/>
              </w:rPr>
              <w:t xml:space="preserve"> </w:t>
            </w:r>
            <w:r>
              <w:rPr>
                <w:b w:val="0"/>
              </w:rPr>
              <w:t>van</w:t>
            </w:r>
            <w:r w:rsidR="00896CCC" w:rsidRPr="00896CCC">
              <w:rPr>
                <w:b w:val="0"/>
              </w:rPr>
              <w:t xml:space="preserve"> de Belastingdienst.</w:t>
            </w:r>
          </w:p>
        </w:tc>
      </w:tr>
    </w:tbl>
    <w:p w14:paraId="7EED5A47" w14:textId="6F615982" w:rsidR="00EB734E" w:rsidRDefault="00B30718">
      <w:pPr>
        <w:spacing w:line="240" w:lineRule="auto"/>
      </w:pPr>
      <w:r w:rsidRPr="00222306">
        <w:br w:type="page"/>
      </w:r>
    </w:p>
    <w:p w14:paraId="7993367B" w14:textId="77777777" w:rsidR="00EB734E" w:rsidRDefault="00EB734E" w:rsidP="00701BEF">
      <w:pPr>
        <w:sectPr w:rsidR="00EB734E" w:rsidSect="008F40A4">
          <w:headerReference w:type="default" r:id="rId14"/>
          <w:footerReference w:type="even" r:id="rId15"/>
          <w:footerReference w:type="default" r:id="rId16"/>
          <w:footerReference w:type="first" r:id="rId17"/>
          <w:pgSz w:w="11906" w:h="16838" w:code="9"/>
          <w:pgMar w:top="2268" w:right="1418" w:bottom="1134" w:left="1418" w:header="567" w:footer="176" w:gutter="0"/>
          <w:cols w:space="708"/>
          <w:titlePg/>
          <w:docGrid w:linePitch="360"/>
        </w:sectPr>
      </w:pPr>
    </w:p>
    <w:p w14:paraId="3B7679F3" w14:textId="77777777" w:rsidR="00896CCC" w:rsidRDefault="00896CCC" w:rsidP="00701BEF"/>
    <w:p w14:paraId="36C1CB3A" w14:textId="46F83783" w:rsidR="00BA3113" w:rsidRPr="00222306" w:rsidRDefault="00E851A9" w:rsidP="00701BEF">
      <w:r w:rsidRPr="00222306">
        <w:rPr>
          <w:noProof/>
        </w:rPr>
        <mc:AlternateContent>
          <mc:Choice Requires="wps">
            <w:drawing>
              <wp:anchor distT="0" distB="0" distL="114300" distR="114300" simplePos="0" relativeHeight="251670528" behindDoc="0" locked="0" layoutInCell="1" allowOverlap="1" wp14:anchorId="39306056" wp14:editId="4E188729">
                <wp:simplePos x="0" y="0"/>
                <wp:positionH relativeFrom="column">
                  <wp:posOffset>5014595</wp:posOffset>
                </wp:positionH>
                <wp:positionV relativeFrom="paragraph">
                  <wp:posOffset>6356349</wp:posOffset>
                </wp:positionV>
                <wp:extent cx="1376546" cy="2394585"/>
                <wp:effectExtent l="0" t="0" r="0" b="5715"/>
                <wp:wrapNone/>
                <wp:docPr id="12" name="Tekstvak 12" descr="Colofon"/>
                <wp:cNvGraphicFramePr/>
                <a:graphic xmlns:a="http://schemas.openxmlformats.org/drawingml/2006/main">
                  <a:graphicData uri="http://schemas.microsoft.com/office/word/2010/wordprocessingShape">
                    <wps:wsp>
                      <wps:cNvSpPr txBox="1"/>
                      <wps:spPr>
                        <a:xfrm>
                          <a:off x="0" y="0"/>
                          <a:ext cx="1376546" cy="2394585"/>
                        </a:xfrm>
                        <a:prstGeom prst="rect">
                          <a:avLst/>
                        </a:prstGeom>
                        <a:noFill/>
                        <a:ln w="6350">
                          <a:noFill/>
                        </a:ln>
                      </wps:spPr>
                      <wps:txbx>
                        <w:txbxContent>
                          <w:p w14:paraId="704282DF" w14:textId="77777777" w:rsidR="00B8619A" w:rsidRPr="00317FB1" w:rsidRDefault="00B8619A" w:rsidP="00E851A9">
                            <w:pPr>
                              <w:pStyle w:val="Basisalinea"/>
                              <w:jc w:val="right"/>
                              <w:rPr>
                                <w:rFonts w:ascii="Corbel" w:hAnsi="Corbel" w:cs="Corbel"/>
                                <w:color w:val="00355F"/>
                                <w:sz w:val="14"/>
                                <w:szCs w:val="14"/>
                                <w:lang w:val="de-DE"/>
                              </w:rPr>
                            </w:pPr>
                            <w:proofErr w:type="spellStart"/>
                            <w:r w:rsidRPr="00317FB1">
                              <w:rPr>
                                <w:rFonts w:ascii="Corbel" w:hAnsi="Corbel" w:cs="Corbel"/>
                                <w:b/>
                                <w:bCs/>
                                <w:i/>
                                <w:iCs/>
                                <w:color w:val="00355F"/>
                                <w:sz w:val="14"/>
                                <w:szCs w:val="14"/>
                                <w:lang w:val="de-DE"/>
                              </w:rPr>
                              <w:t>Bezoekadres</w:t>
                            </w:r>
                            <w:proofErr w:type="spellEnd"/>
                          </w:p>
                          <w:p w14:paraId="67617E1B" w14:textId="53D2B244" w:rsidR="00B8619A" w:rsidRPr="00317FB1" w:rsidRDefault="00317FB1" w:rsidP="00E851A9">
                            <w:pPr>
                              <w:pStyle w:val="Basisalinea"/>
                              <w:jc w:val="right"/>
                              <w:rPr>
                                <w:rFonts w:ascii="Corbel" w:hAnsi="Corbel" w:cs="Corbel"/>
                                <w:color w:val="00355F"/>
                                <w:sz w:val="18"/>
                                <w:szCs w:val="18"/>
                                <w:lang w:val="de-DE"/>
                              </w:rPr>
                            </w:pPr>
                            <w:proofErr w:type="spellStart"/>
                            <w:r w:rsidRPr="00317FB1">
                              <w:rPr>
                                <w:rFonts w:ascii="Corbel" w:hAnsi="Corbel" w:cs="Corbel"/>
                                <w:color w:val="00355F"/>
                                <w:sz w:val="18"/>
                                <w:szCs w:val="18"/>
                                <w:lang w:val="de-DE"/>
                              </w:rPr>
                              <w:t>Raadh</w:t>
                            </w:r>
                            <w:r>
                              <w:rPr>
                                <w:rFonts w:ascii="Corbel" w:hAnsi="Corbel" w:cs="Corbel"/>
                                <w:color w:val="00355F"/>
                                <w:sz w:val="18"/>
                                <w:szCs w:val="18"/>
                                <w:lang w:val="de-DE"/>
                              </w:rPr>
                              <w:t>uisstraat</w:t>
                            </w:r>
                            <w:proofErr w:type="spellEnd"/>
                            <w:r>
                              <w:rPr>
                                <w:rFonts w:ascii="Corbel" w:hAnsi="Corbel" w:cs="Corbel"/>
                                <w:color w:val="00355F"/>
                                <w:sz w:val="18"/>
                                <w:szCs w:val="18"/>
                                <w:lang w:val="de-DE"/>
                              </w:rPr>
                              <w:t xml:space="preserve"> 1</w:t>
                            </w:r>
                          </w:p>
                          <w:p w14:paraId="42A39C26" w14:textId="2D41B45F" w:rsidR="00B8619A" w:rsidRPr="00317FB1" w:rsidRDefault="00B8619A" w:rsidP="00E851A9">
                            <w:pPr>
                              <w:pStyle w:val="Basisalinea"/>
                              <w:jc w:val="right"/>
                              <w:rPr>
                                <w:rFonts w:ascii="Corbel" w:hAnsi="Corbel" w:cs="Corbel"/>
                                <w:color w:val="00355F"/>
                                <w:sz w:val="18"/>
                                <w:szCs w:val="18"/>
                                <w:lang w:val="de-DE"/>
                              </w:rPr>
                            </w:pPr>
                            <w:r w:rsidRPr="00317FB1">
                              <w:rPr>
                                <w:rFonts w:ascii="Corbel" w:hAnsi="Corbel" w:cs="Corbel"/>
                                <w:color w:val="00355F"/>
                                <w:sz w:val="18"/>
                                <w:szCs w:val="18"/>
                                <w:lang w:val="de-DE"/>
                              </w:rPr>
                              <w:t xml:space="preserve"> 1</w:t>
                            </w:r>
                            <w:r w:rsidR="00317FB1">
                              <w:rPr>
                                <w:rFonts w:ascii="Corbel" w:hAnsi="Corbel" w:cs="Corbel"/>
                                <w:color w:val="00355F"/>
                                <w:sz w:val="18"/>
                                <w:szCs w:val="18"/>
                                <w:lang w:val="de-DE"/>
                              </w:rPr>
                              <w:t xml:space="preserve">121 XC </w:t>
                            </w:r>
                            <w:proofErr w:type="spellStart"/>
                            <w:r w:rsidR="00317FB1">
                              <w:rPr>
                                <w:rFonts w:ascii="Corbel" w:hAnsi="Corbel" w:cs="Corbel"/>
                                <w:color w:val="00355F"/>
                                <w:sz w:val="18"/>
                                <w:szCs w:val="18"/>
                                <w:lang w:val="de-DE"/>
                              </w:rPr>
                              <w:t>Landsmeer</w:t>
                            </w:r>
                            <w:proofErr w:type="spellEnd"/>
                          </w:p>
                          <w:p w14:paraId="19AA3074" w14:textId="77777777" w:rsidR="00B8619A" w:rsidRPr="00317FB1" w:rsidRDefault="00B8619A" w:rsidP="00E851A9">
                            <w:pPr>
                              <w:pStyle w:val="Basisalinea"/>
                              <w:jc w:val="right"/>
                              <w:rPr>
                                <w:rFonts w:ascii="Corbel" w:hAnsi="Corbel" w:cs="Corbel"/>
                                <w:color w:val="00355F"/>
                                <w:sz w:val="16"/>
                                <w:szCs w:val="16"/>
                                <w:lang w:val="de-DE"/>
                              </w:rPr>
                            </w:pPr>
                          </w:p>
                          <w:p w14:paraId="537E5BFB" w14:textId="77777777" w:rsidR="00B8619A" w:rsidRPr="00317FB1" w:rsidRDefault="00B8619A" w:rsidP="00E851A9">
                            <w:pPr>
                              <w:pStyle w:val="Basisalinea"/>
                              <w:jc w:val="right"/>
                              <w:rPr>
                                <w:rFonts w:ascii="Corbel" w:hAnsi="Corbel" w:cs="Corbel"/>
                                <w:color w:val="00355F"/>
                                <w:sz w:val="16"/>
                                <w:szCs w:val="16"/>
                                <w:lang w:val="de-DE"/>
                              </w:rPr>
                            </w:pPr>
                          </w:p>
                          <w:p w14:paraId="0142181A" w14:textId="7D132EAC" w:rsidR="00B8619A" w:rsidRPr="00602694" w:rsidRDefault="00B8619A" w:rsidP="00602694">
                            <w:pPr>
                              <w:pStyle w:val="Basisalinea"/>
                              <w:rPr>
                                <w:rFonts w:ascii="Corbel" w:hAnsi="Corbel" w:cs="Corbel"/>
                                <w:color w:val="00355F"/>
                                <w:sz w:val="18"/>
                                <w:szCs w:val="18"/>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6056" id="Tekstvak 12" o:spid="_x0000_s1027" type="#_x0000_t202" alt="Colofon" style="position:absolute;margin-left:394.85pt;margin-top:500.5pt;width:108.4pt;height:18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QPGQIAADQ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" filled="f" stroked="f" strokeweight=".5pt">
                <v:textbox>
                  <w:txbxContent>
                    <w:p w14:paraId="704282DF" w14:textId="77777777" w:rsidR="00B8619A" w:rsidRPr="00317FB1" w:rsidRDefault="00B8619A" w:rsidP="00E851A9">
                      <w:pPr>
                        <w:pStyle w:val="Basisalinea"/>
                        <w:jc w:val="right"/>
                        <w:rPr>
                          <w:rFonts w:ascii="Corbel" w:hAnsi="Corbel" w:cs="Corbel"/>
                          <w:color w:val="00355F"/>
                          <w:sz w:val="14"/>
                          <w:szCs w:val="14"/>
                          <w:lang w:val="de-DE"/>
                        </w:rPr>
                      </w:pPr>
                      <w:proofErr w:type="spellStart"/>
                      <w:r w:rsidRPr="00317FB1">
                        <w:rPr>
                          <w:rFonts w:ascii="Corbel" w:hAnsi="Corbel" w:cs="Corbel"/>
                          <w:b/>
                          <w:bCs/>
                          <w:i/>
                          <w:iCs/>
                          <w:color w:val="00355F"/>
                          <w:sz w:val="14"/>
                          <w:szCs w:val="14"/>
                          <w:lang w:val="de-DE"/>
                        </w:rPr>
                        <w:t>Bezoekadres</w:t>
                      </w:r>
                      <w:proofErr w:type="spellEnd"/>
                    </w:p>
                    <w:p w14:paraId="67617E1B" w14:textId="53D2B244" w:rsidR="00B8619A" w:rsidRPr="00317FB1" w:rsidRDefault="00317FB1" w:rsidP="00E851A9">
                      <w:pPr>
                        <w:pStyle w:val="Basisalinea"/>
                        <w:jc w:val="right"/>
                        <w:rPr>
                          <w:rFonts w:ascii="Corbel" w:hAnsi="Corbel" w:cs="Corbel"/>
                          <w:color w:val="00355F"/>
                          <w:sz w:val="18"/>
                          <w:szCs w:val="18"/>
                          <w:lang w:val="de-DE"/>
                        </w:rPr>
                      </w:pPr>
                      <w:proofErr w:type="spellStart"/>
                      <w:r w:rsidRPr="00317FB1">
                        <w:rPr>
                          <w:rFonts w:ascii="Corbel" w:hAnsi="Corbel" w:cs="Corbel"/>
                          <w:color w:val="00355F"/>
                          <w:sz w:val="18"/>
                          <w:szCs w:val="18"/>
                          <w:lang w:val="de-DE"/>
                        </w:rPr>
                        <w:t>Raadh</w:t>
                      </w:r>
                      <w:r>
                        <w:rPr>
                          <w:rFonts w:ascii="Corbel" w:hAnsi="Corbel" w:cs="Corbel"/>
                          <w:color w:val="00355F"/>
                          <w:sz w:val="18"/>
                          <w:szCs w:val="18"/>
                          <w:lang w:val="de-DE"/>
                        </w:rPr>
                        <w:t>uisstraat</w:t>
                      </w:r>
                      <w:proofErr w:type="spellEnd"/>
                      <w:r>
                        <w:rPr>
                          <w:rFonts w:ascii="Corbel" w:hAnsi="Corbel" w:cs="Corbel"/>
                          <w:color w:val="00355F"/>
                          <w:sz w:val="18"/>
                          <w:szCs w:val="18"/>
                          <w:lang w:val="de-DE"/>
                        </w:rPr>
                        <w:t xml:space="preserve"> 1</w:t>
                      </w:r>
                    </w:p>
                    <w:p w14:paraId="42A39C26" w14:textId="2D41B45F" w:rsidR="00B8619A" w:rsidRPr="00317FB1" w:rsidRDefault="00B8619A" w:rsidP="00E851A9">
                      <w:pPr>
                        <w:pStyle w:val="Basisalinea"/>
                        <w:jc w:val="right"/>
                        <w:rPr>
                          <w:rFonts w:ascii="Corbel" w:hAnsi="Corbel" w:cs="Corbel"/>
                          <w:color w:val="00355F"/>
                          <w:sz w:val="18"/>
                          <w:szCs w:val="18"/>
                          <w:lang w:val="de-DE"/>
                        </w:rPr>
                      </w:pPr>
                      <w:r w:rsidRPr="00317FB1">
                        <w:rPr>
                          <w:rFonts w:ascii="Corbel" w:hAnsi="Corbel" w:cs="Corbel"/>
                          <w:color w:val="00355F"/>
                          <w:sz w:val="18"/>
                          <w:szCs w:val="18"/>
                          <w:lang w:val="de-DE"/>
                        </w:rPr>
                        <w:t xml:space="preserve"> 1</w:t>
                      </w:r>
                      <w:r w:rsidR="00317FB1">
                        <w:rPr>
                          <w:rFonts w:ascii="Corbel" w:hAnsi="Corbel" w:cs="Corbel"/>
                          <w:color w:val="00355F"/>
                          <w:sz w:val="18"/>
                          <w:szCs w:val="18"/>
                          <w:lang w:val="de-DE"/>
                        </w:rPr>
                        <w:t xml:space="preserve">121 XC </w:t>
                      </w:r>
                      <w:proofErr w:type="spellStart"/>
                      <w:r w:rsidR="00317FB1">
                        <w:rPr>
                          <w:rFonts w:ascii="Corbel" w:hAnsi="Corbel" w:cs="Corbel"/>
                          <w:color w:val="00355F"/>
                          <w:sz w:val="18"/>
                          <w:szCs w:val="18"/>
                          <w:lang w:val="de-DE"/>
                        </w:rPr>
                        <w:t>Landsmeer</w:t>
                      </w:r>
                      <w:proofErr w:type="spellEnd"/>
                    </w:p>
                    <w:p w14:paraId="19AA3074" w14:textId="77777777" w:rsidR="00B8619A" w:rsidRPr="00317FB1" w:rsidRDefault="00B8619A" w:rsidP="00E851A9">
                      <w:pPr>
                        <w:pStyle w:val="Basisalinea"/>
                        <w:jc w:val="right"/>
                        <w:rPr>
                          <w:rFonts w:ascii="Corbel" w:hAnsi="Corbel" w:cs="Corbel"/>
                          <w:color w:val="00355F"/>
                          <w:sz w:val="16"/>
                          <w:szCs w:val="16"/>
                          <w:lang w:val="de-DE"/>
                        </w:rPr>
                      </w:pPr>
                    </w:p>
                    <w:p w14:paraId="537E5BFB" w14:textId="77777777" w:rsidR="00B8619A" w:rsidRPr="00317FB1" w:rsidRDefault="00B8619A" w:rsidP="00E851A9">
                      <w:pPr>
                        <w:pStyle w:val="Basisalinea"/>
                        <w:jc w:val="right"/>
                        <w:rPr>
                          <w:rFonts w:ascii="Corbel" w:hAnsi="Corbel" w:cs="Corbel"/>
                          <w:color w:val="00355F"/>
                          <w:sz w:val="16"/>
                          <w:szCs w:val="16"/>
                          <w:lang w:val="de-DE"/>
                        </w:rPr>
                      </w:pPr>
                    </w:p>
                    <w:p w14:paraId="0142181A" w14:textId="7D132EAC" w:rsidR="00B8619A" w:rsidRPr="00602694" w:rsidRDefault="00B8619A" w:rsidP="00602694">
                      <w:pPr>
                        <w:pStyle w:val="Basisalinea"/>
                        <w:rPr>
                          <w:rFonts w:ascii="Corbel" w:hAnsi="Corbel" w:cs="Corbel"/>
                          <w:color w:val="00355F"/>
                          <w:sz w:val="18"/>
                          <w:szCs w:val="18"/>
                          <w:lang w:val="de-DE"/>
                        </w:rPr>
                      </w:pPr>
                    </w:p>
                  </w:txbxContent>
                </v:textbox>
              </v:shape>
            </w:pict>
          </mc:Fallback>
        </mc:AlternateContent>
      </w:r>
    </w:p>
    <w:sectPr w:rsidR="00BA3113" w:rsidRPr="00222306" w:rsidSect="00EB734E">
      <w:footerReference w:type="first" r:id="rId18"/>
      <w:type w:val="continuous"/>
      <w:pgSz w:w="11906" w:h="16838" w:code="9"/>
      <w:pgMar w:top="2268" w:right="1418" w:bottom="1134" w:left="1418" w:header="567"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7893" w14:textId="77777777" w:rsidR="00C97AE4" w:rsidRDefault="00C97AE4" w:rsidP="00896432">
      <w:r>
        <w:separator/>
      </w:r>
    </w:p>
  </w:endnote>
  <w:endnote w:type="continuationSeparator" w:id="0">
    <w:p w14:paraId="5917FA6F" w14:textId="77777777" w:rsidR="00C97AE4" w:rsidRDefault="00C97AE4"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Times New Roman (Hoofdtekst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libri (Hoofdteks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42563423"/>
      <w:docPartObj>
        <w:docPartGallery w:val="Page Numbers (Bottom of Page)"/>
        <w:docPartUnique/>
      </w:docPartObj>
    </w:sdtPr>
    <w:sdtEndPr>
      <w:rPr>
        <w:rStyle w:val="Paginanummer"/>
      </w:rPr>
    </w:sdtEndPr>
    <w:sdtContent>
      <w:p w14:paraId="4546C46E" w14:textId="2FD4C237" w:rsidR="00B8619A" w:rsidRDefault="00B8619A" w:rsidP="003474C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E6909E" w14:textId="77777777" w:rsidR="00B8619A" w:rsidRDefault="00B86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576096"/>
      <w:docPartObj>
        <w:docPartGallery w:val="Page Numbers (Bottom of Page)"/>
        <w:docPartUnique/>
      </w:docPartObj>
    </w:sdtPr>
    <w:sdtEndPr>
      <w:rPr>
        <w:rStyle w:val="Paginanummer"/>
      </w:rPr>
    </w:sdtEndPr>
    <w:sdtContent>
      <w:p w14:paraId="304FFC95" w14:textId="3C3FE886" w:rsidR="00B8619A" w:rsidRDefault="00B8619A" w:rsidP="003474C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FF83682" w14:textId="77777777" w:rsidR="00B8619A" w:rsidRDefault="00B86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0FBD75" w14:paraId="6C669157" w14:textId="77777777" w:rsidTr="2D0FBD75">
      <w:trPr>
        <w:trHeight w:val="300"/>
      </w:trPr>
      <w:tc>
        <w:tcPr>
          <w:tcW w:w="3020" w:type="dxa"/>
        </w:tcPr>
        <w:p w14:paraId="65947F57" w14:textId="7A7D0954" w:rsidR="2D0FBD75" w:rsidRDefault="2D0FBD75" w:rsidP="2D0FBD75">
          <w:pPr>
            <w:pStyle w:val="Koptekst"/>
            <w:ind w:left="-115"/>
          </w:pPr>
        </w:p>
      </w:tc>
      <w:tc>
        <w:tcPr>
          <w:tcW w:w="3020" w:type="dxa"/>
        </w:tcPr>
        <w:p w14:paraId="487CB76A" w14:textId="07F7FE92" w:rsidR="2D0FBD75" w:rsidRDefault="2D0FBD75" w:rsidP="2D0FBD75">
          <w:pPr>
            <w:pStyle w:val="Koptekst"/>
            <w:jc w:val="center"/>
          </w:pPr>
        </w:p>
      </w:tc>
      <w:tc>
        <w:tcPr>
          <w:tcW w:w="3020" w:type="dxa"/>
        </w:tcPr>
        <w:p w14:paraId="0DF3CD68" w14:textId="24823322" w:rsidR="2D0FBD75" w:rsidRDefault="2D0FBD75" w:rsidP="2D0FBD75">
          <w:pPr>
            <w:pStyle w:val="Koptekst"/>
            <w:ind w:right="-115"/>
            <w:jc w:val="right"/>
          </w:pPr>
        </w:p>
      </w:tc>
    </w:tr>
  </w:tbl>
  <w:p w14:paraId="6BFBE12F" w14:textId="06DEE96C" w:rsidR="2D0FBD75" w:rsidRDefault="2D0FBD75" w:rsidP="2D0FBD7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0FBD75" w14:paraId="0435FF3C" w14:textId="77777777" w:rsidTr="2D0FBD75">
      <w:trPr>
        <w:trHeight w:val="300"/>
      </w:trPr>
      <w:tc>
        <w:tcPr>
          <w:tcW w:w="3020" w:type="dxa"/>
        </w:tcPr>
        <w:p w14:paraId="0C92BF30" w14:textId="401E5591" w:rsidR="2D0FBD75" w:rsidRDefault="2D0FBD75" w:rsidP="2D0FBD75">
          <w:pPr>
            <w:pStyle w:val="Koptekst"/>
            <w:ind w:left="-115"/>
          </w:pPr>
        </w:p>
      </w:tc>
      <w:tc>
        <w:tcPr>
          <w:tcW w:w="3020" w:type="dxa"/>
        </w:tcPr>
        <w:p w14:paraId="6F898C35" w14:textId="222A95F1" w:rsidR="2D0FBD75" w:rsidRDefault="2D0FBD75" w:rsidP="2D0FBD75">
          <w:pPr>
            <w:pStyle w:val="Koptekst"/>
            <w:jc w:val="center"/>
          </w:pPr>
        </w:p>
      </w:tc>
      <w:tc>
        <w:tcPr>
          <w:tcW w:w="3020" w:type="dxa"/>
        </w:tcPr>
        <w:p w14:paraId="7C357D66" w14:textId="6C199CFA" w:rsidR="2D0FBD75" w:rsidRDefault="2D0FBD75" w:rsidP="2D0FBD75">
          <w:pPr>
            <w:pStyle w:val="Koptekst"/>
            <w:ind w:right="-115"/>
            <w:jc w:val="right"/>
          </w:pPr>
        </w:p>
      </w:tc>
    </w:tr>
  </w:tbl>
  <w:p w14:paraId="5FC8420C" w14:textId="4A5A6D41" w:rsidR="2D0FBD75" w:rsidRDefault="2D0FBD75" w:rsidP="2D0FB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BA9F" w14:textId="77777777" w:rsidR="00C97AE4" w:rsidRDefault="00C97AE4" w:rsidP="00896432">
      <w:r>
        <w:separator/>
      </w:r>
    </w:p>
  </w:footnote>
  <w:footnote w:type="continuationSeparator" w:id="0">
    <w:p w14:paraId="3BF1537B" w14:textId="77777777" w:rsidR="00C97AE4" w:rsidRDefault="00C97AE4"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5E50" w14:textId="520437A3" w:rsidR="00B8619A" w:rsidRDefault="2D0FBD75" w:rsidP="2D0FBD75">
    <w:pPr>
      <w:pStyle w:val="Koptekst"/>
      <w:rPr>
        <w:rFonts w:eastAsia="Corbel" w:cs="Corbel"/>
        <w:szCs w:val="22"/>
      </w:rPr>
    </w:pPr>
    <w:r>
      <w:t xml:space="preserve">Zaaknummer: </w:t>
    </w:r>
    <w:bookmarkStart w:id="154" w:name="_Hlk216871680"/>
    <w:r w:rsidR="002B25D4" w:rsidRPr="002B25D4">
      <w:t>Z/2026/048878</w:t>
    </w:r>
    <w:r w:rsidR="002B25D4">
      <w:t xml:space="preserve">   </w:t>
    </w:r>
    <w:bookmarkEnd w:id="154"/>
    <w:r w:rsidR="002B25D4">
      <w:rPr>
        <w:rFonts w:eastAsia="Corbel" w:cs="Corbel"/>
        <w:szCs w:val="22"/>
      </w:rPr>
      <w:t xml:space="preserve"> </w:t>
    </w:r>
  </w:p>
  <w:p w14:paraId="06BD2272" w14:textId="56A24FD9" w:rsidR="002013E7" w:rsidRDefault="002013E7" w:rsidP="009E14ED">
    <w:pPr>
      <w:pStyle w:val="Koptekst"/>
    </w:pPr>
    <w:r>
      <w:t xml:space="preserve">Naam: </w:t>
    </w:r>
    <w:bookmarkStart w:id="155" w:name="_Hlk216873450"/>
    <w:bookmarkStart w:id="156" w:name="_Hlk216871853"/>
    <w:r w:rsidRPr="002013E7">
      <w:rPr>
        <w:i/>
        <w:iCs/>
      </w:rPr>
      <w:t>Vervanging, beheer en onderhoud DRIS-displays</w:t>
    </w:r>
    <w:r w:rsidR="00FA299D">
      <w:rPr>
        <w:i/>
        <w:iCs/>
      </w:rPr>
      <w:t xml:space="preserve"> </w:t>
    </w:r>
    <w:r w:rsidR="0061241D">
      <w:rPr>
        <w:i/>
        <w:iCs/>
      </w:rPr>
      <w:t xml:space="preserve">Landsmeer </w:t>
    </w:r>
    <w:bookmarkEnd w:id="155"/>
    <w:r w:rsidR="0061241D">
      <w:rPr>
        <w:i/>
        <w:iCs/>
      </w:rPr>
      <w:t xml:space="preserve"> </w:t>
    </w:r>
  </w:p>
  <w:bookmarkEnd w:id="156"/>
  <w:p w14:paraId="0C91D699" w14:textId="10DC59F6" w:rsidR="00B8619A" w:rsidRDefault="2D0FBD75" w:rsidP="009E14ED">
    <w:pPr>
      <w:pStyle w:val="Koptekst"/>
    </w:pPr>
    <w:r>
      <w:t>Datum:</w:t>
    </w:r>
    <w:r w:rsidR="009E14ED">
      <w:t xml:space="preserve"> </w:t>
    </w:r>
    <w:r w:rsidR="005C53EA">
      <w:t>23</w:t>
    </w:r>
    <w:r w:rsidR="00E6083E">
      <w:t xml:space="preserve"> maart </w:t>
    </w:r>
    <w:r>
      <w:t>202</w:t>
    </w:r>
    <w:r w:rsidR="008320A4">
      <w:t>6</w:t>
    </w:r>
  </w:p>
  <w:p w14:paraId="6D672D5F" w14:textId="77777777" w:rsidR="00B8619A" w:rsidRDefault="00B86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9F4B"/>
    <w:multiLevelType w:val="hybridMultilevel"/>
    <w:tmpl w:val="51D85FA8"/>
    <w:lvl w:ilvl="0" w:tplc="5B06728E">
      <w:start w:val="1"/>
      <w:numFmt w:val="decimal"/>
      <w:lvlText w:val="%1)"/>
      <w:lvlJc w:val="left"/>
      <w:pPr>
        <w:ind w:left="397" w:hanging="227"/>
      </w:pPr>
      <w:rPr>
        <w:rFonts w:hint="default"/>
      </w:rPr>
    </w:lvl>
    <w:lvl w:ilvl="1" w:tplc="8022F5EA">
      <w:start w:val="1"/>
      <w:numFmt w:val="lowerLetter"/>
      <w:lvlText w:val="%2."/>
      <w:lvlJc w:val="left"/>
      <w:pPr>
        <w:ind w:left="1440" w:hanging="360"/>
      </w:pPr>
    </w:lvl>
    <w:lvl w:ilvl="2" w:tplc="B5842A68">
      <w:start w:val="1"/>
      <w:numFmt w:val="lowerRoman"/>
      <w:lvlText w:val="%3."/>
      <w:lvlJc w:val="right"/>
      <w:pPr>
        <w:ind w:left="2160" w:hanging="180"/>
      </w:pPr>
    </w:lvl>
    <w:lvl w:ilvl="3" w:tplc="1FE021FC">
      <w:start w:val="1"/>
      <w:numFmt w:val="decimal"/>
      <w:lvlText w:val="%4."/>
      <w:lvlJc w:val="left"/>
      <w:pPr>
        <w:ind w:left="2880" w:hanging="360"/>
      </w:pPr>
    </w:lvl>
    <w:lvl w:ilvl="4" w:tplc="2F8EBBDC">
      <w:start w:val="1"/>
      <w:numFmt w:val="lowerLetter"/>
      <w:lvlText w:val="%5."/>
      <w:lvlJc w:val="left"/>
      <w:pPr>
        <w:ind w:left="3600" w:hanging="360"/>
      </w:pPr>
    </w:lvl>
    <w:lvl w:ilvl="5" w:tplc="5F84BBE2">
      <w:start w:val="1"/>
      <w:numFmt w:val="lowerRoman"/>
      <w:lvlText w:val="%6."/>
      <w:lvlJc w:val="right"/>
      <w:pPr>
        <w:ind w:left="4320" w:hanging="180"/>
      </w:pPr>
    </w:lvl>
    <w:lvl w:ilvl="6" w:tplc="73D88862">
      <w:start w:val="1"/>
      <w:numFmt w:val="decimal"/>
      <w:lvlText w:val="%7."/>
      <w:lvlJc w:val="left"/>
      <w:pPr>
        <w:ind w:left="5040" w:hanging="360"/>
      </w:pPr>
    </w:lvl>
    <w:lvl w:ilvl="7" w:tplc="A07EA670">
      <w:start w:val="1"/>
      <w:numFmt w:val="lowerLetter"/>
      <w:lvlText w:val="%8."/>
      <w:lvlJc w:val="left"/>
      <w:pPr>
        <w:ind w:left="5760" w:hanging="360"/>
      </w:pPr>
    </w:lvl>
    <w:lvl w:ilvl="8" w:tplc="B6849E5E">
      <w:start w:val="1"/>
      <w:numFmt w:val="lowerRoman"/>
      <w:lvlText w:val="%9."/>
      <w:lvlJc w:val="right"/>
      <w:pPr>
        <w:ind w:left="6480" w:hanging="180"/>
      </w:pPr>
    </w:lvl>
  </w:abstractNum>
  <w:abstractNum w:abstractNumId="1" w15:restartNumberingAfterBreak="0">
    <w:nsid w:val="0288456D"/>
    <w:multiLevelType w:val="hybridMultilevel"/>
    <w:tmpl w:val="03D20412"/>
    <w:lvl w:ilvl="0" w:tplc="FFFFFFFF">
      <w:start w:val="1"/>
      <w:numFmt w:val="decimal"/>
      <w:lvlText w:val="%1."/>
      <w:lvlJc w:val="left"/>
      <w:pPr>
        <w:ind w:left="72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6E06D1E"/>
    <w:multiLevelType w:val="multilevel"/>
    <w:tmpl w:val="DFF0A97C"/>
    <w:lvl w:ilvl="0">
      <w:start w:val="1"/>
      <w:numFmt w:val="decimal"/>
      <w:pStyle w:val="Kop1"/>
      <w:lvlText w:val="%1"/>
      <w:lvlJc w:val="left"/>
      <w:pPr>
        <w:ind w:left="432" w:hanging="432"/>
      </w:pPr>
    </w:lvl>
    <w:lvl w:ilvl="1">
      <w:start w:val="1"/>
      <w:numFmt w:val="decimal"/>
      <w:pStyle w:val="Kop2"/>
      <w:lvlText w:val="%1.%2"/>
      <w:lvlJc w:val="left"/>
      <w:pPr>
        <w:ind w:left="576" w:hanging="576"/>
      </w:pPr>
      <w:rPr>
        <w:strike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81C4758"/>
    <w:multiLevelType w:val="hybridMultilevel"/>
    <w:tmpl w:val="E78C6876"/>
    <w:lvl w:ilvl="0" w:tplc="D712447A">
      <w:start w:val="1"/>
      <w:numFmt w:val="bullet"/>
      <w:lvlText w:val=""/>
      <w:lvlJc w:val="left"/>
      <w:pPr>
        <w:ind w:left="360" w:hanging="360"/>
      </w:pPr>
      <w:rPr>
        <w:rFonts w:ascii="Symbol" w:hAnsi="Symbol" w:hint="default"/>
      </w:rPr>
    </w:lvl>
    <w:lvl w:ilvl="1" w:tplc="6D26C494">
      <w:start w:val="1"/>
      <w:numFmt w:val="bullet"/>
      <w:lvlText w:val="o"/>
      <w:lvlJc w:val="left"/>
      <w:pPr>
        <w:ind w:left="1080" w:hanging="360"/>
      </w:pPr>
      <w:rPr>
        <w:rFonts w:ascii="Courier New" w:hAnsi="Courier New" w:hint="default"/>
      </w:rPr>
    </w:lvl>
    <w:lvl w:ilvl="2" w:tplc="FA568108">
      <w:start w:val="1"/>
      <w:numFmt w:val="bullet"/>
      <w:lvlText w:val=""/>
      <w:lvlJc w:val="left"/>
      <w:pPr>
        <w:ind w:left="1800" w:hanging="360"/>
      </w:pPr>
      <w:rPr>
        <w:rFonts w:ascii="Wingdings" w:hAnsi="Wingdings" w:hint="default"/>
      </w:rPr>
    </w:lvl>
    <w:lvl w:ilvl="3" w:tplc="969AF66C">
      <w:start w:val="1"/>
      <w:numFmt w:val="bullet"/>
      <w:lvlText w:val=""/>
      <w:lvlJc w:val="left"/>
      <w:pPr>
        <w:ind w:left="2520" w:hanging="360"/>
      </w:pPr>
      <w:rPr>
        <w:rFonts w:ascii="Symbol" w:hAnsi="Symbol" w:hint="default"/>
      </w:rPr>
    </w:lvl>
    <w:lvl w:ilvl="4" w:tplc="1F8A5984">
      <w:start w:val="1"/>
      <w:numFmt w:val="bullet"/>
      <w:lvlText w:val="o"/>
      <w:lvlJc w:val="left"/>
      <w:pPr>
        <w:ind w:left="3240" w:hanging="360"/>
      </w:pPr>
      <w:rPr>
        <w:rFonts w:ascii="Courier New" w:hAnsi="Courier New" w:hint="default"/>
      </w:rPr>
    </w:lvl>
    <w:lvl w:ilvl="5" w:tplc="A278842C">
      <w:start w:val="1"/>
      <w:numFmt w:val="bullet"/>
      <w:lvlText w:val=""/>
      <w:lvlJc w:val="left"/>
      <w:pPr>
        <w:ind w:left="3960" w:hanging="360"/>
      </w:pPr>
      <w:rPr>
        <w:rFonts w:ascii="Wingdings" w:hAnsi="Wingdings" w:hint="default"/>
      </w:rPr>
    </w:lvl>
    <w:lvl w:ilvl="6" w:tplc="1182F1B0">
      <w:start w:val="1"/>
      <w:numFmt w:val="bullet"/>
      <w:lvlText w:val=""/>
      <w:lvlJc w:val="left"/>
      <w:pPr>
        <w:ind w:left="4680" w:hanging="360"/>
      </w:pPr>
      <w:rPr>
        <w:rFonts w:ascii="Symbol" w:hAnsi="Symbol" w:hint="default"/>
      </w:rPr>
    </w:lvl>
    <w:lvl w:ilvl="7" w:tplc="895E6160">
      <w:start w:val="1"/>
      <w:numFmt w:val="bullet"/>
      <w:lvlText w:val="o"/>
      <w:lvlJc w:val="left"/>
      <w:pPr>
        <w:ind w:left="5400" w:hanging="360"/>
      </w:pPr>
      <w:rPr>
        <w:rFonts w:ascii="Courier New" w:hAnsi="Courier New" w:hint="default"/>
      </w:rPr>
    </w:lvl>
    <w:lvl w:ilvl="8" w:tplc="2A44C828">
      <w:start w:val="1"/>
      <w:numFmt w:val="bullet"/>
      <w:lvlText w:val=""/>
      <w:lvlJc w:val="left"/>
      <w:pPr>
        <w:ind w:left="6120" w:hanging="360"/>
      </w:pPr>
      <w:rPr>
        <w:rFonts w:ascii="Wingdings" w:hAnsi="Wingdings" w:hint="default"/>
      </w:rPr>
    </w:lvl>
  </w:abstractNum>
  <w:abstractNum w:abstractNumId="4" w15:restartNumberingAfterBreak="0">
    <w:nsid w:val="1642126B"/>
    <w:multiLevelType w:val="hybridMultilevel"/>
    <w:tmpl w:val="22740924"/>
    <w:lvl w:ilvl="0" w:tplc="FFFFFFFF">
      <w:start w:val="1"/>
      <w:numFmt w:val="lowerLetter"/>
      <w:lvlText w:val="%1)"/>
      <w:lvlJc w:val="left"/>
      <w:pPr>
        <w:ind w:left="1068" w:hanging="708"/>
      </w:pPr>
      <w:rPr>
        <w:rFonts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8A31B1"/>
    <w:multiLevelType w:val="singleLevel"/>
    <w:tmpl w:val="97E84DD6"/>
    <w:lvl w:ilvl="0">
      <w:start w:val="5"/>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1FE66355"/>
    <w:multiLevelType w:val="hybridMultilevel"/>
    <w:tmpl w:val="22740924"/>
    <w:lvl w:ilvl="0" w:tplc="04130017">
      <w:start w:val="1"/>
      <w:numFmt w:val="lowerLetter"/>
      <w:lvlText w:val="%1)"/>
      <w:lvlJc w:val="left"/>
      <w:pPr>
        <w:ind w:left="1068" w:hanging="708"/>
      </w:pPr>
      <w:rPr>
        <w:rFonts w:hint="default"/>
      </w:rPr>
    </w:lvl>
    <w:lvl w:ilvl="1" w:tplc="0413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16F0B"/>
    <w:multiLevelType w:val="hybridMultilevel"/>
    <w:tmpl w:val="71AC6DB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27C57A4A"/>
    <w:multiLevelType w:val="hybridMultilevel"/>
    <w:tmpl w:val="03D20412"/>
    <w:lvl w:ilvl="0" w:tplc="FFFFFFF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150FA3"/>
    <w:multiLevelType w:val="hybridMultilevel"/>
    <w:tmpl w:val="34540B0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51415B"/>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26064"/>
    <w:multiLevelType w:val="hybridMultilevel"/>
    <w:tmpl w:val="22740924"/>
    <w:lvl w:ilvl="0" w:tplc="FFFFFFFF">
      <w:start w:val="1"/>
      <w:numFmt w:val="lowerLetter"/>
      <w:lvlText w:val="%1)"/>
      <w:lvlJc w:val="left"/>
      <w:pPr>
        <w:ind w:left="1068" w:hanging="708"/>
      </w:pPr>
      <w:rPr>
        <w:rFonts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696ACC"/>
    <w:multiLevelType w:val="hybridMultilevel"/>
    <w:tmpl w:val="67103EE8"/>
    <w:lvl w:ilvl="0" w:tplc="787A53DA">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391E6963"/>
    <w:multiLevelType w:val="hybridMultilevel"/>
    <w:tmpl w:val="D5CA4CE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B3D418E"/>
    <w:multiLevelType w:val="hybridMultilevel"/>
    <w:tmpl w:val="37A6651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F9E4F89"/>
    <w:multiLevelType w:val="hybridMultilevel"/>
    <w:tmpl w:val="036A54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22391"/>
    <w:multiLevelType w:val="hybridMultilevel"/>
    <w:tmpl w:val="918876E2"/>
    <w:lvl w:ilvl="0" w:tplc="04130003">
      <w:start w:val="1"/>
      <w:numFmt w:val="bullet"/>
      <w:lvlText w:val="o"/>
      <w:lvlJc w:val="left"/>
      <w:pPr>
        <w:ind w:left="1069" w:hanging="360"/>
      </w:pPr>
      <w:rPr>
        <w:rFonts w:ascii="Courier New" w:hAnsi="Courier New"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46AC739D"/>
    <w:multiLevelType w:val="hybridMultilevel"/>
    <w:tmpl w:val="5546F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CA1F00"/>
    <w:multiLevelType w:val="hybridMultilevel"/>
    <w:tmpl w:val="F5E27DC4"/>
    <w:lvl w:ilvl="0" w:tplc="6E623A9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B56789B"/>
    <w:multiLevelType w:val="hybridMultilevel"/>
    <w:tmpl w:val="55146A8E"/>
    <w:lvl w:ilvl="0" w:tplc="5B06728E">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CB5B3AD"/>
    <w:multiLevelType w:val="hybridMultilevel"/>
    <w:tmpl w:val="F9B2C2C4"/>
    <w:lvl w:ilvl="0" w:tplc="7A1C055A">
      <w:start w:val="1"/>
      <w:numFmt w:val="bullet"/>
      <w:lvlText w:val=""/>
      <w:lvlJc w:val="left"/>
      <w:pPr>
        <w:ind w:left="360" w:hanging="360"/>
      </w:pPr>
      <w:rPr>
        <w:rFonts w:ascii="Symbol" w:hAnsi="Symbol" w:hint="default"/>
      </w:rPr>
    </w:lvl>
    <w:lvl w:ilvl="1" w:tplc="9E06E886">
      <w:start w:val="1"/>
      <w:numFmt w:val="bullet"/>
      <w:lvlText w:val="o"/>
      <w:lvlJc w:val="left"/>
      <w:pPr>
        <w:ind w:left="1080" w:hanging="360"/>
      </w:pPr>
      <w:rPr>
        <w:rFonts w:ascii="Courier New" w:hAnsi="Courier New" w:hint="default"/>
      </w:rPr>
    </w:lvl>
    <w:lvl w:ilvl="2" w:tplc="FDEA81F6">
      <w:start w:val="1"/>
      <w:numFmt w:val="bullet"/>
      <w:lvlText w:val=""/>
      <w:lvlJc w:val="left"/>
      <w:pPr>
        <w:ind w:left="1800" w:hanging="360"/>
      </w:pPr>
      <w:rPr>
        <w:rFonts w:ascii="Wingdings" w:hAnsi="Wingdings" w:hint="default"/>
      </w:rPr>
    </w:lvl>
    <w:lvl w:ilvl="3" w:tplc="2FA2B1A6">
      <w:start w:val="1"/>
      <w:numFmt w:val="bullet"/>
      <w:lvlText w:val=""/>
      <w:lvlJc w:val="left"/>
      <w:pPr>
        <w:ind w:left="2520" w:hanging="360"/>
      </w:pPr>
      <w:rPr>
        <w:rFonts w:ascii="Symbol" w:hAnsi="Symbol" w:hint="default"/>
      </w:rPr>
    </w:lvl>
    <w:lvl w:ilvl="4" w:tplc="BE229F90">
      <w:start w:val="1"/>
      <w:numFmt w:val="bullet"/>
      <w:lvlText w:val="o"/>
      <w:lvlJc w:val="left"/>
      <w:pPr>
        <w:ind w:left="3240" w:hanging="360"/>
      </w:pPr>
      <w:rPr>
        <w:rFonts w:ascii="Courier New" w:hAnsi="Courier New" w:hint="default"/>
      </w:rPr>
    </w:lvl>
    <w:lvl w:ilvl="5" w:tplc="C250FFEC">
      <w:start w:val="1"/>
      <w:numFmt w:val="bullet"/>
      <w:lvlText w:val=""/>
      <w:lvlJc w:val="left"/>
      <w:pPr>
        <w:ind w:left="3960" w:hanging="360"/>
      </w:pPr>
      <w:rPr>
        <w:rFonts w:ascii="Wingdings" w:hAnsi="Wingdings" w:hint="default"/>
      </w:rPr>
    </w:lvl>
    <w:lvl w:ilvl="6" w:tplc="ACBA0DC0">
      <w:start w:val="1"/>
      <w:numFmt w:val="bullet"/>
      <w:lvlText w:val=""/>
      <w:lvlJc w:val="left"/>
      <w:pPr>
        <w:ind w:left="4680" w:hanging="360"/>
      </w:pPr>
      <w:rPr>
        <w:rFonts w:ascii="Symbol" w:hAnsi="Symbol" w:hint="default"/>
      </w:rPr>
    </w:lvl>
    <w:lvl w:ilvl="7" w:tplc="F26A8694">
      <w:start w:val="1"/>
      <w:numFmt w:val="bullet"/>
      <w:lvlText w:val="o"/>
      <w:lvlJc w:val="left"/>
      <w:pPr>
        <w:ind w:left="5400" w:hanging="360"/>
      </w:pPr>
      <w:rPr>
        <w:rFonts w:ascii="Courier New" w:hAnsi="Courier New" w:hint="default"/>
      </w:rPr>
    </w:lvl>
    <w:lvl w:ilvl="8" w:tplc="6C16E9DE">
      <w:start w:val="1"/>
      <w:numFmt w:val="bullet"/>
      <w:lvlText w:val=""/>
      <w:lvlJc w:val="left"/>
      <w:pPr>
        <w:ind w:left="6120" w:hanging="360"/>
      </w:pPr>
      <w:rPr>
        <w:rFonts w:ascii="Wingdings" w:hAnsi="Wingdings" w:hint="default"/>
      </w:rPr>
    </w:lvl>
  </w:abstractNum>
  <w:abstractNum w:abstractNumId="21" w15:restartNumberingAfterBreak="0">
    <w:nsid w:val="4D5203C0"/>
    <w:multiLevelType w:val="hybridMultilevel"/>
    <w:tmpl w:val="71AC6D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738475A"/>
    <w:multiLevelType w:val="multilevel"/>
    <w:tmpl w:val="6C1E3E40"/>
    <w:styleLink w:val="Huidigelijst1"/>
    <w:lvl w:ilvl="0">
      <w:start w:val="1"/>
      <w:numFmt w:val="bullet"/>
      <w:lvlText w:val=""/>
      <w:lvlJc w:val="left"/>
      <w:pPr>
        <w:ind w:left="720" w:hanging="360"/>
      </w:pPr>
      <w:rPr>
        <w:rFonts w:ascii="Symbol" w:hAnsi="Symbol" w:hint="default"/>
        <w:color w:val="00A6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953AF8"/>
    <w:multiLevelType w:val="hybridMultilevel"/>
    <w:tmpl w:val="074E9CE4"/>
    <w:lvl w:ilvl="0" w:tplc="3014B474">
      <w:numFmt w:val="bullet"/>
      <w:lvlText w:val="•"/>
      <w:lvlJc w:val="left"/>
      <w:pPr>
        <w:ind w:left="567" w:hanging="227"/>
      </w:pPr>
      <w:rPr>
        <w:rFonts w:ascii="Corbel" w:eastAsiaTheme="minorHAnsi" w:hAnsi="Corbe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6145C30"/>
    <w:multiLevelType w:val="hybridMultilevel"/>
    <w:tmpl w:val="67103E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6B4920DB"/>
    <w:multiLevelType w:val="hybridMultilevel"/>
    <w:tmpl w:val="4BAA3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61029C"/>
    <w:multiLevelType w:val="hybridMultilevel"/>
    <w:tmpl w:val="55146A8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D6E0F4"/>
    <w:multiLevelType w:val="hybridMultilevel"/>
    <w:tmpl w:val="51CC8C68"/>
    <w:lvl w:ilvl="0" w:tplc="D23CBD4A">
      <w:start w:val="1"/>
      <w:numFmt w:val="bullet"/>
      <w:lvlText w:val="-"/>
      <w:lvlJc w:val="left"/>
      <w:pPr>
        <w:ind w:left="720" w:hanging="360"/>
      </w:pPr>
      <w:rPr>
        <w:rFonts w:ascii="&quot;Calibri&quot;,sans-serif" w:hAnsi="&quot;Calibri&quot;,sans-serif" w:hint="default"/>
      </w:rPr>
    </w:lvl>
    <w:lvl w:ilvl="1" w:tplc="515EE5D4">
      <w:start w:val="1"/>
      <w:numFmt w:val="bullet"/>
      <w:lvlText w:val="o"/>
      <w:lvlJc w:val="left"/>
      <w:pPr>
        <w:ind w:left="1440" w:hanging="360"/>
      </w:pPr>
      <w:rPr>
        <w:rFonts w:ascii="Courier New" w:hAnsi="Courier New" w:hint="default"/>
      </w:rPr>
    </w:lvl>
    <w:lvl w:ilvl="2" w:tplc="7A3245B8">
      <w:start w:val="1"/>
      <w:numFmt w:val="bullet"/>
      <w:lvlText w:val=""/>
      <w:lvlJc w:val="left"/>
      <w:pPr>
        <w:ind w:left="2160" w:hanging="360"/>
      </w:pPr>
      <w:rPr>
        <w:rFonts w:ascii="Wingdings" w:hAnsi="Wingdings" w:hint="default"/>
      </w:rPr>
    </w:lvl>
    <w:lvl w:ilvl="3" w:tplc="10B4407A">
      <w:start w:val="1"/>
      <w:numFmt w:val="bullet"/>
      <w:lvlText w:val=""/>
      <w:lvlJc w:val="left"/>
      <w:pPr>
        <w:ind w:left="2880" w:hanging="360"/>
      </w:pPr>
      <w:rPr>
        <w:rFonts w:ascii="Symbol" w:hAnsi="Symbol" w:hint="default"/>
      </w:rPr>
    </w:lvl>
    <w:lvl w:ilvl="4" w:tplc="D3805CE4">
      <w:start w:val="1"/>
      <w:numFmt w:val="bullet"/>
      <w:lvlText w:val="o"/>
      <w:lvlJc w:val="left"/>
      <w:pPr>
        <w:ind w:left="3600" w:hanging="360"/>
      </w:pPr>
      <w:rPr>
        <w:rFonts w:ascii="Courier New" w:hAnsi="Courier New" w:hint="default"/>
      </w:rPr>
    </w:lvl>
    <w:lvl w:ilvl="5" w:tplc="ED708334">
      <w:start w:val="1"/>
      <w:numFmt w:val="bullet"/>
      <w:lvlText w:val=""/>
      <w:lvlJc w:val="left"/>
      <w:pPr>
        <w:ind w:left="4320" w:hanging="360"/>
      </w:pPr>
      <w:rPr>
        <w:rFonts w:ascii="Wingdings" w:hAnsi="Wingdings" w:hint="default"/>
      </w:rPr>
    </w:lvl>
    <w:lvl w:ilvl="6" w:tplc="079C5312">
      <w:start w:val="1"/>
      <w:numFmt w:val="bullet"/>
      <w:lvlText w:val=""/>
      <w:lvlJc w:val="left"/>
      <w:pPr>
        <w:ind w:left="5040" w:hanging="360"/>
      </w:pPr>
      <w:rPr>
        <w:rFonts w:ascii="Symbol" w:hAnsi="Symbol" w:hint="default"/>
      </w:rPr>
    </w:lvl>
    <w:lvl w:ilvl="7" w:tplc="5930207E">
      <w:start w:val="1"/>
      <w:numFmt w:val="bullet"/>
      <w:lvlText w:val="o"/>
      <w:lvlJc w:val="left"/>
      <w:pPr>
        <w:ind w:left="5760" w:hanging="360"/>
      </w:pPr>
      <w:rPr>
        <w:rFonts w:ascii="Courier New" w:hAnsi="Courier New" w:hint="default"/>
      </w:rPr>
    </w:lvl>
    <w:lvl w:ilvl="8" w:tplc="D24A1DF8">
      <w:start w:val="1"/>
      <w:numFmt w:val="bullet"/>
      <w:lvlText w:val=""/>
      <w:lvlJc w:val="left"/>
      <w:pPr>
        <w:ind w:left="6480" w:hanging="360"/>
      </w:pPr>
      <w:rPr>
        <w:rFonts w:ascii="Wingdings" w:hAnsi="Wingdings" w:hint="default"/>
      </w:rPr>
    </w:lvl>
  </w:abstractNum>
  <w:abstractNum w:abstractNumId="28" w15:restartNumberingAfterBreak="0">
    <w:nsid w:val="79F46422"/>
    <w:multiLevelType w:val="hybridMultilevel"/>
    <w:tmpl w:val="7AA45E68"/>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0337941">
    <w:abstractNumId w:val="20"/>
  </w:num>
  <w:num w:numId="2" w16cid:durableId="1339304942">
    <w:abstractNumId w:val="27"/>
  </w:num>
  <w:num w:numId="3" w16cid:durableId="1802191778">
    <w:abstractNumId w:val="3"/>
  </w:num>
  <w:num w:numId="4" w16cid:durableId="381057646">
    <w:abstractNumId w:val="0"/>
  </w:num>
  <w:num w:numId="5" w16cid:durableId="38092923">
    <w:abstractNumId w:val="22"/>
  </w:num>
  <w:num w:numId="6" w16cid:durableId="53815428">
    <w:abstractNumId w:val="10"/>
  </w:num>
  <w:num w:numId="7" w16cid:durableId="439682815">
    <w:abstractNumId w:val="5"/>
  </w:num>
  <w:num w:numId="8" w16cid:durableId="453334963">
    <w:abstractNumId w:val="9"/>
  </w:num>
  <w:num w:numId="9" w16cid:durableId="7491035">
    <w:abstractNumId w:val="15"/>
  </w:num>
  <w:num w:numId="10" w16cid:durableId="1942492013">
    <w:abstractNumId w:val="2"/>
  </w:num>
  <w:num w:numId="11" w16cid:durableId="1805346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9252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588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53370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177545">
    <w:abstractNumId w:val="25"/>
  </w:num>
  <w:num w:numId="16" w16cid:durableId="2090930875">
    <w:abstractNumId w:val="18"/>
  </w:num>
  <w:num w:numId="17" w16cid:durableId="1368407753">
    <w:abstractNumId w:val="13"/>
  </w:num>
  <w:num w:numId="18" w16cid:durableId="811210367">
    <w:abstractNumId w:val="17"/>
  </w:num>
  <w:num w:numId="19" w16cid:durableId="2024550815">
    <w:abstractNumId w:val="6"/>
  </w:num>
  <w:num w:numId="20" w16cid:durableId="1049066334">
    <w:abstractNumId w:val="4"/>
  </w:num>
  <w:num w:numId="21" w16cid:durableId="941181604">
    <w:abstractNumId w:val="11"/>
  </w:num>
  <w:num w:numId="22" w16cid:durableId="743331802">
    <w:abstractNumId w:val="23"/>
  </w:num>
  <w:num w:numId="23" w16cid:durableId="1315836944">
    <w:abstractNumId w:val="19"/>
  </w:num>
  <w:num w:numId="24" w16cid:durableId="665985939">
    <w:abstractNumId w:val="1"/>
  </w:num>
  <w:num w:numId="25" w16cid:durableId="1249192126">
    <w:abstractNumId w:val="26"/>
  </w:num>
  <w:num w:numId="26" w16cid:durableId="941911568">
    <w:abstractNumId w:val="8"/>
  </w:num>
  <w:num w:numId="27" w16cid:durableId="1361011539">
    <w:abstractNumId w:val="14"/>
  </w:num>
  <w:num w:numId="28" w16cid:durableId="970668944">
    <w:abstractNumId w:val="16"/>
  </w:num>
  <w:num w:numId="29" w16cid:durableId="1192062584">
    <w:abstractNumId w:val="28"/>
  </w:num>
  <w:num w:numId="30" w16cid:durableId="141959761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6"/>
    <w:rsid w:val="000002FB"/>
    <w:rsid w:val="000016DA"/>
    <w:rsid w:val="00001BF6"/>
    <w:rsid w:val="000045D1"/>
    <w:rsid w:val="00010421"/>
    <w:rsid w:val="000166DC"/>
    <w:rsid w:val="000211B3"/>
    <w:rsid w:val="000240B5"/>
    <w:rsid w:val="00024E32"/>
    <w:rsid w:val="000348AA"/>
    <w:rsid w:val="00035A2D"/>
    <w:rsid w:val="00036A6F"/>
    <w:rsid w:val="0004271B"/>
    <w:rsid w:val="000463D2"/>
    <w:rsid w:val="00052D77"/>
    <w:rsid w:val="00053C4F"/>
    <w:rsid w:val="00054F44"/>
    <w:rsid w:val="00056264"/>
    <w:rsid w:val="00057587"/>
    <w:rsid w:val="0006045C"/>
    <w:rsid w:val="000616A7"/>
    <w:rsid w:val="00063B6E"/>
    <w:rsid w:val="00070038"/>
    <w:rsid w:val="00070138"/>
    <w:rsid w:val="00071B61"/>
    <w:rsid w:val="00072E62"/>
    <w:rsid w:val="00072EC2"/>
    <w:rsid w:val="00077805"/>
    <w:rsid w:val="00080714"/>
    <w:rsid w:val="0008103D"/>
    <w:rsid w:val="00081112"/>
    <w:rsid w:val="0008174F"/>
    <w:rsid w:val="000821DE"/>
    <w:rsid w:val="000821FD"/>
    <w:rsid w:val="00087BE4"/>
    <w:rsid w:val="00090DD7"/>
    <w:rsid w:val="00091A04"/>
    <w:rsid w:val="00091BFA"/>
    <w:rsid w:val="000963E8"/>
    <w:rsid w:val="000970B9"/>
    <w:rsid w:val="000B03B5"/>
    <w:rsid w:val="000B0F53"/>
    <w:rsid w:val="000B1459"/>
    <w:rsid w:val="000B17A4"/>
    <w:rsid w:val="000B3483"/>
    <w:rsid w:val="000D1489"/>
    <w:rsid w:val="000D2B6B"/>
    <w:rsid w:val="000D667F"/>
    <w:rsid w:val="000D6C6B"/>
    <w:rsid w:val="000D74F0"/>
    <w:rsid w:val="000E168B"/>
    <w:rsid w:val="000E2D5A"/>
    <w:rsid w:val="000E4685"/>
    <w:rsid w:val="000E5B35"/>
    <w:rsid w:val="000E7929"/>
    <w:rsid w:val="0010284D"/>
    <w:rsid w:val="00105380"/>
    <w:rsid w:val="001059A6"/>
    <w:rsid w:val="00106863"/>
    <w:rsid w:val="00110220"/>
    <w:rsid w:val="00114308"/>
    <w:rsid w:val="001210C9"/>
    <w:rsid w:val="001214E9"/>
    <w:rsid w:val="001222D0"/>
    <w:rsid w:val="001237A0"/>
    <w:rsid w:val="00134A23"/>
    <w:rsid w:val="00136C17"/>
    <w:rsid w:val="00137724"/>
    <w:rsid w:val="00137847"/>
    <w:rsid w:val="00140D2F"/>
    <w:rsid w:val="00147AEC"/>
    <w:rsid w:val="00163FD5"/>
    <w:rsid w:val="00164607"/>
    <w:rsid w:val="001650BD"/>
    <w:rsid w:val="00165535"/>
    <w:rsid w:val="00167B13"/>
    <w:rsid w:val="001712CC"/>
    <w:rsid w:val="001758C0"/>
    <w:rsid w:val="00180B3B"/>
    <w:rsid w:val="00182327"/>
    <w:rsid w:val="00182E6D"/>
    <w:rsid w:val="001833C0"/>
    <w:rsid w:val="00183944"/>
    <w:rsid w:val="00183CBB"/>
    <w:rsid w:val="00194C51"/>
    <w:rsid w:val="00196360"/>
    <w:rsid w:val="001A10F4"/>
    <w:rsid w:val="001A3AAB"/>
    <w:rsid w:val="001A4E1C"/>
    <w:rsid w:val="001A7261"/>
    <w:rsid w:val="001B0941"/>
    <w:rsid w:val="001B37C7"/>
    <w:rsid w:val="001B4B85"/>
    <w:rsid w:val="001B7B30"/>
    <w:rsid w:val="001C1BED"/>
    <w:rsid w:val="001C66F4"/>
    <w:rsid w:val="001D0F72"/>
    <w:rsid w:val="001D2B09"/>
    <w:rsid w:val="001D2B5F"/>
    <w:rsid w:val="001D6D49"/>
    <w:rsid w:val="001E41CE"/>
    <w:rsid w:val="001E4730"/>
    <w:rsid w:val="001E6594"/>
    <w:rsid w:val="001E6767"/>
    <w:rsid w:val="001E73A0"/>
    <w:rsid w:val="001F0047"/>
    <w:rsid w:val="001F5940"/>
    <w:rsid w:val="001F7114"/>
    <w:rsid w:val="0020045F"/>
    <w:rsid w:val="00201236"/>
    <w:rsid w:val="002013E7"/>
    <w:rsid w:val="00201D85"/>
    <w:rsid w:val="00202F11"/>
    <w:rsid w:val="002056DF"/>
    <w:rsid w:val="00206B73"/>
    <w:rsid w:val="00206EC0"/>
    <w:rsid w:val="002109A5"/>
    <w:rsid w:val="002113DD"/>
    <w:rsid w:val="002137F3"/>
    <w:rsid w:val="00222306"/>
    <w:rsid w:val="00224470"/>
    <w:rsid w:val="00226450"/>
    <w:rsid w:val="00227DC8"/>
    <w:rsid w:val="00230614"/>
    <w:rsid w:val="00231FDD"/>
    <w:rsid w:val="00232D17"/>
    <w:rsid w:val="00233572"/>
    <w:rsid w:val="00233960"/>
    <w:rsid w:val="00234798"/>
    <w:rsid w:val="00236AE1"/>
    <w:rsid w:val="0023A5D3"/>
    <w:rsid w:val="00240D14"/>
    <w:rsid w:val="0024116B"/>
    <w:rsid w:val="00241AE2"/>
    <w:rsid w:val="00243C34"/>
    <w:rsid w:val="00244760"/>
    <w:rsid w:val="00250328"/>
    <w:rsid w:val="00253F01"/>
    <w:rsid w:val="00262C8A"/>
    <w:rsid w:val="00263AE6"/>
    <w:rsid w:val="0026571C"/>
    <w:rsid w:val="002667E3"/>
    <w:rsid w:val="00270DD8"/>
    <w:rsid w:val="0027241C"/>
    <w:rsid w:val="002732DF"/>
    <w:rsid w:val="0027373C"/>
    <w:rsid w:val="00280597"/>
    <w:rsid w:val="00280B74"/>
    <w:rsid w:val="002841A6"/>
    <w:rsid w:val="00284D70"/>
    <w:rsid w:val="00285254"/>
    <w:rsid w:val="0028658C"/>
    <w:rsid w:val="00287C08"/>
    <w:rsid w:val="002922FF"/>
    <w:rsid w:val="00292EF1"/>
    <w:rsid w:val="002A5DA1"/>
    <w:rsid w:val="002A7927"/>
    <w:rsid w:val="002A7D94"/>
    <w:rsid w:val="002A7EFC"/>
    <w:rsid w:val="002B12F4"/>
    <w:rsid w:val="002B25D4"/>
    <w:rsid w:val="002C42BE"/>
    <w:rsid w:val="002C5E12"/>
    <w:rsid w:val="002C6A97"/>
    <w:rsid w:val="002D15AC"/>
    <w:rsid w:val="002D1FBD"/>
    <w:rsid w:val="002D22A0"/>
    <w:rsid w:val="002D3114"/>
    <w:rsid w:val="002D31F8"/>
    <w:rsid w:val="002D5FA3"/>
    <w:rsid w:val="002D5FD9"/>
    <w:rsid w:val="002D6D5B"/>
    <w:rsid w:val="002D7E1E"/>
    <w:rsid w:val="002E307D"/>
    <w:rsid w:val="002F158F"/>
    <w:rsid w:val="002F1614"/>
    <w:rsid w:val="002F1787"/>
    <w:rsid w:val="002F27D9"/>
    <w:rsid w:val="002F2E5D"/>
    <w:rsid w:val="002F690F"/>
    <w:rsid w:val="002F7F4E"/>
    <w:rsid w:val="003002B5"/>
    <w:rsid w:val="00301469"/>
    <w:rsid w:val="0030372C"/>
    <w:rsid w:val="00304EF3"/>
    <w:rsid w:val="00310C45"/>
    <w:rsid w:val="0031311A"/>
    <w:rsid w:val="003151E2"/>
    <w:rsid w:val="00317C4C"/>
    <w:rsid w:val="00317FB1"/>
    <w:rsid w:val="0031E515"/>
    <w:rsid w:val="0032554D"/>
    <w:rsid w:val="00325735"/>
    <w:rsid w:val="003277B2"/>
    <w:rsid w:val="00327839"/>
    <w:rsid w:val="003317EE"/>
    <w:rsid w:val="00334F64"/>
    <w:rsid w:val="003354C4"/>
    <w:rsid w:val="0033660C"/>
    <w:rsid w:val="003432D9"/>
    <w:rsid w:val="00345342"/>
    <w:rsid w:val="0034725D"/>
    <w:rsid w:val="003474C8"/>
    <w:rsid w:val="00347A91"/>
    <w:rsid w:val="003518A7"/>
    <w:rsid w:val="00351ACA"/>
    <w:rsid w:val="00357370"/>
    <w:rsid w:val="0036101C"/>
    <w:rsid w:val="00361933"/>
    <w:rsid w:val="00361AF0"/>
    <w:rsid w:val="0036336A"/>
    <w:rsid w:val="0036508F"/>
    <w:rsid w:val="00371B4F"/>
    <w:rsid w:val="00373618"/>
    <w:rsid w:val="003745B1"/>
    <w:rsid w:val="003746DE"/>
    <w:rsid w:val="00375D7F"/>
    <w:rsid w:val="00377787"/>
    <w:rsid w:val="003777DE"/>
    <w:rsid w:val="00380804"/>
    <w:rsid w:val="00382EAB"/>
    <w:rsid w:val="003858C6"/>
    <w:rsid w:val="00393225"/>
    <w:rsid w:val="0039776B"/>
    <w:rsid w:val="003A592D"/>
    <w:rsid w:val="003A7259"/>
    <w:rsid w:val="003B0A13"/>
    <w:rsid w:val="003B39B3"/>
    <w:rsid w:val="003B4B20"/>
    <w:rsid w:val="003B5CAD"/>
    <w:rsid w:val="003C1600"/>
    <w:rsid w:val="003C1A5E"/>
    <w:rsid w:val="003C1ED1"/>
    <w:rsid w:val="003C6C6A"/>
    <w:rsid w:val="003D04BF"/>
    <w:rsid w:val="003D34CD"/>
    <w:rsid w:val="003D5A22"/>
    <w:rsid w:val="003D675D"/>
    <w:rsid w:val="003D761F"/>
    <w:rsid w:val="003E2B0A"/>
    <w:rsid w:val="003E70B9"/>
    <w:rsid w:val="003E7B15"/>
    <w:rsid w:val="003F25F1"/>
    <w:rsid w:val="00401581"/>
    <w:rsid w:val="00403658"/>
    <w:rsid w:val="00405083"/>
    <w:rsid w:val="00406EBF"/>
    <w:rsid w:val="004076F0"/>
    <w:rsid w:val="00410AE4"/>
    <w:rsid w:val="00413136"/>
    <w:rsid w:val="0041324C"/>
    <w:rsid w:val="00413A25"/>
    <w:rsid w:val="00413CDB"/>
    <w:rsid w:val="00416F73"/>
    <w:rsid w:val="00421B6B"/>
    <w:rsid w:val="00421E60"/>
    <w:rsid w:val="004239BE"/>
    <w:rsid w:val="004239FA"/>
    <w:rsid w:val="00423A02"/>
    <w:rsid w:val="0042428F"/>
    <w:rsid w:val="00427EF5"/>
    <w:rsid w:val="00433B02"/>
    <w:rsid w:val="00433F12"/>
    <w:rsid w:val="00434C24"/>
    <w:rsid w:val="00436572"/>
    <w:rsid w:val="004371F6"/>
    <w:rsid w:val="00442E0A"/>
    <w:rsid w:val="004435D3"/>
    <w:rsid w:val="00444B9F"/>
    <w:rsid w:val="00450667"/>
    <w:rsid w:val="004542CE"/>
    <w:rsid w:val="0045469F"/>
    <w:rsid w:val="004554E1"/>
    <w:rsid w:val="00460377"/>
    <w:rsid w:val="004612AB"/>
    <w:rsid w:val="00465590"/>
    <w:rsid w:val="0047202A"/>
    <w:rsid w:val="00474D79"/>
    <w:rsid w:val="00476368"/>
    <w:rsid w:val="00481896"/>
    <w:rsid w:val="0048617D"/>
    <w:rsid w:val="00487C83"/>
    <w:rsid w:val="00490EAC"/>
    <w:rsid w:val="0049361F"/>
    <w:rsid w:val="004A0989"/>
    <w:rsid w:val="004A0B37"/>
    <w:rsid w:val="004A5194"/>
    <w:rsid w:val="004A574B"/>
    <w:rsid w:val="004B1E30"/>
    <w:rsid w:val="004B487D"/>
    <w:rsid w:val="004B74F0"/>
    <w:rsid w:val="004B7BF7"/>
    <w:rsid w:val="004C30BF"/>
    <w:rsid w:val="004C4361"/>
    <w:rsid w:val="004C7732"/>
    <w:rsid w:val="004C7D3C"/>
    <w:rsid w:val="004D1482"/>
    <w:rsid w:val="004D172D"/>
    <w:rsid w:val="004D20D8"/>
    <w:rsid w:val="004D3D4F"/>
    <w:rsid w:val="004D54F5"/>
    <w:rsid w:val="004D656C"/>
    <w:rsid w:val="004D7EB3"/>
    <w:rsid w:val="004E2F84"/>
    <w:rsid w:val="004E7864"/>
    <w:rsid w:val="004E7B75"/>
    <w:rsid w:val="004F24C9"/>
    <w:rsid w:val="004F2681"/>
    <w:rsid w:val="004F2747"/>
    <w:rsid w:val="004F6FCE"/>
    <w:rsid w:val="004F7EAB"/>
    <w:rsid w:val="00503E2D"/>
    <w:rsid w:val="00507BEF"/>
    <w:rsid w:val="005110D6"/>
    <w:rsid w:val="00511251"/>
    <w:rsid w:val="00512C6B"/>
    <w:rsid w:val="00516523"/>
    <w:rsid w:val="00522D5E"/>
    <w:rsid w:val="00523939"/>
    <w:rsid w:val="00523AB9"/>
    <w:rsid w:val="00524D54"/>
    <w:rsid w:val="00525890"/>
    <w:rsid w:val="00531E45"/>
    <w:rsid w:val="00533C87"/>
    <w:rsid w:val="005357BB"/>
    <w:rsid w:val="005357CF"/>
    <w:rsid w:val="00535F36"/>
    <w:rsid w:val="00536D02"/>
    <w:rsid w:val="005421E1"/>
    <w:rsid w:val="00544836"/>
    <w:rsid w:val="0054558E"/>
    <w:rsid w:val="005516CE"/>
    <w:rsid w:val="00552D8C"/>
    <w:rsid w:val="00561625"/>
    <w:rsid w:val="0057042B"/>
    <w:rsid w:val="00571016"/>
    <w:rsid w:val="0057291F"/>
    <w:rsid w:val="00572B82"/>
    <w:rsid w:val="00573AB7"/>
    <w:rsid w:val="0057731C"/>
    <w:rsid w:val="00582E57"/>
    <w:rsid w:val="00587D9F"/>
    <w:rsid w:val="005905B8"/>
    <w:rsid w:val="00592CD7"/>
    <w:rsid w:val="00595564"/>
    <w:rsid w:val="00595952"/>
    <w:rsid w:val="005A1140"/>
    <w:rsid w:val="005A16D8"/>
    <w:rsid w:val="005A2969"/>
    <w:rsid w:val="005A58A8"/>
    <w:rsid w:val="005A7C0B"/>
    <w:rsid w:val="005B09B1"/>
    <w:rsid w:val="005B20E7"/>
    <w:rsid w:val="005B39E6"/>
    <w:rsid w:val="005B420A"/>
    <w:rsid w:val="005B4ADD"/>
    <w:rsid w:val="005C47DB"/>
    <w:rsid w:val="005C53EA"/>
    <w:rsid w:val="005C6B46"/>
    <w:rsid w:val="005D330C"/>
    <w:rsid w:val="005D55D3"/>
    <w:rsid w:val="005E0D98"/>
    <w:rsid w:val="005E2111"/>
    <w:rsid w:val="005E442B"/>
    <w:rsid w:val="005F033E"/>
    <w:rsid w:val="005F0A23"/>
    <w:rsid w:val="005F3BB1"/>
    <w:rsid w:val="00601B41"/>
    <w:rsid w:val="00602056"/>
    <w:rsid w:val="00602694"/>
    <w:rsid w:val="00603A89"/>
    <w:rsid w:val="00605AD9"/>
    <w:rsid w:val="0061241D"/>
    <w:rsid w:val="00613EC3"/>
    <w:rsid w:val="0062630F"/>
    <w:rsid w:val="00633386"/>
    <w:rsid w:val="0063617B"/>
    <w:rsid w:val="00641973"/>
    <w:rsid w:val="00642BB9"/>
    <w:rsid w:val="0065188A"/>
    <w:rsid w:val="00654422"/>
    <w:rsid w:val="0066212F"/>
    <w:rsid w:val="006625FF"/>
    <w:rsid w:val="00667821"/>
    <w:rsid w:val="00670AAE"/>
    <w:rsid w:val="00673EBD"/>
    <w:rsid w:val="00676245"/>
    <w:rsid w:val="00676504"/>
    <w:rsid w:val="00676E0C"/>
    <w:rsid w:val="0067702D"/>
    <w:rsid w:val="006775EA"/>
    <w:rsid w:val="00680C5C"/>
    <w:rsid w:val="006828EA"/>
    <w:rsid w:val="0069076E"/>
    <w:rsid w:val="00695074"/>
    <w:rsid w:val="00695EDD"/>
    <w:rsid w:val="006A08A7"/>
    <w:rsid w:val="006A10FE"/>
    <w:rsid w:val="006A14B4"/>
    <w:rsid w:val="006A14F8"/>
    <w:rsid w:val="006A51EF"/>
    <w:rsid w:val="006A6ABC"/>
    <w:rsid w:val="006B09CA"/>
    <w:rsid w:val="006B2BB4"/>
    <w:rsid w:val="006B4964"/>
    <w:rsid w:val="006B6826"/>
    <w:rsid w:val="006C032A"/>
    <w:rsid w:val="006C07C6"/>
    <w:rsid w:val="006C11CD"/>
    <w:rsid w:val="006C2689"/>
    <w:rsid w:val="006D54A7"/>
    <w:rsid w:val="006D577A"/>
    <w:rsid w:val="006E6F2B"/>
    <w:rsid w:val="006F031D"/>
    <w:rsid w:val="006F1390"/>
    <w:rsid w:val="006F2CB1"/>
    <w:rsid w:val="007003B9"/>
    <w:rsid w:val="00701BEF"/>
    <w:rsid w:val="00703045"/>
    <w:rsid w:val="00705B78"/>
    <w:rsid w:val="00707750"/>
    <w:rsid w:val="0071082C"/>
    <w:rsid w:val="007110A6"/>
    <w:rsid w:val="007161BE"/>
    <w:rsid w:val="00720389"/>
    <w:rsid w:val="007209FA"/>
    <w:rsid w:val="0072233E"/>
    <w:rsid w:val="00723530"/>
    <w:rsid w:val="00723BDF"/>
    <w:rsid w:val="00725D6E"/>
    <w:rsid w:val="00732AB8"/>
    <w:rsid w:val="00734016"/>
    <w:rsid w:val="007342C7"/>
    <w:rsid w:val="00736309"/>
    <w:rsid w:val="0073730E"/>
    <w:rsid w:val="00741641"/>
    <w:rsid w:val="007416F5"/>
    <w:rsid w:val="00742CAB"/>
    <w:rsid w:val="00743315"/>
    <w:rsid w:val="007442EE"/>
    <w:rsid w:val="00745E6A"/>
    <w:rsid w:val="0074784C"/>
    <w:rsid w:val="00747A81"/>
    <w:rsid w:val="00750B9D"/>
    <w:rsid w:val="00751739"/>
    <w:rsid w:val="007524FE"/>
    <w:rsid w:val="0075462F"/>
    <w:rsid w:val="00755F45"/>
    <w:rsid w:val="00757067"/>
    <w:rsid w:val="007620F3"/>
    <w:rsid w:val="00762186"/>
    <w:rsid w:val="00764C2A"/>
    <w:rsid w:val="00766F03"/>
    <w:rsid w:val="0077053F"/>
    <w:rsid w:val="007726B4"/>
    <w:rsid w:val="0078287E"/>
    <w:rsid w:val="007838AC"/>
    <w:rsid w:val="0078498D"/>
    <w:rsid w:val="00784BE9"/>
    <w:rsid w:val="007853AA"/>
    <w:rsid w:val="00786FC5"/>
    <w:rsid w:val="00790954"/>
    <w:rsid w:val="00790E5C"/>
    <w:rsid w:val="00791102"/>
    <w:rsid w:val="0079294A"/>
    <w:rsid w:val="007A21CC"/>
    <w:rsid w:val="007A2268"/>
    <w:rsid w:val="007A39EC"/>
    <w:rsid w:val="007A5E6B"/>
    <w:rsid w:val="007A67CD"/>
    <w:rsid w:val="007B4C94"/>
    <w:rsid w:val="007B6196"/>
    <w:rsid w:val="007C0B66"/>
    <w:rsid w:val="007C1D8E"/>
    <w:rsid w:val="007C5353"/>
    <w:rsid w:val="007D015F"/>
    <w:rsid w:val="007D27A0"/>
    <w:rsid w:val="007D2FD2"/>
    <w:rsid w:val="007D38A1"/>
    <w:rsid w:val="007E3802"/>
    <w:rsid w:val="007F08B8"/>
    <w:rsid w:val="007F0C9C"/>
    <w:rsid w:val="007F1C29"/>
    <w:rsid w:val="007F2E4C"/>
    <w:rsid w:val="007F514A"/>
    <w:rsid w:val="007F5DB4"/>
    <w:rsid w:val="007F6057"/>
    <w:rsid w:val="00803557"/>
    <w:rsid w:val="0080438C"/>
    <w:rsid w:val="0080524D"/>
    <w:rsid w:val="0080586B"/>
    <w:rsid w:val="00806820"/>
    <w:rsid w:val="008129E7"/>
    <w:rsid w:val="00817F9E"/>
    <w:rsid w:val="008223E8"/>
    <w:rsid w:val="00822AEA"/>
    <w:rsid w:val="008240E5"/>
    <w:rsid w:val="00824C3A"/>
    <w:rsid w:val="00832004"/>
    <w:rsid w:val="008320A4"/>
    <w:rsid w:val="008328CB"/>
    <w:rsid w:val="008342CE"/>
    <w:rsid w:val="00835FCE"/>
    <w:rsid w:val="0083620D"/>
    <w:rsid w:val="008367C1"/>
    <w:rsid w:val="008402E1"/>
    <w:rsid w:val="00841214"/>
    <w:rsid w:val="00843FDA"/>
    <w:rsid w:val="0084527D"/>
    <w:rsid w:val="00845C60"/>
    <w:rsid w:val="00846BEE"/>
    <w:rsid w:val="008512DF"/>
    <w:rsid w:val="008535D7"/>
    <w:rsid w:val="00853E6F"/>
    <w:rsid w:val="008544EE"/>
    <w:rsid w:val="00857FA3"/>
    <w:rsid w:val="008610DA"/>
    <w:rsid w:val="00864CC4"/>
    <w:rsid w:val="00866AC8"/>
    <w:rsid w:val="00871D79"/>
    <w:rsid w:val="008727E3"/>
    <w:rsid w:val="00872C9A"/>
    <w:rsid w:val="00875785"/>
    <w:rsid w:val="00881072"/>
    <w:rsid w:val="00881B0B"/>
    <w:rsid w:val="00882AB8"/>
    <w:rsid w:val="00884581"/>
    <w:rsid w:val="00884FC3"/>
    <w:rsid w:val="00890563"/>
    <w:rsid w:val="00890AB5"/>
    <w:rsid w:val="008928CF"/>
    <w:rsid w:val="008937C0"/>
    <w:rsid w:val="00896432"/>
    <w:rsid w:val="00896CCC"/>
    <w:rsid w:val="008A1371"/>
    <w:rsid w:val="008A1C91"/>
    <w:rsid w:val="008A33A4"/>
    <w:rsid w:val="008A368D"/>
    <w:rsid w:val="008A4750"/>
    <w:rsid w:val="008A56D8"/>
    <w:rsid w:val="008A575A"/>
    <w:rsid w:val="008A5E25"/>
    <w:rsid w:val="008A77B6"/>
    <w:rsid w:val="008B2780"/>
    <w:rsid w:val="008B3303"/>
    <w:rsid w:val="008B4725"/>
    <w:rsid w:val="008C0961"/>
    <w:rsid w:val="008C0BA1"/>
    <w:rsid w:val="008C0D73"/>
    <w:rsid w:val="008C142F"/>
    <w:rsid w:val="008C2A5C"/>
    <w:rsid w:val="008C66AE"/>
    <w:rsid w:val="008D2625"/>
    <w:rsid w:val="008D3238"/>
    <w:rsid w:val="008D3915"/>
    <w:rsid w:val="008D53B5"/>
    <w:rsid w:val="008D5C1D"/>
    <w:rsid w:val="008D6331"/>
    <w:rsid w:val="008D6F4C"/>
    <w:rsid w:val="008DE562"/>
    <w:rsid w:val="008E43FC"/>
    <w:rsid w:val="008F0459"/>
    <w:rsid w:val="008F2980"/>
    <w:rsid w:val="008F40A4"/>
    <w:rsid w:val="008F47B1"/>
    <w:rsid w:val="008F7771"/>
    <w:rsid w:val="00900E52"/>
    <w:rsid w:val="00902971"/>
    <w:rsid w:val="009044D7"/>
    <w:rsid w:val="00904C72"/>
    <w:rsid w:val="00907FB9"/>
    <w:rsid w:val="0091197F"/>
    <w:rsid w:val="00911A31"/>
    <w:rsid w:val="0091633B"/>
    <w:rsid w:val="00920483"/>
    <w:rsid w:val="00920896"/>
    <w:rsid w:val="009233DC"/>
    <w:rsid w:val="0092404E"/>
    <w:rsid w:val="00924846"/>
    <w:rsid w:val="00925140"/>
    <w:rsid w:val="0092529A"/>
    <w:rsid w:val="0092575A"/>
    <w:rsid w:val="0093166C"/>
    <w:rsid w:val="00933F93"/>
    <w:rsid w:val="0094010E"/>
    <w:rsid w:val="00945C03"/>
    <w:rsid w:val="009461C3"/>
    <w:rsid w:val="0095107D"/>
    <w:rsid w:val="009542E6"/>
    <w:rsid w:val="00955348"/>
    <w:rsid w:val="00962A08"/>
    <w:rsid w:val="00963BC5"/>
    <w:rsid w:val="0096665A"/>
    <w:rsid w:val="0097248A"/>
    <w:rsid w:val="00973C3C"/>
    <w:rsid w:val="00977009"/>
    <w:rsid w:val="00977486"/>
    <w:rsid w:val="00977EFE"/>
    <w:rsid w:val="00982A45"/>
    <w:rsid w:val="00985170"/>
    <w:rsid w:val="00985593"/>
    <w:rsid w:val="0098568C"/>
    <w:rsid w:val="009858DB"/>
    <w:rsid w:val="00987052"/>
    <w:rsid w:val="00987D57"/>
    <w:rsid w:val="009913A2"/>
    <w:rsid w:val="009918B7"/>
    <w:rsid w:val="00993AAA"/>
    <w:rsid w:val="00995FAD"/>
    <w:rsid w:val="009A2DEA"/>
    <w:rsid w:val="009A3645"/>
    <w:rsid w:val="009A3C16"/>
    <w:rsid w:val="009B1874"/>
    <w:rsid w:val="009B35CF"/>
    <w:rsid w:val="009B3861"/>
    <w:rsid w:val="009B4243"/>
    <w:rsid w:val="009B75E3"/>
    <w:rsid w:val="009C2392"/>
    <w:rsid w:val="009C2B5C"/>
    <w:rsid w:val="009D4835"/>
    <w:rsid w:val="009D7366"/>
    <w:rsid w:val="009E1406"/>
    <w:rsid w:val="009E14ED"/>
    <w:rsid w:val="009E2F98"/>
    <w:rsid w:val="009E4F3D"/>
    <w:rsid w:val="009F134C"/>
    <w:rsid w:val="009F3DD0"/>
    <w:rsid w:val="009F5BA8"/>
    <w:rsid w:val="00A03275"/>
    <w:rsid w:val="00A0549E"/>
    <w:rsid w:val="00A06E39"/>
    <w:rsid w:val="00A07E57"/>
    <w:rsid w:val="00A11591"/>
    <w:rsid w:val="00A11D11"/>
    <w:rsid w:val="00A12705"/>
    <w:rsid w:val="00A13C9E"/>
    <w:rsid w:val="00A1463B"/>
    <w:rsid w:val="00A14A4C"/>
    <w:rsid w:val="00A156AD"/>
    <w:rsid w:val="00A1642B"/>
    <w:rsid w:val="00A169AA"/>
    <w:rsid w:val="00A24099"/>
    <w:rsid w:val="00A26BCE"/>
    <w:rsid w:val="00A30D8C"/>
    <w:rsid w:val="00A31B94"/>
    <w:rsid w:val="00A36CE8"/>
    <w:rsid w:val="00A375E3"/>
    <w:rsid w:val="00A37D3C"/>
    <w:rsid w:val="00A41252"/>
    <w:rsid w:val="00A44B2B"/>
    <w:rsid w:val="00A51791"/>
    <w:rsid w:val="00A557A1"/>
    <w:rsid w:val="00A57E40"/>
    <w:rsid w:val="00A603CF"/>
    <w:rsid w:val="00A60C07"/>
    <w:rsid w:val="00A619DB"/>
    <w:rsid w:val="00A649CA"/>
    <w:rsid w:val="00A672CE"/>
    <w:rsid w:val="00A67CCE"/>
    <w:rsid w:val="00A7026B"/>
    <w:rsid w:val="00A72851"/>
    <w:rsid w:val="00A809F7"/>
    <w:rsid w:val="00A83EAB"/>
    <w:rsid w:val="00A8619A"/>
    <w:rsid w:val="00A92CCC"/>
    <w:rsid w:val="00A9560B"/>
    <w:rsid w:val="00A95851"/>
    <w:rsid w:val="00AA1781"/>
    <w:rsid w:val="00AA1B5B"/>
    <w:rsid w:val="00AA2310"/>
    <w:rsid w:val="00AA2E59"/>
    <w:rsid w:val="00AA3F5F"/>
    <w:rsid w:val="00AA532A"/>
    <w:rsid w:val="00AB78A6"/>
    <w:rsid w:val="00AC0A82"/>
    <w:rsid w:val="00AC1C01"/>
    <w:rsid w:val="00AC2F56"/>
    <w:rsid w:val="00AC31E2"/>
    <w:rsid w:val="00AC41F7"/>
    <w:rsid w:val="00AC5A94"/>
    <w:rsid w:val="00AC75D8"/>
    <w:rsid w:val="00AC7AF6"/>
    <w:rsid w:val="00AD5586"/>
    <w:rsid w:val="00AD72E7"/>
    <w:rsid w:val="00AD79F4"/>
    <w:rsid w:val="00AE0B45"/>
    <w:rsid w:val="00AE1FD6"/>
    <w:rsid w:val="00AE4A74"/>
    <w:rsid w:val="00AF1A4F"/>
    <w:rsid w:val="00AF3456"/>
    <w:rsid w:val="00AF6026"/>
    <w:rsid w:val="00AF7E3D"/>
    <w:rsid w:val="00B05DF2"/>
    <w:rsid w:val="00B20D5D"/>
    <w:rsid w:val="00B218BF"/>
    <w:rsid w:val="00B23F81"/>
    <w:rsid w:val="00B250AD"/>
    <w:rsid w:val="00B27006"/>
    <w:rsid w:val="00B30718"/>
    <w:rsid w:val="00B3145B"/>
    <w:rsid w:val="00B328A1"/>
    <w:rsid w:val="00B35327"/>
    <w:rsid w:val="00B370FC"/>
    <w:rsid w:val="00B3723A"/>
    <w:rsid w:val="00B3EBE7"/>
    <w:rsid w:val="00B414C3"/>
    <w:rsid w:val="00B44939"/>
    <w:rsid w:val="00B4638C"/>
    <w:rsid w:val="00B47558"/>
    <w:rsid w:val="00B506BC"/>
    <w:rsid w:val="00B53B9B"/>
    <w:rsid w:val="00B61C52"/>
    <w:rsid w:val="00B64332"/>
    <w:rsid w:val="00B70DBE"/>
    <w:rsid w:val="00B7685A"/>
    <w:rsid w:val="00B7792C"/>
    <w:rsid w:val="00B80347"/>
    <w:rsid w:val="00B80F73"/>
    <w:rsid w:val="00B81DF3"/>
    <w:rsid w:val="00B849D6"/>
    <w:rsid w:val="00B8619A"/>
    <w:rsid w:val="00B863EE"/>
    <w:rsid w:val="00B86A3F"/>
    <w:rsid w:val="00B91457"/>
    <w:rsid w:val="00B91F53"/>
    <w:rsid w:val="00BA29ED"/>
    <w:rsid w:val="00BA2C48"/>
    <w:rsid w:val="00BA3113"/>
    <w:rsid w:val="00BA3B31"/>
    <w:rsid w:val="00BA4994"/>
    <w:rsid w:val="00BA55A1"/>
    <w:rsid w:val="00BA6F2C"/>
    <w:rsid w:val="00BA7E89"/>
    <w:rsid w:val="00BB1755"/>
    <w:rsid w:val="00BB1C64"/>
    <w:rsid w:val="00BB3546"/>
    <w:rsid w:val="00BB3923"/>
    <w:rsid w:val="00BB410A"/>
    <w:rsid w:val="00BB7FB9"/>
    <w:rsid w:val="00BC68F9"/>
    <w:rsid w:val="00BC7C6B"/>
    <w:rsid w:val="00BD1315"/>
    <w:rsid w:val="00BD13FA"/>
    <w:rsid w:val="00BD566C"/>
    <w:rsid w:val="00BD5702"/>
    <w:rsid w:val="00BD5812"/>
    <w:rsid w:val="00BE2A69"/>
    <w:rsid w:val="00BF027E"/>
    <w:rsid w:val="00BF0E6D"/>
    <w:rsid w:val="00BF3F1B"/>
    <w:rsid w:val="00BF51C5"/>
    <w:rsid w:val="00C03E2E"/>
    <w:rsid w:val="00C05E86"/>
    <w:rsid w:val="00C07474"/>
    <w:rsid w:val="00C110FB"/>
    <w:rsid w:val="00C112A7"/>
    <w:rsid w:val="00C11360"/>
    <w:rsid w:val="00C11859"/>
    <w:rsid w:val="00C14CF6"/>
    <w:rsid w:val="00C15ACD"/>
    <w:rsid w:val="00C15D3A"/>
    <w:rsid w:val="00C1709E"/>
    <w:rsid w:val="00C1787A"/>
    <w:rsid w:val="00C2295F"/>
    <w:rsid w:val="00C24553"/>
    <w:rsid w:val="00C249CC"/>
    <w:rsid w:val="00C3098F"/>
    <w:rsid w:val="00C31B3A"/>
    <w:rsid w:val="00C3542A"/>
    <w:rsid w:val="00C36776"/>
    <w:rsid w:val="00C368C4"/>
    <w:rsid w:val="00C4345D"/>
    <w:rsid w:val="00C525F7"/>
    <w:rsid w:val="00C574AB"/>
    <w:rsid w:val="00C57DC0"/>
    <w:rsid w:val="00C6242B"/>
    <w:rsid w:val="00C62CD6"/>
    <w:rsid w:val="00C63256"/>
    <w:rsid w:val="00C6342B"/>
    <w:rsid w:val="00C6420E"/>
    <w:rsid w:val="00C67CAF"/>
    <w:rsid w:val="00C700A6"/>
    <w:rsid w:val="00C70822"/>
    <w:rsid w:val="00C75942"/>
    <w:rsid w:val="00C76652"/>
    <w:rsid w:val="00C8510A"/>
    <w:rsid w:val="00C855A9"/>
    <w:rsid w:val="00C857CF"/>
    <w:rsid w:val="00C90D63"/>
    <w:rsid w:val="00C93E2B"/>
    <w:rsid w:val="00C945F7"/>
    <w:rsid w:val="00C97AE4"/>
    <w:rsid w:val="00CA07CC"/>
    <w:rsid w:val="00CA6F84"/>
    <w:rsid w:val="00CB05AC"/>
    <w:rsid w:val="00CB0939"/>
    <w:rsid w:val="00CB24EF"/>
    <w:rsid w:val="00CB39FC"/>
    <w:rsid w:val="00CB539E"/>
    <w:rsid w:val="00CB5F6E"/>
    <w:rsid w:val="00CC272A"/>
    <w:rsid w:val="00CC5506"/>
    <w:rsid w:val="00CD7CAA"/>
    <w:rsid w:val="00CD7FD0"/>
    <w:rsid w:val="00CE27CF"/>
    <w:rsid w:val="00CE2B27"/>
    <w:rsid w:val="00CE2D75"/>
    <w:rsid w:val="00CE4CCE"/>
    <w:rsid w:val="00CE7B0C"/>
    <w:rsid w:val="00CF2ED0"/>
    <w:rsid w:val="00CF458D"/>
    <w:rsid w:val="00CF54F1"/>
    <w:rsid w:val="00CF73F2"/>
    <w:rsid w:val="00D017A0"/>
    <w:rsid w:val="00D01C9A"/>
    <w:rsid w:val="00D03251"/>
    <w:rsid w:val="00D1044C"/>
    <w:rsid w:val="00D1161A"/>
    <w:rsid w:val="00D11702"/>
    <w:rsid w:val="00D11F21"/>
    <w:rsid w:val="00D17065"/>
    <w:rsid w:val="00D26026"/>
    <w:rsid w:val="00D31B19"/>
    <w:rsid w:val="00D34514"/>
    <w:rsid w:val="00D36E6D"/>
    <w:rsid w:val="00D4144F"/>
    <w:rsid w:val="00D43D37"/>
    <w:rsid w:val="00D43F65"/>
    <w:rsid w:val="00D50D55"/>
    <w:rsid w:val="00D513FB"/>
    <w:rsid w:val="00D60122"/>
    <w:rsid w:val="00D627B6"/>
    <w:rsid w:val="00D63F8A"/>
    <w:rsid w:val="00D668F9"/>
    <w:rsid w:val="00D670CC"/>
    <w:rsid w:val="00D67432"/>
    <w:rsid w:val="00D67D0B"/>
    <w:rsid w:val="00D71910"/>
    <w:rsid w:val="00D75DCB"/>
    <w:rsid w:val="00D76476"/>
    <w:rsid w:val="00D80536"/>
    <w:rsid w:val="00D907FF"/>
    <w:rsid w:val="00D90B78"/>
    <w:rsid w:val="00D9208D"/>
    <w:rsid w:val="00DA316D"/>
    <w:rsid w:val="00DA39EF"/>
    <w:rsid w:val="00DA66D6"/>
    <w:rsid w:val="00DB2F7B"/>
    <w:rsid w:val="00DB31CE"/>
    <w:rsid w:val="00DB593C"/>
    <w:rsid w:val="00DB5DCF"/>
    <w:rsid w:val="00DB642A"/>
    <w:rsid w:val="00DB6E43"/>
    <w:rsid w:val="00DB6FB2"/>
    <w:rsid w:val="00DB723D"/>
    <w:rsid w:val="00DB7401"/>
    <w:rsid w:val="00DB767D"/>
    <w:rsid w:val="00DC4781"/>
    <w:rsid w:val="00DC7D01"/>
    <w:rsid w:val="00DD0B64"/>
    <w:rsid w:val="00DD3A44"/>
    <w:rsid w:val="00DE0368"/>
    <w:rsid w:val="00DE0441"/>
    <w:rsid w:val="00DE055A"/>
    <w:rsid w:val="00DE1249"/>
    <w:rsid w:val="00DF3F0A"/>
    <w:rsid w:val="00DF5ABB"/>
    <w:rsid w:val="00E016BA"/>
    <w:rsid w:val="00E02FCA"/>
    <w:rsid w:val="00E03E67"/>
    <w:rsid w:val="00E06587"/>
    <w:rsid w:val="00E06D36"/>
    <w:rsid w:val="00E1192A"/>
    <w:rsid w:val="00E16403"/>
    <w:rsid w:val="00E20E76"/>
    <w:rsid w:val="00E21BC6"/>
    <w:rsid w:val="00E225F1"/>
    <w:rsid w:val="00E2511C"/>
    <w:rsid w:val="00E254EB"/>
    <w:rsid w:val="00E259C9"/>
    <w:rsid w:val="00E2719C"/>
    <w:rsid w:val="00E27CC8"/>
    <w:rsid w:val="00E31B21"/>
    <w:rsid w:val="00E32E81"/>
    <w:rsid w:val="00E34196"/>
    <w:rsid w:val="00E365B3"/>
    <w:rsid w:val="00E37087"/>
    <w:rsid w:val="00E4009E"/>
    <w:rsid w:val="00E41AD3"/>
    <w:rsid w:val="00E41B07"/>
    <w:rsid w:val="00E41B3D"/>
    <w:rsid w:val="00E42795"/>
    <w:rsid w:val="00E4774E"/>
    <w:rsid w:val="00E50A44"/>
    <w:rsid w:val="00E54883"/>
    <w:rsid w:val="00E56DB3"/>
    <w:rsid w:val="00E6083E"/>
    <w:rsid w:val="00E67082"/>
    <w:rsid w:val="00E70293"/>
    <w:rsid w:val="00E70AE7"/>
    <w:rsid w:val="00E7169E"/>
    <w:rsid w:val="00E7322D"/>
    <w:rsid w:val="00E851A9"/>
    <w:rsid w:val="00E87178"/>
    <w:rsid w:val="00E87EC1"/>
    <w:rsid w:val="00EA0FF2"/>
    <w:rsid w:val="00EA2898"/>
    <w:rsid w:val="00EA5756"/>
    <w:rsid w:val="00EA5C80"/>
    <w:rsid w:val="00EA5F9C"/>
    <w:rsid w:val="00EB3EB0"/>
    <w:rsid w:val="00EB453C"/>
    <w:rsid w:val="00EB56AD"/>
    <w:rsid w:val="00EB579D"/>
    <w:rsid w:val="00EB670D"/>
    <w:rsid w:val="00EB6D99"/>
    <w:rsid w:val="00EB700A"/>
    <w:rsid w:val="00EB734E"/>
    <w:rsid w:val="00EB75E3"/>
    <w:rsid w:val="00EC0A0C"/>
    <w:rsid w:val="00EC1776"/>
    <w:rsid w:val="00EC6017"/>
    <w:rsid w:val="00EC69E8"/>
    <w:rsid w:val="00EC74F0"/>
    <w:rsid w:val="00ED3464"/>
    <w:rsid w:val="00EE3E8D"/>
    <w:rsid w:val="00EF0D93"/>
    <w:rsid w:val="00EF13CD"/>
    <w:rsid w:val="00EF1D23"/>
    <w:rsid w:val="00F0012C"/>
    <w:rsid w:val="00F009C0"/>
    <w:rsid w:val="00F00E2F"/>
    <w:rsid w:val="00F01518"/>
    <w:rsid w:val="00F07EE9"/>
    <w:rsid w:val="00F14DAC"/>
    <w:rsid w:val="00F150B0"/>
    <w:rsid w:val="00F21903"/>
    <w:rsid w:val="00F236B6"/>
    <w:rsid w:val="00F26426"/>
    <w:rsid w:val="00F268CD"/>
    <w:rsid w:val="00F26EE5"/>
    <w:rsid w:val="00F36796"/>
    <w:rsid w:val="00F421B1"/>
    <w:rsid w:val="00F4660A"/>
    <w:rsid w:val="00F46D45"/>
    <w:rsid w:val="00F47CCF"/>
    <w:rsid w:val="00F510B3"/>
    <w:rsid w:val="00F6620F"/>
    <w:rsid w:val="00F66DC2"/>
    <w:rsid w:val="00F70DCE"/>
    <w:rsid w:val="00F71846"/>
    <w:rsid w:val="00F7391F"/>
    <w:rsid w:val="00F73E72"/>
    <w:rsid w:val="00F7426C"/>
    <w:rsid w:val="00F7517C"/>
    <w:rsid w:val="00F82C80"/>
    <w:rsid w:val="00F853DF"/>
    <w:rsid w:val="00F8620C"/>
    <w:rsid w:val="00F8621E"/>
    <w:rsid w:val="00F86D6F"/>
    <w:rsid w:val="00F934A4"/>
    <w:rsid w:val="00F94405"/>
    <w:rsid w:val="00F95960"/>
    <w:rsid w:val="00FA1726"/>
    <w:rsid w:val="00FA299D"/>
    <w:rsid w:val="00FA4174"/>
    <w:rsid w:val="00FA535E"/>
    <w:rsid w:val="00FA553E"/>
    <w:rsid w:val="00FA739A"/>
    <w:rsid w:val="00FA7B18"/>
    <w:rsid w:val="00FB0991"/>
    <w:rsid w:val="00FB47B8"/>
    <w:rsid w:val="00FB6647"/>
    <w:rsid w:val="00FC0BB6"/>
    <w:rsid w:val="00FC7D74"/>
    <w:rsid w:val="00FC7DEA"/>
    <w:rsid w:val="00FD0D2B"/>
    <w:rsid w:val="00FD2C72"/>
    <w:rsid w:val="00FD4E05"/>
    <w:rsid w:val="00FD4EAB"/>
    <w:rsid w:val="00FE2B57"/>
    <w:rsid w:val="00FE5C75"/>
    <w:rsid w:val="00FF065F"/>
    <w:rsid w:val="00FF239A"/>
    <w:rsid w:val="00FF34CE"/>
    <w:rsid w:val="00FF4FBE"/>
    <w:rsid w:val="00FF6DF2"/>
    <w:rsid w:val="01D4FD6A"/>
    <w:rsid w:val="0238B271"/>
    <w:rsid w:val="02AC637A"/>
    <w:rsid w:val="0305938F"/>
    <w:rsid w:val="03440C9B"/>
    <w:rsid w:val="040132B0"/>
    <w:rsid w:val="04570D9B"/>
    <w:rsid w:val="0483E0A7"/>
    <w:rsid w:val="04E3C17B"/>
    <w:rsid w:val="0566FFC7"/>
    <w:rsid w:val="057A1BE5"/>
    <w:rsid w:val="057F23EA"/>
    <w:rsid w:val="05A0563C"/>
    <w:rsid w:val="05EBB4C7"/>
    <w:rsid w:val="06734085"/>
    <w:rsid w:val="06D94A9A"/>
    <w:rsid w:val="06E7BF2F"/>
    <w:rsid w:val="07EFF30F"/>
    <w:rsid w:val="080E94C4"/>
    <w:rsid w:val="0817F0E9"/>
    <w:rsid w:val="08303AA6"/>
    <w:rsid w:val="0847D761"/>
    <w:rsid w:val="091CDFEE"/>
    <w:rsid w:val="093629DC"/>
    <w:rsid w:val="09A6CF2D"/>
    <w:rsid w:val="09D937CE"/>
    <w:rsid w:val="0A1A9010"/>
    <w:rsid w:val="0A22EB02"/>
    <w:rsid w:val="0A25E0EF"/>
    <w:rsid w:val="0A27A70C"/>
    <w:rsid w:val="0B1AC930"/>
    <w:rsid w:val="0B67E5CF"/>
    <w:rsid w:val="0BFCE264"/>
    <w:rsid w:val="0C51151D"/>
    <w:rsid w:val="0CDE742E"/>
    <w:rsid w:val="0D950C67"/>
    <w:rsid w:val="0DA6A59B"/>
    <w:rsid w:val="0DB6C3F0"/>
    <w:rsid w:val="0DBCCA9D"/>
    <w:rsid w:val="0DFA5573"/>
    <w:rsid w:val="0E265D64"/>
    <w:rsid w:val="0E676447"/>
    <w:rsid w:val="0E709D23"/>
    <w:rsid w:val="0EDB646E"/>
    <w:rsid w:val="0F12D237"/>
    <w:rsid w:val="0F6854A0"/>
    <w:rsid w:val="0F8AF04D"/>
    <w:rsid w:val="0FD0D664"/>
    <w:rsid w:val="0FF10996"/>
    <w:rsid w:val="1052782A"/>
    <w:rsid w:val="114795FF"/>
    <w:rsid w:val="11800C55"/>
    <w:rsid w:val="11E62C18"/>
    <w:rsid w:val="121EAC87"/>
    <w:rsid w:val="121F126E"/>
    <w:rsid w:val="126D0228"/>
    <w:rsid w:val="12C487EF"/>
    <w:rsid w:val="12D018C2"/>
    <w:rsid w:val="12D6A7AA"/>
    <w:rsid w:val="137C5EE8"/>
    <w:rsid w:val="1406FEA3"/>
    <w:rsid w:val="1472B12B"/>
    <w:rsid w:val="14B6680A"/>
    <w:rsid w:val="14CF6C13"/>
    <w:rsid w:val="150421D7"/>
    <w:rsid w:val="15330713"/>
    <w:rsid w:val="153987CE"/>
    <w:rsid w:val="15C3B7CC"/>
    <w:rsid w:val="16376C94"/>
    <w:rsid w:val="16E5DE00"/>
    <w:rsid w:val="1893DD18"/>
    <w:rsid w:val="18FF62DE"/>
    <w:rsid w:val="192F588D"/>
    <w:rsid w:val="193680CC"/>
    <w:rsid w:val="197863D2"/>
    <w:rsid w:val="198C3493"/>
    <w:rsid w:val="19FED2F3"/>
    <w:rsid w:val="1A0836F0"/>
    <w:rsid w:val="1A94323F"/>
    <w:rsid w:val="1AD7FAC0"/>
    <w:rsid w:val="1B858649"/>
    <w:rsid w:val="1BD242DE"/>
    <w:rsid w:val="1BE9EF87"/>
    <w:rsid w:val="1C093741"/>
    <w:rsid w:val="1C38F9D7"/>
    <w:rsid w:val="1C81805C"/>
    <w:rsid w:val="1DB114D2"/>
    <w:rsid w:val="1DB86AEC"/>
    <w:rsid w:val="1DC76F78"/>
    <w:rsid w:val="1E544F43"/>
    <w:rsid w:val="1EC9A638"/>
    <w:rsid w:val="1F272F52"/>
    <w:rsid w:val="1FC452E0"/>
    <w:rsid w:val="1FC7A2F2"/>
    <w:rsid w:val="1FD9D955"/>
    <w:rsid w:val="20BC862C"/>
    <w:rsid w:val="20CB52C1"/>
    <w:rsid w:val="219FC87C"/>
    <w:rsid w:val="21AE8EEB"/>
    <w:rsid w:val="2222CBB1"/>
    <w:rsid w:val="229A8893"/>
    <w:rsid w:val="22A0C427"/>
    <w:rsid w:val="22C9B628"/>
    <w:rsid w:val="22D5D5E0"/>
    <w:rsid w:val="23089DBD"/>
    <w:rsid w:val="2391D069"/>
    <w:rsid w:val="23C3DEAD"/>
    <w:rsid w:val="24A2BB95"/>
    <w:rsid w:val="24BEC5FC"/>
    <w:rsid w:val="24C0F5F7"/>
    <w:rsid w:val="24E2E675"/>
    <w:rsid w:val="2521E772"/>
    <w:rsid w:val="25D0C3BE"/>
    <w:rsid w:val="25FF979C"/>
    <w:rsid w:val="26BCCBCF"/>
    <w:rsid w:val="270178C7"/>
    <w:rsid w:val="27308C83"/>
    <w:rsid w:val="27968893"/>
    <w:rsid w:val="27FD9D1B"/>
    <w:rsid w:val="282AC6C9"/>
    <w:rsid w:val="284A2031"/>
    <w:rsid w:val="287E98F8"/>
    <w:rsid w:val="28A8A45E"/>
    <w:rsid w:val="28AD1AAC"/>
    <w:rsid w:val="28EF6BE6"/>
    <w:rsid w:val="2951CEF1"/>
    <w:rsid w:val="297A9E3D"/>
    <w:rsid w:val="29BDBAF3"/>
    <w:rsid w:val="29E0F95D"/>
    <w:rsid w:val="2AB290E6"/>
    <w:rsid w:val="2ABB4740"/>
    <w:rsid w:val="2AC491E6"/>
    <w:rsid w:val="2B4E4E6B"/>
    <w:rsid w:val="2BE4989F"/>
    <w:rsid w:val="2C29C85E"/>
    <w:rsid w:val="2C3352A7"/>
    <w:rsid w:val="2C625324"/>
    <w:rsid w:val="2CDE141C"/>
    <w:rsid w:val="2CEB618B"/>
    <w:rsid w:val="2D000497"/>
    <w:rsid w:val="2D0FBD75"/>
    <w:rsid w:val="2D54BE3E"/>
    <w:rsid w:val="2DB3BDB6"/>
    <w:rsid w:val="2E04138B"/>
    <w:rsid w:val="2E5EF1B5"/>
    <w:rsid w:val="2EA4051E"/>
    <w:rsid w:val="2EEAB6F8"/>
    <w:rsid w:val="2EF8A512"/>
    <w:rsid w:val="2F382929"/>
    <w:rsid w:val="304BE6A0"/>
    <w:rsid w:val="308B71BB"/>
    <w:rsid w:val="31193FCF"/>
    <w:rsid w:val="312BAC5F"/>
    <w:rsid w:val="314261EB"/>
    <w:rsid w:val="3144BCD9"/>
    <w:rsid w:val="3236840A"/>
    <w:rsid w:val="324E3FF8"/>
    <w:rsid w:val="3259B393"/>
    <w:rsid w:val="33DB98C2"/>
    <w:rsid w:val="3419400D"/>
    <w:rsid w:val="341CE093"/>
    <w:rsid w:val="348B3A5F"/>
    <w:rsid w:val="34E77417"/>
    <w:rsid w:val="351D2DCE"/>
    <w:rsid w:val="3575EEE7"/>
    <w:rsid w:val="35B3203A"/>
    <w:rsid w:val="35B64825"/>
    <w:rsid w:val="35C195BD"/>
    <w:rsid w:val="36074EAA"/>
    <w:rsid w:val="361FFBB7"/>
    <w:rsid w:val="37BAFC23"/>
    <w:rsid w:val="37FFBD64"/>
    <w:rsid w:val="38D94FB7"/>
    <w:rsid w:val="38EAE8CD"/>
    <w:rsid w:val="395D00B1"/>
    <w:rsid w:val="399B572C"/>
    <w:rsid w:val="39FEB56F"/>
    <w:rsid w:val="3A00D61D"/>
    <w:rsid w:val="3A26F079"/>
    <w:rsid w:val="3A92FB40"/>
    <w:rsid w:val="3AE56D59"/>
    <w:rsid w:val="3B456B74"/>
    <w:rsid w:val="3B6EA380"/>
    <w:rsid w:val="3B8FEEAD"/>
    <w:rsid w:val="3BB6647B"/>
    <w:rsid w:val="3BD5B162"/>
    <w:rsid w:val="3BEF4C9C"/>
    <w:rsid w:val="3C1B737A"/>
    <w:rsid w:val="3C3FB9A1"/>
    <w:rsid w:val="3CC107FE"/>
    <w:rsid w:val="3CED10E0"/>
    <w:rsid w:val="3DBED389"/>
    <w:rsid w:val="3E06761B"/>
    <w:rsid w:val="3E5FD376"/>
    <w:rsid w:val="3E7AFC5F"/>
    <w:rsid w:val="3E890352"/>
    <w:rsid w:val="3E8EF9A2"/>
    <w:rsid w:val="3F2F9545"/>
    <w:rsid w:val="3F6CBAF5"/>
    <w:rsid w:val="3FA7C28A"/>
    <w:rsid w:val="3FB14CC5"/>
    <w:rsid w:val="3FF41739"/>
    <w:rsid w:val="40D03E03"/>
    <w:rsid w:val="40DF7460"/>
    <w:rsid w:val="410CD514"/>
    <w:rsid w:val="415C10DF"/>
    <w:rsid w:val="4271E13C"/>
    <w:rsid w:val="42B2D042"/>
    <w:rsid w:val="42F4E095"/>
    <w:rsid w:val="43566585"/>
    <w:rsid w:val="43AAF3EE"/>
    <w:rsid w:val="43B361C7"/>
    <w:rsid w:val="442CB543"/>
    <w:rsid w:val="444A69AA"/>
    <w:rsid w:val="4459E261"/>
    <w:rsid w:val="44A820B5"/>
    <w:rsid w:val="455623F8"/>
    <w:rsid w:val="462A4229"/>
    <w:rsid w:val="46964EF6"/>
    <w:rsid w:val="46E73AE2"/>
    <w:rsid w:val="47530264"/>
    <w:rsid w:val="47AB5143"/>
    <w:rsid w:val="47BEA304"/>
    <w:rsid w:val="48E80F83"/>
    <w:rsid w:val="491A72CA"/>
    <w:rsid w:val="49423E4B"/>
    <w:rsid w:val="49445A47"/>
    <w:rsid w:val="49567C1E"/>
    <w:rsid w:val="4986B766"/>
    <w:rsid w:val="4A05494B"/>
    <w:rsid w:val="4A373453"/>
    <w:rsid w:val="4ADC2AF9"/>
    <w:rsid w:val="4AE692CF"/>
    <w:rsid w:val="4B91D593"/>
    <w:rsid w:val="4E04A93B"/>
    <w:rsid w:val="4EA5556E"/>
    <w:rsid w:val="4F2E3889"/>
    <w:rsid w:val="4F88009B"/>
    <w:rsid w:val="4FA64047"/>
    <w:rsid w:val="4FF75C81"/>
    <w:rsid w:val="50D4DAB7"/>
    <w:rsid w:val="510D8890"/>
    <w:rsid w:val="510FE7A0"/>
    <w:rsid w:val="511D1C51"/>
    <w:rsid w:val="51271847"/>
    <w:rsid w:val="517B54BA"/>
    <w:rsid w:val="51D2A7FA"/>
    <w:rsid w:val="52F348B0"/>
    <w:rsid w:val="532200FA"/>
    <w:rsid w:val="5337C8C9"/>
    <w:rsid w:val="53507CFA"/>
    <w:rsid w:val="535A412B"/>
    <w:rsid w:val="53AECBB1"/>
    <w:rsid w:val="53AF7A96"/>
    <w:rsid w:val="53E8AB3D"/>
    <w:rsid w:val="540DA22C"/>
    <w:rsid w:val="543AFC4E"/>
    <w:rsid w:val="5453FDC2"/>
    <w:rsid w:val="554B2F3A"/>
    <w:rsid w:val="5566CAF6"/>
    <w:rsid w:val="5581A55E"/>
    <w:rsid w:val="56939A33"/>
    <w:rsid w:val="56D86050"/>
    <w:rsid w:val="56F2F0A4"/>
    <w:rsid w:val="574D561C"/>
    <w:rsid w:val="57ACEEC7"/>
    <w:rsid w:val="57B2A7A6"/>
    <w:rsid w:val="58309F43"/>
    <w:rsid w:val="5848C933"/>
    <w:rsid w:val="586B424B"/>
    <w:rsid w:val="598EE433"/>
    <w:rsid w:val="599107C8"/>
    <w:rsid w:val="5999DF87"/>
    <w:rsid w:val="5A454CC5"/>
    <w:rsid w:val="5A85AF61"/>
    <w:rsid w:val="5AE67E80"/>
    <w:rsid w:val="5B979377"/>
    <w:rsid w:val="5BB3F0A9"/>
    <w:rsid w:val="5C457B55"/>
    <w:rsid w:val="5CBF4512"/>
    <w:rsid w:val="5D816180"/>
    <w:rsid w:val="5DBB8DA5"/>
    <w:rsid w:val="5DBD79CF"/>
    <w:rsid w:val="5EB584D5"/>
    <w:rsid w:val="5EE5050E"/>
    <w:rsid w:val="5F4A834C"/>
    <w:rsid w:val="5F5CBA8A"/>
    <w:rsid w:val="5FA4A290"/>
    <w:rsid w:val="600DF266"/>
    <w:rsid w:val="60234666"/>
    <w:rsid w:val="60888ECB"/>
    <w:rsid w:val="60BF64A5"/>
    <w:rsid w:val="60C36E2C"/>
    <w:rsid w:val="60EE91D1"/>
    <w:rsid w:val="610C3DA3"/>
    <w:rsid w:val="6171FF3A"/>
    <w:rsid w:val="61876B3C"/>
    <w:rsid w:val="6189440A"/>
    <w:rsid w:val="61B52D31"/>
    <w:rsid w:val="61C9878E"/>
    <w:rsid w:val="61E3EF68"/>
    <w:rsid w:val="61E5CDD9"/>
    <w:rsid w:val="62D6E38A"/>
    <w:rsid w:val="63895504"/>
    <w:rsid w:val="644E7FA3"/>
    <w:rsid w:val="6450CD2B"/>
    <w:rsid w:val="647BC88C"/>
    <w:rsid w:val="648204FC"/>
    <w:rsid w:val="64B77158"/>
    <w:rsid w:val="64CC12A7"/>
    <w:rsid w:val="64EB3DCF"/>
    <w:rsid w:val="64EE9A34"/>
    <w:rsid w:val="6502CCEA"/>
    <w:rsid w:val="651B913E"/>
    <w:rsid w:val="6520FF7F"/>
    <w:rsid w:val="652EF2A0"/>
    <w:rsid w:val="653F8724"/>
    <w:rsid w:val="65435525"/>
    <w:rsid w:val="6570DB60"/>
    <w:rsid w:val="65BE4A17"/>
    <w:rsid w:val="65FC6E66"/>
    <w:rsid w:val="673657AF"/>
    <w:rsid w:val="6754EABB"/>
    <w:rsid w:val="67691FC3"/>
    <w:rsid w:val="678E9691"/>
    <w:rsid w:val="67DB55B8"/>
    <w:rsid w:val="683EA8CB"/>
    <w:rsid w:val="68C53EAC"/>
    <w:rsid w:val="68F87513"/>
    <w:rsid w:val="6A61DE49"/>
    <w:rsid w:val="6B1D3AB2"/>
    <w:rsid w:val="6B278712"/>
    <w:rsid w:val="6B42E032"/>
    <w:rsid w:val="6B7E06EE"/>
    <w:rsid w:val="6BD68DED"/>
    <w:rsid w:val="6C29C32F"/>
    <w:rsid w:val="6C4AA0D5"/>
    <w:rsid w:val="6C8247B4"/>
    <w:rsid w:val="6CC5F99E"/>
    <w:rsid w:val="6CF42E56"/>
    <w:rsid w:val="6D0F8778"/>
    <w:rsid w:val="6D46785D"/>
    <w:rsid w:val="6D67E65B"/>
    <w:rsid w:val="6DD35885"/>
    <w:rsid w:val="6ED1B1E8"/>
    <w:rsid w:val="6EF284C2"/>
    <w:rsid w:val="6F8FD940"/>
    <w:rsid w:val="6FF0ADA1"/>
    <w:rsid w:val="7047F5B5"/>
    <w:rsid w:val="7073BFD3"/>
    <w:rsid w:val="7073DA9D"/>
    <w:rsid w:val="70E055D5"/>
    <w:rsid w:val="70E62C60"/>
    <w:rsid w:val="7121D285"/>
    <w:rsid w:val="7122CC19"/>
    <w:rsid w:val="717BEB94"/>
    <w:rsid w:val="72513F76"/>
    <w:rsid w:val="7278ECB0"/>
    <w:rsid w:val="737134FF"/>
    <w:rsid w:val="73B7F4A2"/>
    <w:rsid w:val="7417024B"/>
    <w:rsid w:val="744B883A"/>
    <w:rsid w:val="74A29739"/>
    <w:rsid w:val="74AF97F7"/>
    <w:rsid w:val="75A36C7D"/>
    <w:rsid w:val="75D26CE2"/>
    <w:rsid w:val="75D6D212"/>
    <w:rsid w:val="7632C4C3"/>
    <w:rsid w:val="77DDA843"/>
    <w:rsid w:val="77EAD784"/>
    <w:rsid w:val="77EB3403"/>
    <w:rsid w:val="77EFA962"/>
    <w:rsid w:val="78473D4B"/>
    <w:rsid w:val="7893A5B5"/>
    <w:rsid w:val="79E78619"/>
    <w:rsid w:val="7A6D0761"/>
    <w:rsid w:val="7A6F6AD8"/>
    <w:rsid w:val="7BD2087B"/>
    <w:rsid w:val="7C5A2F13"/>
    <w:rsid w:val="7C636A12"/>
    <w:rsid w:val="7C9FDC60"/>
    <w:rsid w:val="7D290603"/>
    <w:rsid w:val="7D689ECF"/>
    <w:rsid w:val="7D82A191"/>
    <w:rsid w:val="7D9750A9"/>
    <w:rsid w:val="7DF4FAFA"/>
    <w:rsid w:val="7ED1A1FF"/>
    <w:rsid w:val="7F19FAAA"/>
    <w:rsid w:val="7F879D58"/>
    <w:rsid w:val="7FADD6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2628"/>
  <w15:docId w15:val="{542B9C04-EE2A-7D4C-8A54-83D0A3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Gemeente Purmerend"/>
    <w:qFormat/>
    <w:rsid w:val="00182327"/>
    <w:pPr>
      <w:spacing w:line="280" w:lineRule="exact"/>
    </w:pPr>
    <w:rPr>
      <w:rFonts w:ascii="Corbel" w:hAnsi="Corbel"/>
      <w:sz w:val="22"/>
    </w:rPr>
  </w:style>
  <w:style w:type="paragraph" w:styleId="Kop1">
    <w:name w:val="heading 1"/>
    <w:basedOn w:val="Standaard"/>
    <w:next w:val="Standaard"/>
    <w:link w:val="Kop1Char"/>
    <w:uiPriority w:val="9"/>
    <w:qFormat/>
    <w:rsid w:val="00853E6F"/>
    <w:pPr>
      <w:keepNext/>
      <w:keepLines/>
      <w:numPr>
        <w:numId w:val="10"/>
      </w:numPr>
      <w:tabs>
        <w:tab w:val="left" w:pos="851"/>
      </w:tabs>
      <w:spacing w:after="1040" w:line="640" w:lineRule="exact"/>
      <w:outlineLvl w:val="0"/>
    </w:pPr>
    <w:rPr>
      <w:rFonts w:eastAsiaTheme="majorEastAsia" w:cstheme="majorBidi"/>
      <w:color w:val="00365F"/>
      <w:sz w:val="60"/>
      <w:szCs w:val="32"/>
    </w:rPr>
  </w:style>
  <w:style w:type="paragraph" w:styleId="Kop2">
    <w:name w:val="heading 2"/>
    <w:basedOn w:val="Standaard"/>
    <w:next w:val="Standaard"/>
    <w:link w:val="Kop2Char"/>
    <w:uiPriority w:val="9"/>
    <w:unhideWhenUsed/>
    <w:qFormat/>
    <w:rsid w:val="00853E6F"/>
    <w:pPr>
      <w:keepNext/>
      <w:keepLines/>
      <w:numPr>
        <w:ilvl w:val="1"/>
        <w:numId w:val="10"/>
      </w:numPr>
      <w:tabs>
        <w:tab w:val="left" w:pos="567"/>
      </w:tabs>
      <w:spacing w:before="40" w:after="2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853E6F"/>
    <w:pPr>
      <w:keepNext/>
      <w:keepLines/>
      <w:numPr>
        <w:ilvl w:val="2"/>
        <w:numId w:val="10"/>
      </w:numPr>
      <w:tabs>
        <w:tab w:val="left" w:pos="652"/>
      </w:tabs>
      <w:spacing w:before="40"/>
      <w:outlineLvl w:val="2"/>
    </w:pPr>
    <w:rPr>
      <w:rFonts w:eastAsiaTheme="majorEastAsia" w:cstheme="majorBidi"/>
      <w:b/>
      <w:color w:val="000000" w:themeColor="text1"/>
    </w:rPr>
  </w:style>
  <w:style w:type="paragraph" w:styleId="Kop4">
    <w:name w:val="heading 4"/>
    <w:basedOn w:val="Standaard"/>
    <w:next w:val="Standaard"/>
    <w:link w:val="Kop4Char"/>
    <w:uiPriority w:val="9"/>
    <w:unhideWhenUsed/>
    <w:qFormat/>
    <w:rsid w:val="00993AAA"/>
    <w:pPr>
      <w:keepNext/>
      <w:keepLines/>
      <w:numPr>
        <w:ilvl w:val="3"/>
        <w:numId w:val="10"/>
      </w:numPr>
      <w:spacing w:before="40"/>
      <w:outlineLvl w:val="3"/>
    </w:pPr>
    <w:rPr>
      <w:rFonts w:eastAsiaTheme="majorEastAsia" w:cstheme="majorBidi"/>
      <w:b/>
      <w:iCs/>
      <w:color w:val="00A685"/>
    </w:rPr>
  </w:style>
  <w:style w:type="paragraph" w:styleId="Kop5">
    <w:name w:val="heading 5"/>
    <w:basedOn w:val="Standaard"/>
    <w:next w:val="Standaard"/>
    <w:link w:val="Kop5Char"/>
    <w:uiPriority w:val="9"/>
    <w:semiHidden/>
    <w:unhideWhenUsed/>
    <w:qFormat/>
    <w:rsid w:val="00701BEF"/>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01BEF"/>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701BEF"/>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01BEF"/>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01BEF"/>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59"/>
    <w:rsid w:val="00896432"/>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853E6F"/>
    <w:rPr>
      <w:rFonts w:ascii="Corbel" w:eastAsiaTheme="majorEastAsia" w:hAnsi="Corbel" w:cstheme="majorBidi"/>
      <w:color w:val="00365F"/>
      <w:sz w:val="60"/>
      <w:szCs w:val="32"/>
    </w:rPr>
  </w:style>
  <w:style w:type="character" w:customStyle="1" w:styleId="Kop2Char">
    <w:name w:val="Kop 2 Char"/>
    <w:basedOn w:val="Standaardalinea-lettertype"/>
    <w:link w:val="Kop2"/>
    <w:uiPriority w:val="9"/>
    <w:rsid w:val="00853E6F"/>
    <w:rPr>
      <w:rFonts w:ascii="Corbel" w:eastAsiaTheme="majorEastAsia" w:hAnsi="Corbel" w:cstheme="majorBidi"/>
      <w:b/>
      <w:color w:val="00A685"/>
      <w:sz w:val="30"/>
      <w:szCs w:val="26"/>
    </w:rPr>
  </w:style>
  <w:style w:type="paragraph" w:styleId="Titel">
    <w:name w:val="Title"/>
    <w:basedOn w:val="Standaard"/>
    <w:next w:val="Standaard"/>
    <w:link w:val="TitelChar"/>
    <w:uiPriority w:val="10"/>
    <w:qFormat/>
    <w:rsid w:val="00A03275"/>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A03275"/>
    <w:rPr>
      <w:rFonts w:ascii="Corbel" w:eastAsiaTheme="majorEastAsia" w:hAnsi="Corbel" w:cstheme="majorBidi"/>
      <w:color w:val="00365F"/>
      <w:spacing w:val="-10"/>
      <w:kern w:val="28"/>
      <w:sz w:val="80"/>
      <w:szCs w:val="56"/>
    </w:rPr>
  </w:style>
  <w:style w:type="character" w:customStyle="1" w:styleId="Kop3Char">
    <w:name w:val="Kop 3 Char"/>
    <w:basedOn w:val="Standaardalinea-lettertype"/>
    <w:link w:val="Kop3"/>
    <w:uiPriority w:val="9"/>
    <w:rsid w:val="00853E6F"/>
    <w:rPr>
      <w:rFonts w:ascii="Corbel" w:eastAsiaTheme="majorEastAsia" w:hAnsi="Corbel" w:cstheme="majorBidi"/>
      <w:b/>
      <w:color w:val="000000" w:themeColor="text1"/>
      <w:sz w:val="22"/>
    </w:rPr>
  </w:style>
  <w:style w:type="character" w:customStyle="1" w:styleId="Kop4Char">
    <w:name w:val="Kop 4 Char"/>
    <w:basedOn w:val="Standaardalinea-lettertype"/>
    <w:link w:val="Kop4"/>
    <w:uiPriority w:val="9"/>
    <w:rsid w:val="00993AAA"/>
    <w:rPr>
      <w:rFonts w:ascii="Corbel" w:eastAsiaTheme="majorEastAsia" w:hAnsi="Corbel" w:cstheme="majorBidi"/>
      <w:b/>
      <w:iCs/>
      <w:color w:val="00A685"/>
      <w:sz w:val="22"/>
    </w:rPr>
  </w:style>
  <w:style w:type="paragraph" w:styleId="Ondertitel">
    <w:name w:val="Subtitle"/>
    <w:basedOn w:val="Standaard"/>
    <w:next w:val="Standaard"/>
    <w:link w:val="OndertitelChar"/>
    <w:uiPriority w:val="11"/>
    <w:qFormat/>
    <w:rsid w:val="00CB24EF"/>
    <w:pPr>
      <w:numPr>
        <w:ilvl w:val="1"/>
      </w:numPr>
      <w:spacing w:before="4000" w:after="160" w:line="520" w:lineRule="exact"/>
    </w:pPr>
    <w:rPr>
      <w:rFonts w:eastAsiaTheme="minorEastAsia" w:cs="Times New Roman (Hoofdtekst CS)"/>
      <w:b/>
      <w:i/>
      <w:color w:val="00365F"/>
      <w:spacing w:val="15"/>
      <w:sz w:val="52"/>
      <w:szCs w:val="22"/>
    </w:rPr>
  </w:style>
  <w:style w:type="character" w:customStyle="1" w:styleId="OndertitelChar">
    <w:name w:val="Ondertitel Char"/>
    <w:basedOn w:val="Standaardalinea-lettertype"/>
    <w:link w:val="Ondertitel"/>
    <w:uiPriority w:val="11"/>
    <w:rsid w:val="00CB24EF"/>
    <w:rPr>
      <w:rFonts w:ascii="Corbel" w:eastAsiaTheme="minorEastAsia" w:hAnsi="Corbel" w:cs="Times New Roman (Hoofdtekst CS)"/>
      <w:b/>
      <w:i/>
      <w:color w:val="00365F"/>
      <w:spacing w:val="15"/>
      <w:sz w:val="52"/>
      <w:szCs w:val="22"/>
    </w:rPr>
  </w:style>
  <w:style w:type="paragraph" w:customStyle="1" w:styleId="Introtekst">
    <w:name w:val="Introtekst"/>
    <w:basedOn w:val="Standaard"/>
    <w:link w:val="IntrotekstChar"/>
    <w:qFormat/>
    <w:rsid w:val="00E225F1"/>
    <w:pPr>
      <w:spacing w:after="480" w:line="420" w:lineRule="exact"/>
    </w:pPr>
    <w:rPr>
      <w:b/>
      <w:color w:val="00A685"/>
      <w:sz w:val="30"/>
      <w:szCs w:val="22"/>
    </w:rPr>
  </w:style>
  <w:style w:type="character" w:customStyle="1" w:styleId="IntrotekstChar">
    <w:name w:val="Introtekst Char"/>
    <w:basedOn w:val="Standaardalinea-lettertype"/>
    <w:link w:val="Introtekst"/>
    <w:rsid w:val="00E225F1"/>
    <w:rPr>
      <w:rFonts w:ascii="Corbel" w:hAnsi="Corbel"/>
      <w:b/>
      <w:color w:val="00A685"/>
      <w:sz w:val="30"/>
      <w:szCs w:val="22"/>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aliases w:val="MuLijstalinea,Configuration Code,List Paragraph1,Reference List,List level 1,lijstStijl"/>
    <w:basedOn w:val="Standaard"/>
    <w:link w:val="LijstalineaChar"/>
    <w:uiPriority w:val="34"/>
    <w:qFormat/>
    <w:rsid w:val="00B20D5D"/>
    <w:pPr>
      <w:ind w:left="720"/>
      <w:contextualSpacing/>
    </w:pPr>
  </w:style>
  <w:style w:type="paragraph" w:customStyle="1" w:styleId="Basisalinea">
    <w:name w:val="[Basisalinea]"/>
    <w:basedOn w:val="Standaard"/>
    <w:uiPriority w:val="99"/>
    <w:rsid w:val="000240B5"/>
    <w:pPr>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Kopvaninhoudsopgave">
    <w:name w:val="TOC Heading"/>
    <w:basedOn w:val="Kop1"/>
    <w:next w:val="Standaard"/>
    <w:uiPriority w:val="39"/>
    <w:unhideWhenUsed/>
    <w:qFormat/>
    <w:rsid w:val="00613EC3"/>
    <w:pPr>
      <w:spacing w:before="480" w:line="276" w:lineRule="auto"/>
      <w:outlineLvl w:val="9"/>
    </w:pPr>
    <w:rPr>
      <w:rFonts w:asciiTheme="majorHAnsi" w:hAnsiTheme="majorHAnsi"/>
      <w:b/>
      <w:bCs/>
      <w:color w:val="2F5496" w:themeColor="accent1" w:themeShade="BF"/>
      <w:sz w:val="28"/>
      <w:szCs w:val="28"/>
      <w:lang w:eastAsia="nl-NL"/>
    </w:rPr>
  </w:style>
  <w:style w:type="paragraph" w:styleId="Inhopg1">
    <w:name w:val="toc 1"/>
    <w:basedOn w:val="Standaard"/>
    <w:next w:val="Standaard"/>
    <w:autoRedefine/>
    <w:uiPriority w:val="39"/>
    <w:unhideWhenUsed/>
    <w:rsid w:val="00853E6F"/>
    <w:pPr>
      <w:tabs>
        <w:tab w:val="left" w:pos="567"/>
        <w:tab w:val="right" w:pos="9060"/>
      </w:tabs>
      <w:spacing w:before="280" w:line="360" w:lineRule="exact"/>
    </w:pPr>
    <w:rPr>
      <w:rFonts w:cstheme="minorHAnsi"/>
      <w:b/>
      <w:bCs/>
      <w:iCs/>
      <w:color w:val="00A685"/>
      <w:sz w:val="30"/>
    </w:rPr>
  </w:style>
  <w:style w:type="paragraph" w:styleId="Inhopg2">
    <w:name w:val="toc 2"/>
    <w:basedOn w:val="Inhopg1"/>
    <w:next w:val="Standaard"/>
    <w:autoRedefine/>
    <w:uiPriority w:val="39"/>
    <w:unhideWhenUsed/>
    <w:rsid w:val="00853E6F"/>
    <w:pPr>
      <w:tabs>
        <w:tab w:val="left" w:pos="1134"/>
      </w:tabs>
      <w:spacing w:before="120"/>
      <w:ind w:left="567"/>
    </w:pPr>
    <w:rPr>
      <w:rFonts w:cs="Calibri (Hoofdtekst)"/>
      <w:b w:val="0"/>
      <w:bCs w:val="0"/>
      <w:color w:val="000000" w:themeColor="text1"/>
      <w:sz w:val="24"/>
      <w:szCs w:val="22"/>
    </w:rPr>
  </w:style>
  <w:style w:type="paragraph" w:styleId="Inhopg3">
    <w:name w:val="toc 3"/>
    <w:basedOn w:val="Standaard"/>
    <w:next w:val="Standaard"/>
    <w:autoRedefine/>
    <w:uiPriority w:val="39"/>
    <w:unhideWhenUsed/>
    <w:rsid w:val="00853E6F"/>
    <w:pPr>
      <w:tabs>
        <w:tab w:val="left" w:pos="1786"/>
        <w:tab w:val="right" w:pos="9060"/>
      </w:tabs>
      <w:spacing w:line="360" w:lineRule="exact"/>
      <w:ind w:left="1134"/>
    </w:pPr>
    <w:rPr>
      <w:rFonts w:cstheme="minorHAnsi"/>
      <w:noProof/>
      <w:szCs w:val="20"/>
    </w:rPr>
  </w:style>
  <w:style w:type="paragraph" w:styleId="Inhopg4">
    <w:name w:val="toc 4"/>
    <w:basedOn w:val="Standaard"/>
    <w:next w:val="Standaard"/>
    <w:autoRedefine/>
    <w:uiPriority w:val="39"/>
    <w:semiHidden/>
    <w:unhideWhenUsed/>
    <w:rsid w:val="00613EC3"/>
    <w:pPr>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613EC3"/>
    <w:pPr>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613EC3"/>
    <w:pPr>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613EC3"/>
    <w:pPr>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613EC3"/>
    <w:pPr>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613EC3"/>
    <w:pPr>
      <w:ind w:left="1760"/>
    </w:pPr>
    <w:rPr>
      <w:rFonts w:asciiTheme="minorHAnsi" w:hAnsiTheme="minorHAnsi" w:cstheme="minorHAnsi"/>
      <w:sz w:val="20"/>
      <w:szCs w:val="20"/>
    </w:rPr>
  </w:style>
  <w:style w:type="paragraph" w:customStyle="1" w:styleId="Geenalineastijl">
    <w:name w:val="[Geen alineastijl]"/>
    <w:rsid w:val="00CB24EF"/>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Subtitelhoofdstuk">
    <w:name w:val="Subtitel hoofdstuk"/>
    <w:basedOn w:val="Basisalinea"/>
    <w:qFormat/>
    <w:rsid w:val="00230614"/>
    <w:pPr>
      <w:spacing w:after="240"/>
    </w:pPr>
    <w:rPr>
      <w:rFonts w:ascii="Corbel" w:hAnsi="Corbel" w:cs="Corbel"/>
      <w:b/>
      <w:bCs/>
      <w:i/>
      <w:iCs/>
      <w:color w:val="00355F"/>
      <w:sz w:val="30"/>
      <w:szCs w:val="30"/>
      <w:lang w:val="nl-NL"/>
    </w:rPr>
  </w:style>
  <w:style w:type="numbering" w:customStyle="1" w:styleId="Huidigelijst1">
    <w:name w:val="Huidige lijst1"/>
    <w:uiPriority w:val="99"/>
    <w:rsid w:val="00BA3113"/>
    <w:pPr>
      <w:numPr>
        <w:numId w:val="5"/>
      </w:numPr>
    </w:pPr>
  </w:style>
  <w:style w:type="paragraph" w:styleId="Normaalweb">
    <w:name w:val="Normal (Web)"/>
    <w:basedOn w:val="Standaard"/>
    <w:uiPriority w:val="99"/>
    <w:semiHidden/>
    <w:unhideWhenUsed/>
    <w:rsid w:val="00E225F1"/>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PMBodytext">
    <w:name w:val="PM Body text"/>
    <w:rsid w:val="009F3DD0"/>
    <w:rPr>
      <w:rFonts w:ascii="Arial" w:hAnsi="Arial" w:cs="Arial" w:hint="default"/>
      <w:color w:val="auto"/>
      <w:sz w:val="20"/>
      <w:szCs w:val="20"/>
    </w:rPr>
  </w:style>
  <w:style w:type="table" w:customStyle="1" w:styleId="GemeentePurmerend">
    <w:name w:val="Gemeente Purmerend"/>
    <w:basedOn w:val="Standaardtabel"/>
    <w:uiPriority w:val="99"/>
    <w:rsid w:val="00C11859"/>
    <w:rPr>
      <w:rFonts w:ascii="Corbel" w:hAnsi="Corbel"/>
      <w:color w:val="000000" w:themeColor="text1"/>
      <w:sz w:val="18"/>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table" w:customStyle="1" w:styleId="GemeentePurmerendtabel2">
    <w:name w:val="Gemeente Purmerend tabel 2"/>
    <w:basedOn w:val="Standaardtabel"/>
    <w:uiPriority w:val="99"/>
    <w:rsid w:val="00803557"/>
    <w:rPr>
      <w:rFonts w:ascii="Corbel" w:hAnsi="Corbel"/>
      <w:sz w:val="18"/>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D4144F"/>
    <w:pPr>
      <w:spacing w:line="240" w:lineRule="auto"/>
    </w:pPr>
    <w:rPr>
      <w:color w:val="000000" w:themeColor="text1"/>
      <w:sz w:val="18"/>
      <w:lang w:val="en-US"/>
    </w:rPr>
  </w:style>
  <w:style w:type="table" w:styleId="Tabelrasterlicht">
    <w:name w:val="Grid Table Light"/>
    <w:basedOn w:val="Standaardtabel"/>
    <w:uiPriority w:val="40"/>
    <w:rsid w:val="00EB70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EB70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EB70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EB70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B70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EB70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gelnummer">
    <w:name w:val="line number"/>
    <w:basedOn w:val="Standaardalinea-lettertype"/>
    <w:uiPriority w:val="99"/>
    <w:semiHidden/>
    <w:unhideWhenUsed/>
    <w:rsid w:val="008F40A4"/>
  </w:style>
  <w:style w:type="character" w:styleId="Paginanummer">
    <w:name w:val="page number"/>
    <w:basedOn w:val="Standaardalinea-lettertype"/>
    <w:uiPriority w:val="99"/>
    <w:semiHidden/>
    <w:unhideWhenUsed/>
    <w:rsid w:val="008F40A4"/>
  </w:style>
  <w:style w:type="paragraph" w:styleId="Ballontekst">
    <w:name w:val="Balloon Text"/>
    <w:basedOn w:val="Standaard"/>
    <w:link w:val="BallontekstChar"/>
    <w:uiPriority w:val="99"/>
    <w:semiHidden/>
    <w:unhideWhenUsed/>
    <w:rsid w:val="00987D5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7D57"/>
    <w:rPr>
      <w:rFonts w:ascii="Segoe UI" w:hAnsi="Segoe UI" w:cs="Segoe UI"/>
      <w:sz w:val="18"/>
      <w:szCs w:val="18"/>
    </w:rPr>
  </w:style>
  <w:style w:type="paragraph" w:styleId="Tekstopmerking">
    <w:name w:val="annotation text"/>
    <w:basedOn w:val="Standaard"/>
    <w:link w:val="TekstopmerkingChar"/>
    <w:uiPriority w:val="99"/>
    <w:unhideWhenUsed/>
    <w:rsid w:val="00B30718"/>
    <w:pPr>
      <w:spacing w:line="240" w:lineRule="auto"/>
    </w:pPr>
    <w:rPr>
      <w:sz w:val="20"/>
      <w:szCs w:val="20"/>
    </w:rPr>
  </w:style>
  <w:style w:type="character" w:customStyle="1" w:styleId="TekstopmerkingChar">
    <w:name w:val="Tekst opmerking Char"/>
    <w:basedOn w:val="Standaardalinea-lettertype"/>
    <w:link w:val="Tekstopmerking"/>
    <w:uiPriority w:val="99"/>
    <w:rsid w:val="00B30718"/>
    <w:rPr>
      <w:rFonts w:ascii="Corbel" w:hAnsi="Corbel"/>
      <w:sz w:val="20"/>
      <w:szCs w:val="20"/>
    </w:rPr>
  </w:style>
  <w:style w:type="character" w:styleId="Verwijzingopmerking">
    <w:name w:val="annotation reference"/>
    <w:uiPriority w:val="99"/>
    <w:rsid w:val="00B30718"/>
    <w:rPr>
      <w:sz w:val="16"/>
    </w:rPr>
  </w:style>
  <w:style w:type="paragraph" w:styleId="Onderwerpvanopmerking">
    <w:name w:val="annotation subject"/>
    <w:basedOn w:val="Tekstopmerking"/>
    <w:next w:val="Tekstopmerking"/>
    <w:link w:val="OnderwerpvanopmerkingChar"/>
    <w:uiPriority w:val="99"/>
    <w:semiHidden/>
    <w:unhideWhenUsed/>
    <w:rsid w:val="003474C8"/>
    <w:rPr>
      <w:b/>
      <w:bCs/>
    </w:rPr>
  </w:style>
  <w:style w:type="character" w:customStyle="1" w:styleId="OnderwerpvanopmerkingChar">
    <w:name w:val="Onderwerp van opmerking Char"/>
    <w:basedOn w:val="TekstopmerkingChar"/>
    <w:link w:val="Onderwerpvanopmerking"/>
    <w:uiPriority w:val="99"/>
    <w:semiHidden/>
    <w:rsid w:val="003474C8"/>
    <w:rPr>
      <w:rFonts w:ascii="Corbel" w:hAnsi="Corbel"/>
      <w:b/>
      <w:bCs/>
      <w:sz w:val="20"/>
      <w:szCs w:val="20"/>
    </w:rPr>
  </w:style>
  <w:style w:type="character" w:customStyle="1" w:styleId="RptStandaardChar">
    <w:name w:val="Rpt_Standaard Char"/>
    <w:link w:val="RptStandaard"/>
    <w:locked/>
    <w:rsid w:val="00904C72"/>
    <w:rPr>
      <w:rFonts w:ascii="Verdana" w:hAnsi="Verdana"/>
      <w:kern w:val="28"/>
      <w:sz w:val="18"/>
    </w:rPr>
  </w:style>
  <w:style w:type="paragraph" w:customStyle="1" w:styleId="RptStandaard">
    <w:name w:val="Rpt_Standaard"/>
    <w:basedOn w:val="Standaard"/>
    <w:link w:val="RptStandaardChar"/>
    <w:rsid w:val="00904C72"/>
    <w:pPr>
      <w:keepNext/>
      <w:spacing w:line="255" w:lineRule="exact"/>
      <w:jc w:val="both"/>
      <w:outlineLvl w:val="0"/>
    </w:pPr>
    <w:rPr>
      <w:rFonts w:ascii="Verdana" w:hAnsi="Verdana"/>
      <w:kern w:val="28"/>
      <w:sz w:val="18"/>
    </w:rPr>
  </w:style>
  <w:style w:type="character" w:customStyle="1" w:styleId="Kop5Char">
    <w:name w:val="Kop 5 Char"/>
    <w:basedOn w:val="Standaardalinea-lettertype"/>
    <w:link w:val="Kop5"/>
    <w:uiPriority w:val="9"/>
    <w:semiHidden/>
    <w:rsid w:val="00701BEF"/>
    <w:rPr>
      <w:rFonts w:asciiTheme="majorHAnsi" w:eastAsiaTheme="majorEastAsia" w:hAnsiTheme="majorHAnsi" w:cstheme="majorBidi"/>
      <w:color w:val="2F5496" w:themeColor="accent1" w:themeShade="BF"/>
      <w:sz w:val="22"/>
    </w:rPr>
  </w:style>
  <w:style w:type="character" w:customStyle="1" w:styleId="Kop6Char">
    <w:name w:val="Kop 6 Char"/>
    <w:basedOn w:val="Standaardalinea-lettertype"/>
    <w:link w:val="Kop6"/>
    <w:uiPriority w:val="9"/>
    <w:semiHidden/>
    <w:rsid w:val="00701BEF"/>
    <w:rPr>
      <w:rFonts w:asciiTheme="majorHAnsi" w:eastAsiaTheme="majorEastAsia" w:hAnsiTheme="majorHAnsi" w:cstheme="majorBidi"/>
      <w:color w:val="1F3763" w:themeColor="accent1" w:themeShade="7F"/>
      <w:sz w:val="22"/>
    </w:rPr>
  </w:style>
  <w:style w:type="character" w:customStyle="1" w:styleId="Kop7Char">
    <w:name w:val="Kop 7 Char"/>
    <w:basedOn w:val="Standaardalinea-lettertype"/>
    <w:link w:val="Kop7"/>
    <w:uiPriority w:val="9"/>
    <w:semiHidden/>
    <w:rsid w:val="00701BEF"/>
    <w:rPr>
      <w:rFonts w:asciiTheme="majorHAnsi" w:eastAsiaTheme="majorEastAsia" w:hAnsiTheme="majorHAnsi" w:cstheme="majorBidi"/>
      <w:i/>
      <w:iCs/>
      <w:color w:val="1F3763" w:themeColor="accent1" w:themeShade="7F"/>
      <w:sz w:val="22"/>
    </w:rPr>
  </w:style>
  <w:style w:type="character" w:customStyle="1" w:styleId="Kop8Char">
    <w:name w:val="Kop 8 Char"/>
    <w:basedOn w:val="Standaardalinea-lettertype"/>
    <w:link w:val="Kop8"/>
    <w:uiPriority w:val="9"/>
    <w:semiHidden/>
    <w:rsid w:val="00701BE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01BEF"/>
    <w:rPr>
      <w:rFonts w:asciiTheme="majorHAnsi" w:eastAsiaTheme="majorEastAsia" w:hAnsiTheme="majorHAnsi" w:cstheme="majorBidi"/>
      <w:i/>
      <w:iCs/>
      <w:color w:val="272727" w:themeColor="text1" w:themeTint="D8"/>
      <w:sz w:val="21"/>
      <w:szCs w:val="21"/>
    </w:rPr>
  </w:style>
  <w:style w:type="character" w:styleId="Onopgelostemelding">
    <w:name w:val="Unresolved Mention"/>
    <w:basedOn w:val="Standaardalinea-lettertype"/>
    <w:uiPriority w:val="99"/>
    <w:semiHidden/>
    <w:unhideWhenUsed/>
    <w:rsid w:val="00A0549E"/>
    <w:rPr>
      <w:color w:val="605E5C"/>
      <w:shd w:val="clear" w:color="auto" w:fill="E1DFDD"/>
    </w:rPr>
  </w:style>
  <w:style w:type="paragraph" w:styleId="Geenafstand">
    <w:name w:val="No Spacing"/>
    <w:uiPriority w:val="1"/>
    <w:qFormat/>
    <w:rsid w:val="00EA5C80"/>
    <w:rPr>
      <w:rFonts w:ascii="Corbel" w:hAnsi="Corbel"/>
      <w:sz w:val="22"/>
    </w:rPr>
  </w:style>
  <w:style w:type="table" w:customStyle="1" w:styleId="Tabelraster1">
    <w:name w:val="Tabelraster1"/>
    <w:basedOn w:val="Standaardtabel"/>
    <w:next w:val="Tabelraster"/>
    <w:rsid w:val="00C855A9"/>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MuLijstalinea Char,Configuration Code Char,List Paragraph1 Char,Reference List Char,List level 1 Char,lijstStijl Char"/>
    <w:basedOn w:val="Standaardalinea-lettertype"/>
    <w:link w:val="Lijstalinea"/>
    <w:uiPriority w:val="34"/>
    <w:locked/>
    <w:rsid w:val="00FB6647"/>
    <w:rPr>
      <w:rFonts w:ascii="Corbel" w:hAnsi="Corbel"/>
      <w:sz w:val="22"/>
    </w:rPr>
  </w:style>
  <w:style w:type="paragraph" w:styleId="Revisie">
    <w:name w:val="Revision"/>
    <w:hidden/>
    <w:uiPriority w:val="99"/>
    <w:semiHidden/>
    <w:rsid w:val="007C0B66"/>
    <w:rPr>
      <w:rFonts w:ascii="Corbel" w:hAnsi="Corbel"/>
      <w:sz w:val="22"/>
    </w:rPr>
  </w:style>
  <w:style w:type="paragraph" w:customStyle="1" w:styleId="Pa2">
    <w:name w:val="Pa2"/>
    <w:basedOn w:val="Standaard"/>
    <w:next w:val="Standaard"/>
    <w:uiPriority w:val="99"/>
    <w:rsid w:val="005E442B"/>
    <w:pPr>
      <w:autoSpaceDE w:val="0"/>
      <w:autoSpaceDN w:val="0"/>
      <w:adjustRightInd w:val="0"/>
      <w:spacing w:line="181" w:lineRule="atLeast"/>
    </w:pPr>
    <w:rPr>
      <w:rFonts w:ascii="RijksoverheidSansText" w:hAnsi="RijksoverheidSansText"/>
      <w:sz w:val="24"/>
    </w:rPr>
  </w:style>
  <w:style w:type="paragraph" w:customStyle="1" w:styleId="Default">
    <w:name w:val="Default"/>
    <w:rsid w:val="005E442B"/>
    <w:pPr>
      <w:autoSpaceDE w:val="0"/>
      <w:autoSpaceDN w:val="0"/>
      <w:adjustRightInd w:val="0"/>
    </w:pPr>
    <w:rPr>
      <w:rFonts w:ascii="RijksoverheidSerif" w:hAnsi="RijksoverheidSerif" w:cs="RijksoverheidSerif"/>
      <w:color w:val="000000"/>
    </w:rPr>
  </w:style>
  <w:style w:type="paragraph" w:customStyle="1" w:styleId="pf0">
    <w:name w:val="pf0"/>
    <w:basedOn w:val="Standaard"/>
    <w:rsid w:val="004542CE"/>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cf01">
    <w:name w:val="cf01"/>
    <w:basedOn w:val="Standaardalinea-lettertype"/>
    <w:rsid w:val="004542CE"/>
    <w:rPr>
      <w:rFonts w:ascii="Segoe UI" w:hAnsi="Segoe UI" w:cs="Segoe UI" w:hint="default"/>
      <w:sz w:val="18"/>
      <w:szCs w:val="18"/>
    </w:rPr>
  </w:style>
  <w:style w:type="character" w:customStyle="1" w:styleId="cf11">
    <w:name w:val="cf11"/>
    <w:basedOn w:val="Standaardalinea-lettertype"/>
    <w:rsid w:val="003317EE"/>
    <w:rPr>
      <w:rFonts w:ascii="Segoe UI" w:hAnsi="Segoe UI" w:cs="Segoe UI" w:hint="default"/>
      <w:sz w:val="18"/>
      <w:szCs w:val="18"/>
      <w:u w:val="single"/>
    </w:rPr>
  </w:style>
  <w:style w:type="character" w:customStyle="1" w:styleId="cf21">
    <w:name w:val="cf21"/>
    <w:basedOn w:val="Standaardalinea-lettertype"/>
    <w:rsid w:val="003317EE"/>
    <w:rPr>
      <w:rFonts w:ascii="Segoe UI" w:hAnsi="Segoe UI" w:cs="Segoe UI" w:hint="default"/>
      <w:sz w:val="18"/>
      <w:szCs w:val="18"/>
      <w:shd w:val="clear" w:color="auto" w:fill="FFFF00"/>
    </w:rPr>
  </w:style>
  <w:style w:type="table" w:customStyle="1" w:styleId="TableGrid0">
    <w:name w:val="Table Grid0"/>
    <w:basedOn w:val="Standaardtabel"/>
    <w:uiPriority w:val="59"/>
    <w:rsid w:val="0079294A"/>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8531">
      <w:bodyDiv w:val="1"/>
      <w:marLeft w:val="0"/>
      <w:marRight w:val="0"/>
      <w:marTop w:val="0"/>
      <w:marBottom w:val="0"/>
      <w:divBdr>
        <w:top w:val="none" w:sz="0" w:space="0" w:color="auto"/>
        <w:left w:val="none" w:sz="0" w:space="0" w:color="auto"/>
        <w:bottom w:val="none" w:sz="0" w:space="0" w:color="auto"/>
        <w:right w:val="none" w:sz="0" w:space="0" w:color="auto"/>
      </w:divBdr>
    </w:div>
    <w:div w:id="255748983">
      <w:bodyDiv w:val="1"/>
      <w:marLeft w:val="0"/>
      <w:marRight w:val="0"/>
      <w:marTop w:val="0"/>
      <w:marBottom w:val="0"/>
      <w:divBdr>
        <w:top w:val="none" w:sz="0" w:space="0" w:color="auto"/>
        <w:left w:val="none" w:sz="0" w:space="0" w:color="auto"/>
        <w:bottom w:val="none" w:sz="0" w:space="0" w:color="auto"/>
        <w:right w:val="none" w:sz="0" w:space="0" w:color="auto"/>
      </w:divBdr>
    </w:div>
    <w:div w:id="379136386">
      <w:bodyDiv w:val="1"/>
      <w:marLeft w:val="0"/>
      <w:marRight w:val="0"/>
      <w:marTop w:val="0"/>
      <w:marBottom w:val="0"/>
      <w:divBdr>
        <w:top w:val="none" w:sz="0" w:space="0" w:color="auto"/>
        <w:left w:val="none" w:sz="0" w:space="0" w:color="auto"/>
        <w:bottom w:val="none" w:sz="0" w:space="0" w:color="auto"/>
        <w:right w:val="none" w:sz="0" w:space="0" w:color="auto"/>
      </w:divBdr>
    </w:div>
    <w:div w:id="460004563">
      <w:bodyDiv w:val="1"/>
      <w:marLeft w:val="0"/>
      <w:marRight w:val="0"/>
      <w:marTop w:val="0"/>
      <w:marBottom w:val="0"/>
      <w:divBdr>
        <w:top w:val="none" w:sz="0" w:space="0" w:color="auto"/>
        <w:left w:val="none" w:sz="0" w:space="0" w:color="auto"/>
        <w:bottom w:val="none" w:sz="0" w:space="0" w:color="auto"/>
        <w:right w:val="none" w:sz="0" w:space="0" w:color="auto"/>
      </w:divBdr>
    </w:div>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722870758">
      <w:bodyDiv w:val="1"/>
      <w:marLeft w:val="0"/>
      <w:marRight w:val="0"/>
      <w:marTop w:val="0"/>
      <w:marBottom w:val="0"/>
      <w:divBdr>
        <w:top w:val="none" w:sz="0" w:space="0" w:color="auto"/>
        <w:left w:val="none" w:sz="0" w:space="0" w:color="auto"/>
        <w:bottom w:val="none" w:sz="0" w:space="0" w:color="auto"/>
        <w:right w:val="none" w:sz="0" w:space="0" w:color="auto"/>
      </w:divBdr>
    </w:div>
    <w:div w:id="841356717">
      <w:bodyDiv w:val="1"/>
      <w:marLeft w:val="0"/>
      <w:marRight w:val="0"/>
      <w:marTop w:val="0"/>
      <w:marBottom w:val="0"/>
      <w:divBdr>
        <w:top w:val="none" w:sz="0" w:space="0" w:color="auto"/>
        <w:left w:val="none" w:sz="0" w:space="0" w:color="auto"/>
        <w:bottom w:val="none" w:sz="0" w:space="0" w:color="auto"/>
        <w:right w:val="none" w:sz="0" w:space="0" w:color="auto"/>
      </w:divBdr>
    </w:div>
    <w:div w:id="899633301">
      <w:bodyDiv w:val="1"/>
      <w:marLeft w:val="0"/>
      <w:marRight w:val="0"/>
      <w:marTop w:val="0"/>
      <w:marBottom w:val="0"/>
      <w:divBdr>
        <w:top w:val="none" w:sz="0" w:space="0" w:color="auto"/>
        <w:left w:val="none" w:sz="0" w:space="0" w:color="auto"/>
        <w:bottom w:val="none" w:sz="0" w:space="0" w:color="auto"/>
        <w:right w:val="none" w:sz="0" w:space="0" w:color="auto"/>
      </w:divBdr>
    </w:div>
    <w:div w:id="904605034">
      <w:bodyDiv w:val="1"/>
      <w:marLeft w:val="0"/>
      <w:marRight w:val="0"/>
      <w:marTop w:val="0"/>
      <w:marBottom w:val="0"/>
      <w:divBdr>
        <w:top w:val="none" w:sz="0" w:space="0" w:color="auto"/>
        <w:left w:val="none" w:sz="0" w:space="0" w:color="auto"/>
        <w:bottom w:val="none" w:sz="0" w:space="0" w:color="auto"/>
        <w:right w:val="none" w:sz="0" w:space="0" w:color="auto"/>
      </w:divBdr>
    </w:div>
    <w:div w:id="1019967078">
      <w:bodyDiv w:val="1"/>
      <w:marLeft w:val="0"/>
      <w:marRight w:val="0"/>
      <w:marTop w:val="0"/>
      <w:marBottom w:val="0"/>
      <w:divBdr>
        <w:top w:val="none" w:sz="0" w:space="0" w:color="auto"/>
        <w:left w:val="none" w:sz="0" w:space="0" w:color="auto"/>
        <w:bottom w:val="none" w:sz="0" w:space="0" w:color="auto"/>
        <w:right w:val="none" w:sz="0" w:space="0" w:color="auto"/>
      </w:divBdr>
    </w:div>
    <w:div w:id="1087457540">
      <w:bodyDiv w:val="1"/>
      <w:marLeft w:val="0"/>
      <w:marRight w:val="0"/>
      <w:marTop w:val="0"/>
      <w:marBottom w:val="0"/>
      <w:divBdr>
        <w:top w:val="none" w:sz="0" w:space="0" w:color="auto"/>
        <w:left w:val="none" w:sz="0" w:space="0" w:color="auto"/>
        <w:bottom w:val="none" w:sz="0" w:space="0" w:color="auto"/>
        <w:right w:val="none" w:sz="0" w:space="0" w:color="auto"/>
      </w:divBdr>
    </w:div>
    <w:div w:id="1163199605">
      <w:bodyDiv w:val="1"/>
      <w:marLeft w:val="0"/>
      <w:marRight w:val="0"/>
      <w:marTop w:val="0"/>
      <w:marBottom w:val="0"/>
      <w:divBdr>
        <w:top w:val="none" w:sz="0" w:space="0" w:color="auto"/>
        <w:left w:val="none" w:sz="0" w:space="0" w:color="auto"/>
        <w:bottom w:val="none" w:sz="0" w:space="0" w:color="auto"/>
        <w:right w:val="none" w:sz="0" w:space="0" w:color="auto"/>
      </w:divBdr>
    </w:div>
    <w:div w:id="1247574780">
      <w:bodyDiv w:val="1"/>
      <w:marLeft w:val="0"/>
      <w:marRight w:val="0"/>
      <w:marTop w:val="0"/>
      <w:marBottom w:val="0"/>
      <w:divBdr>
        <w:top w:val="none" w:sz="0" w:space="0" w:color="auto"/>
        <w:left w:val="none" w:sz="0" w:space="0" w:color="auto"/>
        <w:bottom w:val="none" w:sz="0" w:space="0" w:color="auto"/>
        <w:right w:val="none" w:sz="0" w:space="0" w:color="auto"/>
      </w:divBdr>
    </w:div>
    <w:div w:id="1266229763">
      <w:bodyDiv w:val="1"/>
      <w:marLeft w:val="0"/>
      <w:marRight w:val="0"/>
      <w:marTop w:val="0"/>
      <w:marBottom w:val="0"/>
      <w:divBdr>
        <w:top w:val="none" w:sz="0" w:space="0" w:color="auto"/>
        <w:left w:val="none" w:sz="0" w:space="0" w:color="auto"/>
        <w:bottom w:val="none" w:sz="0" w:space="0" w:color="auto"/>
        <w:right w:val="none" w:sz="0" w:space="0" w:color="auto"/>
      </w:divBdr>
    </w:div>
    <w:div w:id="1270314815">
      <w:bodyDiv w:val="1"/>
      <w:marLeft w:val="0"/>
      <w:marRight w:val="0"/>
      <w:marTop w:val="0"/>
      <w:marBottom w:val="0"/>
      <w:divBdr>
        <w:top w:val="none" w:sz="0" w:space="0" w:color="auto"/>
        <w:left w:val="none" w:sz="0" w:space="0" w:color="auto"/>
        <w:bottom w:val="none" w:sz="0" w:space="0" w:color="auto"/>
        <w:right w:val="none" w:sz="0" w:space="0" w:color="auto"/>
      </w:divBdr>
    </w:div>
    <w:div w:id="1444615190">
      <w:bodyDiv w:val="1"/>
      <w:marLeft w:val="0"/>
      <w:marRight w:val="0"/>
      <w:marTop w:val="0"/>
      <w:marBottom w:val="0"/>
      <w:divBdr>
        <w:top w:val="none" w:sz="0" w:space="0" w:color="auto"/>
        <w:left w:val="none" w:sz="0" w:space="0" w:color="auto"/>
        <w:bottom w:val="none" w:sz="0" w:space="0" w:color="auto"/>
        <w:right w:val="none" w:sz="0" w:space="0" w:color="auto"/>
      </w:divBdr>
    </w:div>
    <w:div w:id="1612473819">
      <w:bodyDiv w:val="1"/>
      <w:marLeft w:val="0"/>
      <w:marRight w:val="0"/>
      <w:marTop w:val="0"/>
      <w:marBottom w:val="0"/>
      <w:divBdr>
        <w:top w:val="none" w:sz="0" w:space="0" w:color="auto"/>
        <w:left w:val="none" w:sz="0" w:space="0" w:color="auto"/>
        <w:bottom w:val="none" w:sz="0" w:space="0" w:color="auto"/>
        <w:right w:val="none" w:sz="0" w:space="0" w:color="auto"/>
      </w:divBdr>
    </w:div>
    <w:div w:id="1669871432">
      <w:bodyDiv w:val="1"/>
      <w:marLeft w:val="0"/>
      <w:marRight w:val="0"/>
      <w:marTop w:val="0"/>
      <w:marBottom w:val="0"/>
      <w:divBdr>
        <w:top w:val="none" w:sz="0" w:space="0" w:color="auto"/>
        <w:left w:val="none" w:sz="0" w:space="0" w:color="auto"/>
        <w:bottom w:val="none" w:sz="0" w:space="0" w:color="auto"/>
        <w:right w:val="none" w:sz="0" w:space="0" w:color="auto"/>
      </w:divBdr>
    </w:div>
    <w:div w:id="1678658490">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1736049768">
      <w:bodyDiv w:val="1"/>
      <w:marLeft w:val="0"/>
      <w:marRight w:val="0"/>
      <w:marTop w:val="0"/>
      <w:marBottom w:val="0"/>
      <w:divBdr>
        <w:top w:val="none" w:sz="0" w:space="0" w:color="auto"/>
        <w:left w:val="none" w:sz="0" w:space="0" w:color="auto"/>
        <w:bottom w:val="none" w:sz="0" w:space="0" w:color="auto"/>
        <w:right w:val="none" w:sz="0" w:space="0" w:color="auto"/>
      </w:divBdr>
    </w:div>
    <w:div w:id="1764110322">
      <w:bodyDiv w:val="1"/>
      <w:marLeft w:val="0"/>
      <w:marRight w:val="0"/>
      <w:marTop w:val="0"/>
      <w:marBottom w:val="0"/>
      <w:divBdr>
        <w:top w:val="none" w:sz="0" w:space="0" w:color="auto"/>
        <w:left w:val="none" w:sz="0" w:space="0" w:color="auto"/>
        <w:bottom w:val="none" w:sz="0" w:space="0" w:color="auto"/>
        <w:right w:val="none" w:sz="0" w:space="0" w:color="auto"/>
      </w:divBdr>
    </w:div>
    <w:div w:id="1809712059">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 w:id="2076128150">
      <w:bodyDiv w:val="1"/>
      <w:marLeft w:val="0"/>
      <w:marRight w:val="0"/>
      <w:marTop w:val="0"/>
      <w:marBottom w:val="0"/>
      <w:divBdr>
        <w:top w:val="none" w:sz="0" w:space="0" w:color="auto"/>
        <w:left w:val="none" w:sz="0" w:space="0" w:color="auto"/>
        <w:bottom w:val="none" w:sz="0" w:space="0" w:color="auto"/>
        <w:right w:val="none" w:sz="0" w:space="0" w:color="auto"/>
      </w:divBdr>
      <w:divsChild>
        <w:div w:id="672804866">
          <w:marLeft w:val="0"/>
          <w:marRight w:val="0"/>
          <w:marTop w:val="0"/>
          <w:marBottom w:val="0"/>
          <w:divBdr>
            <w:top w:val="none" w:sz="0" w:space="0" w:color="auto"/>
            <w:left w:val="none" w:sz="0" w:space="0" w:color="auto"/>
            <w:bottom w:val="single" w:sz="6" w:space="0" w:color="E6E6E6"/>
            <w:right w:val="none" w:sz="0" w:space="0" w:color="auto"/>
          </w:divBdr>
          <w:divsChild>
            <w:div w:id="2128348111">
              <w:marLeft w:val="0"/>
              <w:marRight w:val="0"/>
              <w:marTop w:val="0"/>
              <w:marBottom w:val="0"/>
              <w:divBdr>
                <w:top w:val="none" w:sz="0" w:space="0" w:color="auto"/>
                <w:left w:val="none" w:sz="0" w:space="0" w:color="auto"/>
                <w:bottom w:val="none" w:sz="0" w:space="0" w:color="auto"/>
                <w:right w:val="none" w:sz="0" w:space="0" w:color="auto"/>
              </w:divBdr>
              <w:divsChild>
                <w:div w:id="1225526753">
                  <w:marLeft w:val="0"/>
                  <w:marRight w:val="0"/>
                  <w:marTop w:val="0"/>
                  <w:marBottom w:val="0"/>
                  <w:divBdr>
                    <w:top w:val="none" w:sz="0" w:space="0" w:color="auto"/>
                    <w:left w:val="none" w:sz="0" w:space="0" w:color="auto"/>
                    <w:bottom w:val="none" w:sz="0" w:space="0" w:color="auto"/>
                    <w:right w:val="none" w:sz="0" w:space="0" w:color="auto"/>
                  </w:divBdr>
                  <w:divsChild>
                    <w:div w:id="11345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8039">
          <w:marLeft w:val="0"/>
          <w:marRight w:val="0"/>
          <w:marTop w:val="0"/>
          <w:marBottom w:val="0"/>
          <w:divBdr>
            <w:top w:val="none" w:sz="0" w:space="0" w:color="auto"/>
            <w:left w:val="none" w:sz="0" w:space="0" w:color="auto"/>
            <w:bottom w:val="single" w:sz="6" w:space="0" w:color="E6E6E6"/>
            <w:right w:val="none" w:sz="0" w:space="0" w:color="auto"/>
          </w:divBdr>
          <w:divsChild>
            <w:div w:id="1720125701">
              <w:marLeft w:val="0"/>
              <w:marRight w:val="0"/>
              <w:marTop w:val="0"/>
              <w:marBottom w:val="0"/>
              <w:divBdr>
                <w:top w:val="none" w:sz="0" w:space="0" w:color="auto"/>
                <w:left w:val="none" w:sz="0" w:space="0" w:color="auto"/>
                <w:bottom w:val="none" w:sz="0" w:space="0" w:color="auto"/>
                <w:right w:val="none" w:sz="0" w:space="0" w:color="auto"/>
              </w:divBdr>
              <w:divsChild>
                <w:div w:id="1308583652">
                  <w:marLeft w:val="0"/>
                  <w:marRight w:val="0"/>
                  <w:marTop w:val="0"/>
                  <w:marBottom w:val="0"/>
                  <w:divBdr>
                    <w:top w:val="none" w:sz="0" w:space="0" w:color="auto"/>
                    <w:left w:val="none" w:sz="0" w:space="0" w:color="auto"/>
                    <w:bottom w:val="none" w:sz="0" w:space="0" w:color="auto"/>
                    <w:right w:val="none" w:sz="0" w:space="0" w:color="auto"/>
                  </w:divBdr>
                </w:div>
              </w:divsChild>
            </w:div>
            <w:div w:id="99032766">
              <w:marLeft w:val="0"/>
              <w:marRight w:val="0"/>
              <w:marTop w:val="0"/>
              <w:marBottom w:val="0"/>
              <w:divBdr>
                <w:top w:val="none" w:sz="0" w:space="0" w:color="auto"/>
                <w:left w:val="none" w:sz="0" w:space="0" w:color="auto"/>
                <w:bottom w:val="none" w:sz="0" w:space="0" w:color="auto"/>
                <w:right w:val="none" w:sz="0" w:space="0" w:color="auto"/>
              </w:divBdr>
              <w:divsChild>
                <w:div w:id="1201555788">
                  <w:marLeft w:val="0"/>
                  <w:marRight w:val="0"/>
                  <w:marTop w:val="0"/>
                  <w:marBottom w:val="0"/>
                  <w:divBdr>
                    <w:top w:val="none" w:sz="0" w:space="0" w:color="auto"/>
                    <w:left w:val="none" w:sz="0" w:space="0" w:color="auto"/>
                    <w:bottom w:val="none" w:sz="0" w:space="0" w:color="auto"/>
                    <w:right w:val="none" w:sz="0" w:space="0" w:color="auto"/>
                  </w:divBdr>
                  <w:divsChild>
                    <w:div w:id="566762728">
                      <w:marLeft w:val="0"/>
                      <w:marRight w:val="0"/>
                      <w:marTop w:val="0"/>
                      <w:marBottom w:val="0"/>
                      <w:divBdr>
                        <w:top w:val="none" w:sz="0" w:space="0" w:color="auto"/>
                        <w:left w:val="none" w:sz="0" w:space="0" w:color="auto"/>
                        <w:bottom w:val="none" w:sz="0" w:space="0" w:color="auto"/>
                        <w:right w:val="none" w:sz="0" w:space="0" w:color="auto"/>
                      </w:divBdr>
                    </w:div>
                    <w:div w:id="2392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66090">
      <w:bodyDiv w:val="1"/>
      <w:marLeft w:val="0"/>
      <w:marRight w:val="0"/>
      <w:marTop w:val="0"/>
      <w:marBottom w:val="0"/>
      <w:divBdr>
        <w:top w:val="none" w:sz="0" w:space="0" w:color="auto"/>
        <w:left w:val="none" w:sz="0" w:space="0" w:color="auto"/>
        <w:bottom w:val="none" w:sz="0" w:space="0" w:color="auto"/>
        <w:right w:val="none" w:sz="0" w:space="0" w:color="auto"/>
      </w:divBdr>
    </w:div>
    <w:div w:id="214670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ustis.nl/producten/gva/"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koop@Landsmeer.n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koop@landsmeer.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F166-9F4F-4BD9-8CF9-8435809AE0D9}">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7194</Words>
  <Characters>39569</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Aanbestedingsleidraad</vt:lpstr>
    </vt:vector>
  </TitlesOfParts>
  <Manager/>
  <Company/>
  <LinksUpToDate>false</LinksUpToDate>
  <CharactersWithSpaces>46670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Onderwerp rapport</dc:subject>
  <dc:creator>Gemeente Purmerend</dc:creator>
  <cp:keywords/>
  <dc:description/>
  <cp:lastModifiedBy>Jacco Laan</cp:lastModifiedBy>
  <cp:revision>2</cp:revision>
  <cp:lastPrinted>2021-10-05T09:41:00Z</cp:lastPrinted>
  <dcterms:created xsi:type="dcterms:W3CDTF">2026-04-01T12:27:00Z</dcterms:created>
  <dcterms:modified xsi:type="dcterms:W3CDTF">2026-04-01T12:27:00Z</dcterms:modified>
  <cp:category/>
</cp:coreProperties>
</file>