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912A" w14:textId="0978D3A5" w:rsidR="00D56B85" w:rsidRPr="00EA4E03" w:rsidRDefault="00D56B85" w:rsidP="00426028">
      <w:pPr>
        <w:pStyle w:val="Voorpaginaovkconcepttekst"/>
        <w:spacing w:line="276" w:lineRule="auto"/>
      </w:pPr>
      <w:r w:rsidRPr="00EA4E03">
        <w:t xml:space="preserve">Bijlage </w:t>
      </w:r>
      <w:r w:rsidR="00EF570E">
        <w:t>A2</w:t>
      </w:r>
      <w:r w:rsidRPr="00EA4E03">
        <w:t xml:space="preserve"> – concept</w:t>
      </w:r>
    </w:p>
    <w:p w14:paraId="5269EAF9" w14:textId="601087AE" w:rsidR="00EA2E6F" w:rsidRPr="00EA4E03" w:rsidRDefault="00C9193D" w:rsidP="00426028">
      <w:pPr>
        <w:pStyle w:val="Voorpaginaovk"/>
        <w:spacing w:line="276" w:lineRule="auto"/>
      </w:pPr>
      <w:r>
        <w:t>O</w:t>
      </w:r>
      <w:r w:rsidR="00EA2E6F" w:rsidRPr="00EA4E03">
        <w:t>vereenkomst</w:t>
      </w:r>
    </w:p>
    <w:p w14:paraId="44682FD1" w14:textId="3A561C15" w:rsidR="00EA2E6F" w:rsidRPr="00EA4E03" w:rsidRDefault="005D3615" w:rsidP="00426028">
      <w:pPr>
        <w:pStyle w:val="Voorpaginaovk"/>
        <w:spacing w:line="276" w:lineRule="auto"/>
      </w:pPr>
      <w:r w:rsidRPr="00EA4E03">
        <w:t xml:space="preserve">op basis van de </w:t>
      </w:r>
      <w:r w:rsidR="00EA2E6F" w:rsidRPr="00EA4E03">
        <w:t>AR</w:t>
      </w:r>
      <w:r w:rsidR="00C9193D">
        <w:t>BIT</w:t>
      </w:r>
      <w:r w:rsidR="00EA2E6F" w:rsidRPr="00EA4E03">
        <w:t>-20</w:t>
      </w:r>
      <w:r w:rsidR="000C3313" w:rsidRPr="00EA4E03">
        <w:t>2</w:t>
      </w:r>
      <w:r w:rsidR="00C9193D">
        <w:t>2</w:t>
      </w:r>
    </w:p>
    <w:p w14:paraId="6BFF4B33" w14:textId="77777777" w:rsidR="00EA2E6F" w:rsidRPr="00EA4E03" w:rsidRDefault="00EA2E6F" w:rsidP="00426028">
      <w:pPr>
        <w:pStyle w:val="Voorpaginaovk"/>
        <w:spacing w:line="276" w:lineRule="auto"/>
      </w:pPr>
    </w:p>
    <w:p w14:paraId="3BF4E168" w14:textId="77777777" w:rsidR="006A7AEA" w:rsidRPr="00EA4E03" w:rsidRDefault="006A7AEA" w:rsidP="00426028">
      <w:pPr>
        <w:pStyle w:val="Voorpaginaovk"/>
        <w:spacing w:line="276" w:lineRule="auto"/>
      </w:pPr>
    </w:p>
    <w:p w14:paraId="3C78329D" w14:textId="77777777" w:rsidR="00EA2E6F" w:rsidRPr="00EA4E03" w:rsidRDefault="0050042E" w:rsidP="00426028">
      <w:pPr>
        <w:pStyle w:val="Voorpaginaovk"/>
        <w:spacing w:line="276" w:lineRule="auto"/>
      </w:pPr>
      <w:r w:rsidRPr="00EA4E03">
        <w:t>tussen</w:t>
      </w:r>
    </w:p>
    <w:p w14:paraId="6A3A9716" w14:textId="77777777" w:rsidR="00EA2E6F" w:rsidRPr="00EA4E03" w:rsidRDefault="00EA2E6F" w:rsidP="00426028">
      <w:pPr>
        <w:pStyle w:val="Voorpaginaovk"/>
        <w:spacing w:line="276" w:lineRule="auto"/>
      </w:pPr>
    </w:p>
    <w:p w14:paraId="64C30FF7" w14:textId="77777777" w:rsidR="00852AC3" w:rsidRPr="00EA4E03" w:rsidRDefault="00852AC3" w:rsidP="00426028">
      <w:pPr>
        <w:pStyle w:val="Voorpaginaovk"/>
        <w:spacing w:line="276" w:lineRule="auto"/>
      </w:pPr>
    </w:p>
    <w:p w14:paraId="2A4862EE" w14:textId="52B205AB" w:rsidR="00EA2E6F" w:rsidRDefault="005D3615" w:rsidP="00426028">
      <w:pPr>
        <w:pStyle w:val="Voorpaginaovk"/>
        <w:spacing w:line="276" w:lineRule="auto"/>
      </w:pPr>
      <w:r w:rsidRPr="00EA4E03">
        <w:t>het m</w:t>
      </w:r>
      <w:r w:rsidR="00EA2E6F" w:rsidRPr="00EA4E03">
        <w:t>in</w:t>
      </w:r>
      <w:r w:rsidR="0050042E" w:rsidRPr="00EA4E03">
        <w:t>i</w:t>
      </w:r>
      <w:r w:rsidR="00A05F21" w:rsidRPr="00EA4E03">
        <w:t xml:space="preserve">sterie van </w:t>
      </w:r>
      <w:r w:rsidR="00EE50DD">
        <w:t>Volksgezondheid Welzijn en Sport</w:t>
      </w:r>
    </w:p>
    <w:p w14:paraId="43C0FABD" w14:textId="35547D33" w:rsidR="00EE50DD" w:rsidRPr="00EA4E03" w:rsidRDefault="00EE50DD" w:rsidP="00426028">
      <w:pPr>
        <w:pStyle w:val="Voorpaginaovk"/>
        <w:spacing w:line="276" w:lineRule="auto"/>
      </w:pPr>
      <w:r>
        <w:t>Inspectie Gezondheidszorg en Jeugd</w:t>
      </w:r>
    </w:p>
    <w:p w14:paraId="36080307" w14:textId="77777777" w:rsidR="00EA2E6F" w:rsidRPr="00EA4E03" w:rsidRDefault="00EA2E6F" w:rsidP="00426028">
      <w:pPr>
        <w:pStyle w:val="Voorpaginaovk"/>
        <w:spacing w:line="276" w:lineRule="auto"/>
      </w:pPr>
    </w:p>
    <w:p w14:paraId="6C68F0B7" w14:textId="77777777" w:rsidR="006A7AEA" w:rsidRPr="00EA4E03" w:rsidRDefault="006A7AEA" w:rsidP="00426028">
      <w:pPr>
        <w:pStyle w:val="Voorpaginaovk"/>
        <w:spacing w:line="276" w:lineRule="auto"/>
      </w:pPr>
    </w:p>
    <w:p w14:paraId="10E7A022" w14:textId="77777777" w:rsidR="00EA2E6F" w:rsidRPr="00EA4E03" w:rsidRDefault="00810F5A" w:rsidP="00426028">
      <w:pPr>
        <w:pStyle w:val="Voorpaginaovk"/>
        <w:spacing w:line="276" w:lineRule="auto"/>
      </w:pPr>
      <w:r w:rsidRPr="00EA4E03">
        <w:t>en</w:t>
      </w:r>
    </w:p>
    <w:p w14:paraId="20F6F160" w14:textId="77777777" w:rsidR="00EA2E6F" w:rsidRPr="00EA4E03" w:rsidRDefault="00EA2E6F" w:rsidP="00426028">
      <w:pPr>
        <w:pStyle w:val="Voorpaginaovk"/>
        <w:spacing w:line="276" w:lineRule="auto"/>
      </w:pPr>
    </w:p>
    <w:p w14:paraId="3C96AC1E" w14:textId="77777777" w:rsidR="006A7AEA" w:rsidRPr="00EA4E03" w:rsidRDefault="006A7AEA" w:rsidP="00426028">
      <w:pPr>
        <w:pStyle w:val="Voorpaginaovk"/>
        <w:spacing w:line="276" w:lineRule="auto"/>
      </w:pPr>
    </w:p>
    <w:p w14:paraId="7B55D63C" w14:textId="4AB3DEC2" w:rsidR="00EA2E6F" w:rsidRPr="00EA4E03" w:rsidRDefault="00EA2E6F" w:rsidP="00426028">
      <w:pPr>
        <w:pStyle w:val="Voorpaginaovk"/>
        <w:spacing w:line="276" w:lineRule="auto"/>
      </w:pPr>
      <w:r w:rsidRPr="00EA4E03">
        <w:rPr>
          <w:highlight w:val="lightGray"/>
        </w:rPr>
        <w:t>&lt;</w:t>
      </w:r>
      <w:r w:rsidR="00C9193D">
        <w:rPr>
          <w:highlight w:val="lightGray"/>
        </w:rPr>
        <w:t>Wederpartij</w:t>
      </w:r>
      <w:r w:rsidRPr="00EA4E03">
        <w:rPr>
          <w:highlight w:val="lightGray"/>
        </w:rPr>
        <w:t>&gt;</w:t>
      </w:r>
    </w:p>
    <w:p w14:paraId="2708A5BF" w14:textId="77777777" w:rsidR="00EA2E6F" w:rsidRPr="00EA4E03" w:rsidRDefault="00EA2E6F" w:rsidP="00426028">
      <w:pPr>
        <w:pStyle w:val="Voorpaginaovk"/>
        <w:spacing w:line="276" w:lineRule="auto"/>
      </w:pPr>
    </w:p>
    <w:p w14:paraId="11CB643C" w14:textId="77777777" w:rsidR="006A7AEA" w:rsidRPr="00EA4E03" w:rsidRDefault="006A7AEA" w:rsidP="00426028">
      <w:pPr>
        <w:pStyle w:val="Voorpaginaovk"/>
        <w:spacing w:line="276" w:lineRule="auto"/>
      </w:pPr>
    </w:p>
    <w:p w14:paraId="42D10F17" w14:textId="77777777" w:rsidR="00EA2E6F" w:rsidRPr="00EA4E03" w:rsidRDefault="0050042E" w:rsidP="00426028">
      <w:pPr>
        <w:pStyle w:val="Voorpaginaovk"/>
        <w:spacing w:line="276" w:lineRule="auto"/>
      </w:pPr>
      <w:r w:rsidRPr="00EA4E03">
        <w:t>i</w:t>
      </w:r>
      <w:r w:rsidR="00EA2E6F" w:rsidRPr="00EA4E03">
        <w:t>nzake</w:t>
      </w:r>
    </w:p>
    <w:p w14:paraId="693CAF28" w14:textId="77777777" w:rsidR="00EA2E6F" w:rsidRPr="00EA4E03" w:rsidRDefault="00EA2E6F" w:rsidP="00426028">
      <w:pPr>
        <w:pStyle w:val="Voorpaginaovk"/>
        <w:spacing w:line="276" w:lineRule="auto"/>
      </w:pPr>
    </w:p>
    <w:p w14:paraId="58188E83" w14:textId="77777777" w:rsidR="006A7AEA" w:rsidRPr="00EA4E03" w:rsidRDefault="006A7AEA" w:rsidP="00426028">
      <w:pPr>
        <w:pStyle w:val="Voorpaginaovk"/>
        <w:spacing w:line="276" w:lineRule="auto"/>
      </w:pPr>
    </w:p>
    <w:p w14:paraId="41201088" w14:textId="05266515" w:rsidR="00EA2E6F" w:rsidRPr="00EA4E03" w:rsidRDefault="00EE50DD" w:rsidP="00426028">
      <w:pPr>
        <w:pStyle w:val="Voorpaginaovk"/>
        <w:spacing w:line="276" w:lineRule="auto"/>
      </w:pPr>
      <w:bookmarkStart w:id="0" w:name="_Hlk222322586"/>
      <w:r>
        <w:t>Levering licenties Adaptief Zaakmanagementsysteem</w:t>
      </w:r>
      <w:bookmarkEnd w:id="0"/>
    </w:p>
    <w:p w14:paraId="20A57B8E" w14:textId="77777777" w:rsidR="00810F5A" w:rsidRPr="00EA4E03" w:rsidRDefault="00810F5A" w:rsidP="00426028">
      <w:pPr>
        <w:pStyle w:val="Voorpaginaovk"/>
        <w:spacing w:line="276" w:lineRule="auto"/>
      </w:pPr>
    </w:p>
    <w:p w14:paraId="0781C052" w14:textId="3B748C06" w:rsidR="00EA2E6F" w:rsidRPr="00EA4E03" w:rsidRDefault="0050042E" w:rsidP="00426028">
      <w:pPr>
        <w:pStyle w:val="Voorpaginaovk"/>
        <w:spacing w:line="276" w:lineRule="auto"/>
      </w:pPr>
      <w:r w:rsidRPr="00EA4E03">
        <w:t>m</w:t>
      </w:r>
      <w:r w:rsidR="00EA2E6F" w:rsidRPr="00EA4E03">
        <w:t>et kenmerk</w:t>
      </w:r>
    </w:p>
    <w:p w14:paraId="17BBB314" w14:textId="3FDD5054" w:rsidR="00EA2E6F" w:rsidRPr="00EA4E03" w:rsidRDefault="002F7558" w:rsidP="00426028">
      <w:pPr>
        <w:pStyle w:val="Voorpaginaovk"/>
        <w:spacing w:line="276" w:lineRule="auto"/>
      </w:pPr>
      <w:bookmarkStart w:id="1" w:name="_Hlk223429652"/>
      <w:r w:rsidRPr="002F7558">
        <w:t>201865006.001.003</w:t>
      </w:r>
      <w:bookmarkEnd w:id="1"/>
    </w:p>
    <w:p w14:paraId="73B33345" w14:textId="10011F58" w:rsidR="0054692C" w:rsidRPr="00FF4662" w:rsidRDefault="00EA2E6F" w:rsidP="00426028">
      <w:pPr>
        <w:spacing w:line="276" w:lineRule="auto"/>
        <w:rPr>
          <w:b/>
          <w:bCs/>
        </w:rPr>
      </w:pPr>
      <w:r w:rsidRPr="004A424B">
        <w:br w:type="page"/>
      </w:r>
      <w:r w:rsidR="00C9193D">
        <w:rPr>
          <w:b/>
          <w:bCs/>
        </w:rPr>
        <w:lastRenderedPageBreak/>
        <w:t>O</w:t>
      </w:r>
      <w:r w:rsidR="0054692C" w:rsidRPr="00FF4662">
        <w:rPr>
          <w:b/>
          <w:bCs/>
        </w:rPr>
        <w:t>vereenkomst AR</w:t>
      </w:r>
      <w:r w:rsidR="00C9193D">
        <w:rPr>
          <w:b/>
          <w:bCs/>
        </w:rPr>
        <w:t>BIT-2022</w:t>
      </w:r>
      <w:r w:rsidR="00C9193D" w:rsidRPr="00C9193D">
        <w:rPr>
          <w:b/>
          <w:bCs/>
        </w:rPr>
        <w:t xml:space="preserve"> inzake </w:t>
      </w:r>
      <w:bookmarkStart w:id="2" w:name="_Hlk222322790"/>
      <w:r w:rsidR="00EE50DD" w:rsidRPr="00EE50DD">
        <w:rPr>
          <w:b/>
          <w:bCs/>
        </w:rPr>
        <w:t>Levering licenties</w:t>
      </w:r>
      <w:r w:rsidR="00EE50DD">
        <w:rPr>
          <w:b/>
          <w:bCs/>
        </w:rPr>
        <w:t>, updates en security patches</w:t>
      </w:r>
      <w:r w:rsidR="00EE50DD" w:rsidRPr="00EE50DD">
        <w:rPr>
          <w:b/>
          <w:bCs/>
        </w:rPr>
        <w:t xml:space="preserve"> Adaptief Zaakmanagementsysteem</w:t>
      </w:r>
      <w:bookmarkEnd w:id="2"/>
    </w:p>
    <w:p w14:paraId="3CC2D102" w14:textId="77777777" w:rsidR="0054692C" w:rsidRPr="004A424B" w:rsidRDefault="008E12C1" w:rsidP="00426028">
      <w:pPr>
        <w:spacing w:line="276" w:lineRule="auto"/>
      </w:pPr>
      <w:r w:rsidRPr="004A424B">
        <w:br/>
      </w:r>
      <w:r w:rsidR="0054692C" w:rsidRPr="00FF4662">
        <w:rPr>
          <w:b/>
          <w:bCs/>
        </w:rPr>
        <w:t>Contractnummer:</w:t>
      </w:r>
      <w:r w:rsidR="0054692C" w:rsidRPr="004A424B">
        <w:t xml:space="preserve"> </w:t>
      </w:r>
      <w:r w:rsidR="00C74D7E" w:rsidRPr="004A424B">
        <w:rPr>
          <w:highlight w:val="lightGray"/>
        </w:rPr>
        <w:t>&lt;…&gt;</w:t>
      </w:r>
    </w:p>
    <w:p w14:paraId="18D905C8" w14:textId="6D8D7138" w:rsidR="0054692C" w:rsidRPr="004A424B" w:rsidRDefault="0054692C" w:rsidP="00426028">
      <w:pPr>
        <w:spacing w:line="276" w:lineRule="auto"/>
      </w:pPr>
      <w:r w:rsidRPr="00FF4662">
        <w:rPr>
          <w:b/>
          <w:bCs/>
        </w:rPr>
        <w:t>Verplichtingennummer:</w:t>
      </w:r>
      <w:r w:rsidRPr="004A424B">
        <w:t xml:space="preserve"> </w:t>
      </w:r>
      <w:bookmarkStart w:id="3" w:name="_Hlk223429664"/>
      <w:r w:rsidR="002F7558" w:rsidRPr="002F7558">
        <w:t>Zie Onventis Orde</w:t>
      </w:r>
      <w:r w:rsidR="002F7558">
        <w:t>r</w:t>
      </w:r>
      <w:r w:rsidR="000919AB" w:rsidRPr="004A424B">
        <w:t xml:space="preserve"> </w:t>
      </w:r>
      <w:bookmarkEnd w:id="3"/>
    </w:p>
    <w:p w14:paraId="58BF8B24" w14:textId="77777777" w:rsidR="0042725E" w:rsidRPr="004A424B" w:rsidRDefault="0042725E" w:rsidP="00426028">
      <w:pPr>
        <w:spacing w:line="276" w:lineRule="auto"/>
      </w:pPr>
    </w:p>
    <w:p w14:paraId="4749DAD7" w14:textId="77777777" w:rsidR="00AE704A" w:rsidRPr="004A424B" w:rsidRDefault="00AE704A" w:rsidP="00426028">
      <w:pPr>
        <w:spacing w:line="276" w:lineRule="auto"/>
      </w:pPr>
    </w:p>
    <w:p w14:paraId="775D401F" w14:textId="55F4CF98" w:rsidR="0054692C" w:rsidRPr="00FF4662" w:rsidRDefault="00FF4662" w:rsidP="00426028">
      <w:pPr>
        <w:spacing w:line="276" w:lineRule="auto"/>
        <w:rPr>
          <w:b/>
          <w:bCs/>
        </w:rPr>
      </w:pPr>
      <w:bookmarkStart w:id="4" w:name="_Hlk143610611"/>
      <w:r w:rsidRPr="00FF4662">
        <w:rPr>
          <w:b/>
          <w:bCs/>
        </w:rPr>
        <w:t>NAW-gegevens</w:t>
      </w:r>
      <w:r w:rsidR="0054692C" w:rsidRPr="00FF4662">
        <w:rPr>
          <w:b/>
          <w:bCs/>
        </w:rPr>
        <w:t>:</w:t>
      </w:r>
    </w:p>
    <w:p w14:paraId="4F71D32E" w14:textId="77777777" w:rsidR="0054692C" w:rsidRPr="009D2C84" w:rsidRDefault="00C74D7E" w:rsidP="00426028">
      <w:pPr>
        <w:spacing w:line="276" w:lineRule="auto"/>
        <w:rPr>
          <w:b/>
          <w:bCs/>
          <w:lang w:val="fr-FR"/>
        </w:rPr>
      </w:pPr>
      <w:r w:rsidRPr="009D2C84">
        <w:rPr>
          <w:b/>
          <w:bCs/>
          <w:highlight w:val="lightGray"/>
          <w:lang w:val="fr-FR"/>
        </w:rPr>
        <w:t>&lt;</w:t>
      </w:r>
      <w:r w:rsidR="0054692C" w:rsidRPr="009D2C84">
        <w:rPr>
          <w:b/>
          <w:bCs/>
          <w:highlight w:val="lightGray"/>
          <w:lang w:val="fr-FR"/>
        </w:rPr>
        <w:t>Naam</w:t>
      </w:r>
      <w:r w:rsidRPr="009D2C84">
        <w:rPr>
          <w:b/>
          <w:bCs/>
          <w:highlight w:val="lightGray"/>
          <w:lang w:val="fr-FR"/>
        </w:rPr>
        <w:t>&gt;</w:t>
      </w:r>
    </w:p>
    <w:p w14:paraId="5CBF7788" w14:textId="77777777" w:rsidR="0054692C" w:rsidRPr="009D2C84" w:rsidRDefault="00C74D7E" w:rsidP="00426028">
      <w:pPr>
        <w:spacing w:line="276" w:lineRule="auto"/>
        <w:rPr>
          <w:b/>
          <w:bCs/>
          <w:lang w:val="fr-FR"/>
        </w:rPr>
      </w:pPr>
      <w:r w:rsidRPr="009D2C84">
        <w:rPr>
          <w:b/>
          <w:bCs/>
          <w:highlight w:val="lightGray"/>
          <w:lang w:val="fr-FR"/>
        </w:rPr>
        <w:t>&lt;</w:t>
      </w:r>
      <w:r w:rsidR="0054692C" w:rsidRPr="009D2C84">
        <w:rPr>
          <w:b/>
          <w:bCs/>
          <w:highlight w:val="lightGray"/>
          <w:lang w:val="fr-FR"/>
        </w:rPr>
        <w:t>Adres</w:t>
      </w:r>
      <w:r w:rsidRPr="009D2C84">
        <w:rPr>
          <w:b/>
          <w:bCs/>
          <w:highlight w:val="lightGray"/>
          <w:lang w:val="fr-FR"/>
        </w:rPr>
        <w:t>&gt;</w:t>
      </w:r>
    </w:p>
    <w:p w14:paraId="385984DB" w14:textId="77777777" w:rsidR="0054692C" w:rsidRPr="009D2C84" w:rsidRDefault="00C74D7E" w:rsidP="00426028">
      <w:pPr>
        <w:spacing w:line="276" w:lineRule="auto"/>
        <w:rPr>
          <w:b/>
          <w:bCs/>
          <w:lang w:val="fr-FR"/>
        </w:rPr>
      </w:pPr>
      <w:r w:rsidRPr="009D2C84">
        <w:rPr>
          <w:b/>
          <w:bCs/>
          <w:highlight w:val="lightGray"/>
          <w:lang w:val="fr-FR"/>
        </w:rPr>
        <w:t>&lt;</w:t>
      </w:r>
      <w:r w:rsidR="0054692C" w:rsidRPr="009D2C84">
        <w:rPr>
          <w:b/>
          <w:bCs/>
          <w:highlight w:val="lightGray"/>
          <w:lang w:val="fr-FR"/>
        </w:rPr>
        <w:t>Postcode</w:t>
      </w:r>
      <w:r w:rsidRPr="009D2C84">
        <w:rPr>
          <w:b/>
          <w:bCs/>
          <w:highlight w:val="lightGray"/>
          <w:lang w:val="fr-FR"/>
        </w:rPr>
        <w:t>&gt;</w:t>
      </w:r>
    </w:p>
    <w:p w14:paraId="5D4AA757" w14:textId="77777777" w:rsidR="0054692C" w:rsidRPr="009D2C84" w:rsidRDefault="0054692C" w:rsidP="00426028">
      <w:pPr>
        <w:spacing w:line="276" w:lineRule="auto"/>
        <w:rPr>
          <w:b/>
          <w:bCs/>
          <w:lang w:val="fr-FR"/>
        </w:rPr>
      </w:pPr>
    </w:p>
    <w:p w14:paraId="14029005" w14:textId="6FDB47FC" w:rsidR="0054692C" w:rsidRPr="009D2C84" w:rsidRDefault="00FF4662" w:rsidP="00426028">
      <w:pPr>
        <w:spacing w:line="276" w:lineRule="auto"/>
        <w:rPr>
          <w:b/>
          <w:bCs/>
          <w:lang w:val="fr-FR"/>
        </w:rPr>
      </w:pPr>
      <w:r w:rsidRPr="009D2C84">
        <w:rPr>
          <w:b/>
          <w:bCs/>
          <w:lang w:val="fr-FR"/>
        </w:rPr>
        <w:t>IBAN-code</w:t>
      </w:r>
      <w:r w:rsidR="0054692C" w:rsidRPr="009D2C84">
        <w:rPr>
          <w:b/>
          <w:bCs/>
          <w:lang w:val="fr-FR"/>
        </w:rPr>
        <w:t xml:space="preserve">: </w:t>
      </w:r>
      <w:r w:rsidR="00C74D7E" w:rsidRPr="009D2C84">
        <w:rPr>
          <w:b/>
          <w:bCs/>
          <w:highlight w:val="lightGray"/>
          <w:lang w:val="fr-FR"/>
        </w:rPr>
        <w:t>&lt;…&gt;</w:t>
      </w:r>
    </w:p>
    <w:p w14:paraId="415BDA5F" w14:textId="77777777" w:rsidR="0054692C" w:rsidRPr="009D2C84" w:rsidRDefault="0054692C" w:rsidP="00426028">
      <w:pPr>
        <w:spacing w:line="276" w:lineRule="auto"/>
        <w:rPr>
          <w:b/>
          <w:bCs/>
          <w:lang w:val="fr-FR"/>
        </w:rPr>
      </w:pPr>
      <w:r w:rsidRPr="009D2C84">
        <w:rPr>
          <w:b/>
          <w:bCs/>
          <w:lang w:val="fr-FR"/>
        </w:rPr>
        <w:t xml:space="preserve">BIC code: </w:t>
      </w:r>
      <w:r w:rsidR="00C74D7E" w:rsidRPr="009D2C84">
        <w:rPr>
          <w:b/>
          <w:bCs/>
          <w:highlight w:val="lightGray"/>
          <w:lang w:val="fr-FR"/>
        </w:rPr>
        <w:t>&lt;…&gt;</w:t>
      </w:r>
    </w:p>
    <w:p w14:paraId="7BD53E15" w14:textId="77777777" w:rsidR="00927814" w:rsidRPr="00FF4662" w:rsidRDefault="00927814" w:rsidP="00426028">
      <w:pPr>
        <w:spacing w:line="276" w:lineRule="auto"/>
        <w:rPr>
          <w:b/>
          <w:bCs/>
        </w:rPr>
      </w:pPr>
      <w:r w:rsidRPr="00FF4662">
        <w:rPr>
          <w:b/>
          <w:bCs/>
        </w:rPr>
        <w:t xml:space="preserve">KvK-nummer: </w:t>
      </w:r>
      <w:r w:rsidRPr="00FF4662">
        <w:rPr>
          <w:b/>
          <w:bCs/>
          <w:highlight w:val="lightGray"/>
        </w:rPr>
        <w:t>&lt;…&gt;</w:t>
      </w:r>
    </w:p>
    <w:p w14:paraId="3EBBA816" w14:textId="7C45B8CF" w:rsidR="00927814" w:rsidRPr="00FF4662" w:rsidRDefault="00927814" w:rsidP="00426028">
      <w:pPr>
        <w:spacing w:line="276" w:lineRule="auto"/>
        <w:rPr>
          <w:b/>
          <w:bCs/>
        </w:rPr>
      </w:pPr>
      <w:r w:rsidRPr="00FF4662">
        <w:rPr>
          <w:b/>
          <w:bCs/>
        </w:rPr>
        <w:t xml:space="preserve">KvK-vestigingsnummer: </w:t>
      </w:r>
      <w:r w:rsidRPr="00FF4662">
        <w:rPr>
          <w:b/>
          <w:bCs/>
          <w:highlight w:val="lightGray"/>
        </w:rPr>
        <w:t>&lt;…&gt;</w:t>
      </w:r>
    </w:p>
    <w:bookmarkEnd w:id="4"/>
    <w:p w14:paraId="402C2298" w14:textId="77777777" w:rsidR="0054692C" w:rsidRPr="004A424B" w:rsidRDefault="0054692C" w:rsidP="00426028">
      <w:pPr>
        <w:spacing w:line="276" w:lineRule="auto"/>
      </w:pPr>
    </w:p>
    <w:p w14:paraId="7837E972" w14:textId="77777777" w:rsidR="0054692C" w:rsidRPr="004A424B" w:rsidRDefault="0054692C" w:rsidP="00426028">
      <w:pPr>
        <w:spacing w:line="276" w:lineRule="auto"/>
      </w:pPr>
      <w:r w:rsidRPr="004A424B">
        <w:tab/>
      </w:r>
    </w:p>
    <w:p w14:paraId="1403BE84" w14:textId="77777777" w:rsidR="0054692C" w:rsidRPr="00FF4662" w:rsidRDefault="0054692C" w:rsidP="00426028">
      <w:pPr>
        <w:spacing w:line="276" w:lineRule="auto"/>
        <w:rPr>
          <w:b/>
          <w:bCs/>
        </w:rPr>
      </w:pPr>
      <w:r w:rsidRPr="00FF4662">
        <w:rPr>
          <w:b/>
          <w:bCs/>
        </w:rPr>
        <w:t>De ondergetekenden:</w:t>
      </w:r>
    </w:p>
    <w:p w14:paraId="6EB08A6B" w14:textId="77777777" w:rsidR="0054692C" w:rsidRPr="004A424B" w:rsidRDefault="0054692C" w:rsidP="00426028">
      <w:pPr>
        <w:spacing w:line="276" w:lineRule="auto"/>
      </w:pPr>
    </w:p>
    <w:p w14:paraId="710AA595" w14:textId="1F72C655" w:rsidR="00FF4662" w:rsidRDefault="0054692C" w:rsidP="00426028">
      <w:pPr>
        <w:pStyle w:val="Lijstalinea"/>
        <w:numPr>
          <w:ilvl w:val="0"/>
          <w:numId w:val="3"/>
        </w:numPr>
        <w:ind w:left="284" w:hanging="284"/>
      </w:pPr>
      <w:r w:rsidRPr="004A424B">
        <w:t xml:space="preserve">De Staat der Nederlanden, waarvan de zetel is gevestigd te Den Haag, </w:t>
      </w:r>
      <w:r w:rsidR="00FF4662">
        <w:br/>
      </w:r>
      <w:r w:rsidR="00233A7D" w:rsidRPr="004A424B">
        <w:t>hierbij</w:t>
      </w:r>
      <w:r w:rsidRPr="004A424B">
        <w:t xml:space="preserve"> vertegenwoordigd door de </w:t>
      </w:r>
      <w:r w:rsidR="00192D2D" w:rsidRPr="00AF03CB">
        <w:t>m</w:t>
      </w:r>
      <w:r w:rsidRPr="00AF03CB">
        <w:t>inister</w:t>
      </w:r>
      <w:r w:rsidRPr="004A424B">
        <w:t xml:space="preserve"> van </w:t>
      </w:r>
      <w:r w:rsidR="00EE50DD">
        <w:t>Inspectie Gezondheidszorg en Jeugd</w:t>
      </w:r>
      <w:r w:rsidRPr="004A424B">
        <w:t>,</w:t>
      </w:r>
      <w:r w:rsidR="00FF4662">
        <w:br/>
      </w:r>
      <w:r w:rsidRPr="004A424B">
        <w:t>namens deze</w:t>
      </w:r>
      <w:r w:rsidR="00FF4662">
        <w:t>,</w:t>
      </w:r>
      <w:r w:rsidR="00FF4662">
        <w:br/>
      </w:r>
      <w:r w:rsidR="002F7558" w:rsidRPr="002F7558">
        <w:t>de Inspecteur-generaal Gezondheidszorg en Jeugd, mevrouw M. Vogelzang</w:t>
      </w:r>
      <w:r w:rsidR="00852AC3" w:rsidRPr="004A424B">
        <w:t>,</w:t>
      </w:r>
    </w:p>
    <w:p w14:paraId="53224CC2" w14:textId="3BCAE046" w:rsidR="00852AC3" w:rsidRPr="004A424B" w:rsidRDefault="0054692C" w:rsidP="00426028">
      <w:pPr>
        <w:pStyle w:val="Lijstalinea"/>
        <w:ind w:left="284"/>
      </w:pPr>
      <w:r w:rsidRPr="004A424B">
        <w:t>hierna te noemen: Opdrachtgever,</w:t>
      </w:r>
    </w:p>
    <w:p w14:paraId="0219F26D" w14:textId="77777777" w:rsidR="00122BC9" w:rsidRPr="00FF4662" w:rsidRDefault="00122BC9" w:rsidP="00426028">
      <w:pPr>
        <w:spacing w:line="276" w:lineRule="auto"/>
        <w:rPr>
          <w:b/>
          <w:bCs/>
        </w:rPr>
      </w:pPr>
      <w:r w:rsidRPr="00FF4662">
        <w:rPr>
          <w:b/>
          <w:bCs/>
        </w:rPr>
        <w:t>en</w:t>
      </w:r>
    </w:p>
    <w:p w14:paraId="3875E164" w14:textId="77777777" w:rsidR="00B468E6" w:rsidRPr="004A424B" w:rsidRDefault="00B468E6" w:rsidP="00426028">
      <w:pPr>
        <w:spacing w:line="276" w:lineRule="auto"/>
      </w:pPr>
    </w:p>
    <w:p w14:paraId="1D54901A" w14:textId="77777777" w:rsidR="00122BC9" w:rsidRPr="00FF4662" w:rsidRDefault="00C74D7E" w:rsidP="00426028">
      <w:pPr>
        <w:pStyle w:val="Lijstalinea"/>
        <w:numPr>
          <w:ilvl w:val="0"/>
          <w:numId w:val="3"/>
        </w:numPr>
        <w:ind w:left="284" w:hanging="284"/>
      </w:pPr>
      <w:r w:rsidRPr="00FF4662">
        <w:rPr>
          <w:highlight w:val="lightGray"/>
        </w:rPr>
        <w:t>&lt;</w:t>
      </w:r>
      <w:r w:rsidR="00122BC9" w:rsidRPr="00FF4662">
        <w:rPr>
          <w:highlight w:val="lightGray"/>
        </w:rPr>
        <w:t>volledige</w:t>
      </w:r>
      <w:r w:rsidR="00E173ED" w:rsidRPr="00FF4662">
        <w:rPr>
          <w:highlight w:val="lightGray"/>
        </w:rPr>
        <w:t xml:space="preserve"> naam en rechtsvorm contractant</w:t>
      </w:r>
      <w:r w:rsidRPr="00FF4662">
        <w:rPr>
          <w:highlight w:val="lightGray"/>
        </w:rPr>
        <w:t>&gt;</w:t>
      </w:r>
      <w:r w:rsidR="00122BC9" w:rsidRPr="004A424B">
        <w:t>,</w:t>
      </w:r>
    </w:p>
    <w:p w14:paraId="0F4636AA" w14:textId="77777777" w:rsidR="00FF4662" w:rsidRPr="00FF4662" w:rsidRDefault="00C74D7E" w:rsidP="00426028">
      <w:pPr>
        <w:pStyle w:val="Lijstalinea"/>
        <w:ind w:left="284"/>
      </w:pPr>
      <w:r w:rsidRPr="004A424B">
        <w:t>(</w:t>
      </w:r>
      <w:r w:rsidR="00E173ED" w:rsidRPr="004A424B">
        <w:t>statutair</w:t>
      </w:r>
      <w:r w:rsidRPr="004A424B">
        <w:t>)</w:t>
      </w:r>
      <w:r w:rsidR="00122BC9" w:rsidRPr="004A424B">
        <w:t xml:space="preserve"> gevestigd te </w:t>
      </w:r>
      <w:r w:rsidRPr="00FF4662">
        <w:rPr>
          <w:highlight w:val="lightGray"/>
        </w:rPr>
        <w:t>&lt;plaatsnaam&gt;</w:t>
      </w:r>
      <w:r w:rsidR="00122BC9" w:rsidRPr="004A424B">
        <w:t>,</w:t>
      </w:r>
    </w:p>
    <w:p w14:paraId="4C235B6A" w14:textId="3BDC58C4" w:rsidR="00122BC9" w:rsidRPr="00FF4662" w:rsidRDefault="00233A7D" w:rsidP="00426028">
      <w:pPr>
        <w:pStyle w:val="Lijstalinea"/>
        <w:ind w:left="284"/>
      </w:pPr>
      <w:r w:rsidRPr="004A424B">
        <w:t>hierbij</w:t>
      </w:r>
      <w:r w:rsidR="00122BC9" w:rsidRPr="004A424B">
        <w:t xml:space="preserve"> vertegenwoordigd door</w:t>
      </w:r>
      <w:r w:rsidR="00C06C69" w:rsidRPr="004A424B">
        <w:t>,</w:t>
      </w:r>
    </w:p>
    <w:p w14:paraId="60494805" w14:textId="77777777" w:rsidR="00FF4662" w:rsidRPr="00FF4662" w:rsidRDefault="00C74D7E" w:rsidP="00426028">
      <w:pPr>
        <w:pStyle w:val="Lijstalinea"/>
        <w:ind w:left="284"/>
      </w:pPr>
      <w:r w:rsidRPr="00FF4662">
        <w:rPr>
          <w:highlight w:val="lightGray"/>
        </w:rPr>
        <w:t>&lt;</w:t>
      </w:r>
      <w:r w:rsidR="00B935E7" w:rsidRPr="00FF4662">
        <w:rPr>
          <w:highlight w:val="lightGray"/>
        </w:rPr>
        <w:t xml:space="preserve">functienaam </w:t>
      </w:r>
      <w:r w:rsidR="00122BC9" w:rsidRPr="00FF4662">
        <w:rPr>
          <w:highlight w:val="lightGray"/>
        </w:rPr>
        <w:t xml:space="preserve">en </w:t>
      </w:r>
      <w:r w:rsidR="00E173ED" w:rsidRPr="00FF4662">
        <w:rPr>
          <w:highlight w:val="lightGray"/>
        </w:rPr>
        <w:t>naam ondertekenaar</w:t>
      </w:r>
      <w:r w:rsidRPr="00FF4662">
        <w:rPr>
          <w:highlight w:val="lightGray"/>
        </w:rPr>
        <w:t>&gt;</w:t>
      </w:r>
      <w:r w:rsidR="00B935E7" w:rsidRPr="004A424B">
        <w:t>,</w:t>
      </w:r>
    </w:p>
    <w:p w14:paraId="013871EE" w14:textId="479A892B" w:rsidR="00122BC9" w:rsidRPr="00FF4662" w:rsidRDefault="00122BC9" w:rsidP="00426028">
      <w:pPr>
        <w:pStyle w:val="Lijstalinea"/>
        <w:ind w:left="284"/>
      </w:pPr>
      <w:r w:rsidRPr="004A424B">
        <w:t xml:space="preserve">hierna te noemen: </w:t>
      </w:r>
      <w:r w:rsidR="00C9193D">
        <w:t>Wederpartij</w:t>
      </w:r>
      <w:r w:rsidR="00450CF0" w:rsidRPr="004A424B">
        <w:t>.</w:t>
      </w:r>
    </w:p>
    <w:p w14:paraId="6D7756EE" w14:textId="77777777" w:rsidR="007D2EBF" w:rsidRPr="00FF4662" w:rsidRDefault="00450CF0" w:rsidP="00426028">
      <w:pPr>
        <w:spacing w:line="276" w:lineRule="auto"/>
      </w:pPr>
      <w:r w:rsidRPr="00FF4662">
        <w:t>H</w:t>
      </w:r>
      <w:r w:rsidR="007D2EBF" w:rsidRPr="00FF4662">
        <w:t>ierna gezamenlijk te noemen: de Partijen</w:t>
      </w:r>
      <w:r w:rsidR="005D3615" w:rsidRPr="00FF4662">
        <w:t>.</w:t>
      </w:r>
    </w:p>
    <w:p w14:paraId="164ECD65" w14:textId="77777777" w:rsidR="002052FA" w:rsidRPr="004A424B" w:rsidRDefault="002052FA" w:rsidP="00426028">
      <w:pPr>
        <w:spacing w:line="276" w:lineRule="auto"/>
      </w:pPr>
    </w:p>
    <w:p w14:paraId="682A4E1E" w14:textId="77777777" w:rsidR="00122BC9" w:rsidRPr="00FF4662" w:rsidRDefault="009718E1" w:rsidP="00426028">
      <w:pPr>
        <w:spacing w:line="276" w:lineRule="auto"/>
        <w:rPr>
          <w:b/>
          <w:bCs/>
        </w:rPr>
      </w:pPr>
      <w:r w:rsidRPr="00FF4662">
        <w:rPr>
          <w:b/>
          <w:bCs/>
        </w:rPr>
        <w:t>OVERWEGENDE DAT</w:t>
      </w:r>
      <w:r w:rsidR="00122BC9" w:rsidRPr="00FF4662">
        <w:rPr>
          <w:b/>
          <w:bCs/>
        </w:rPr>
        <w:t>:</w:t>
      </w:r>
    </w:p>
    <w:p w14:paraId="3A03B81B" w14:textId="77777777" w:rsidR="00122BC9" w:rsidRPr="004A424B" w:rsidRDefault="00122BC9" w:rsidP="00426028">
      <w:pPr>
        <w:spacing w:line="276" w:lineRule="auto"/>
      </w:pPr>
    </w:p>
    <w:p w14:paraId="228E021E" w14:textId="77777777" w:rsidR="00C9193D" w:rsidRDefault="00C9193D" w:rsidP="00426028">
      <w:pPr>
        <w:spacing w:line="276" w:lineRule="auto"/>
      </w:pPr>
      <w:r>
        <w:t>Organisatie en doelstelling van Opdrachtgever</w:t>
      </w:r>
    </w:p>
    <w:p w14:paraId="3CF408EC" w14:textId="41F3F334" w:rsidR="00C9193D" w:rsidRDefault="00C9193D" w:rsidP="00426028">
      <w:pPr>
        <w:pStyle w:val="Lijstalinea"/>
        <w:numPr>
          <w:ilvl w:val="0"/>
          <w:numId w:val="9"/>
        </w:numPr>
      </w:pPr>
      <w:bookmarkStart w:id="5" w:name="_Hlk222322848"/>
      <w:r>
        <w:t xml:space="preserve">Opdrachtgever verantwoordelijk is voor </w:t>
      </w:r>
      <w:r w:rsidR="00EE50DD" w:rsidRPr="00EE50DD">
        <w:t>het toezicht op de kwaliteit, veiligheid en toegankelijkheid van zorg en jeugdhulp in Nederland</w:t>
      </w:r>
      <w:r>
        <w:t>;</w:t>
      </w:r>
    </w:p>
    <w:p w14:paraId="610AB752" w14:textId="197ADB70" w:rsidR="00C9193D" w:rsidRDefault="00EE50DD" w:rsidP="00426028">
      <w:pPr>
        <w:pStyle w:val="Lijstalinea"/>
        <w:numPr>
          <w:ilvl w:val="0"/>
          <w:numId w:val="9"/>
        </w:numPr>
      </w:pPr>
      <w:r w:rsidRPr="00EE50DD">
        <w:t>Opdrachtgever in het kader van de uitoefening van zijn taak behoefte heeft aan de levering van licenties, updates en security patches ten behoeve van Adaptief Zaakmanagementsysteem;</w:t>
      </w:r>
    </w:p>
    <w:bookmarkEnd w:id="5"/>
    <w:p w14:paraId="534F36E1" w14:textId="361F1238" w:rsidR="00C9193D" w:rsidRDefault="00C9193D" w:rsidP="00426028">
      <w:pPr>
        <w:spacing w:line="276" w:lineRule="auto"/>
      </w:pPr>
      <w:r>
        <w:t>Verloop van de aanbesteding</w:t>
      </w:r>
    </w:p>
    <w:p w14:paraId="20F93067" w14:textId="7B845CB0" w:rsidR="00C9193D" w:rsidRDefault="00C9193D" w:rsidP="00426028">
      <w:pPr>
        <w:pStyle w:val="Lijstalinea"/>
        <w:numPr>
          <w:ilvl w:val="0"/>
          <w:numId w:val="9"/>
        </w:numPr>
      </w:pPr>
      <w:r>
        <w:t xml:space="preserve">Opdrachtgever in verband met hetgeen hiervoor onder a en b is overwogen, tot aanbesteding van </w:t>
      </w:r>
      <w:r w:rsidR="00EE50DD" w:rsidRPr="00EE50DD">
        <w:t>Adaptief Zaakmanagementsysteem</w:t>
      </w:r>
      <w:r>
        <w:t xml:space="preserve"> door middel van </w:t>
      </w:r>
      <w:r w:rsidR="00EE50DD">
        <w:t>een Europese openbare aanbesteding</w:t>
      </w:r>
      <w:r>
        <w:t xml:space="preserve"> is overgegaan;</w:t>
      </w:r>
    </w:p>
    <w:p w14:paraId="12C2B105" w14:textId="0B2BCD97" w:rsidR="00C9193D" w:rsidRDefault="00C9193D" w:rsidP="00426028">
      <w:pPr>
        <w:pStyle w:val="Lijstalinea"/>
        <w:numPr>
          <w:ilvl w:val="0"/>
          <w:numId w:val="9"/>
        </w:numPr>
      </w:pPr>
      <w:r>
        <w:lastRenderedPageBreak/>
        <w:t xml:space="preserve">op </w:t>
      </w:r>
      <w:r w:rsidRPr="00C9193D">
        <w:rPr>
          <w:highlight w:val="lightGray"/>
        </w:rPr>
        <w:t>&lt;datum&gt;</w:t>
      </w:r>
      <w:r>
        <w:t xml:space="preserve"> door of namens Opdrachtgever een aankondiging naar het Supplement op het Publicatieblad van de Europese Unie (hierna: Publicatieblad) is verzonden en dat deze aankondiging is gepubliceerd onder nummer </w:t>
      </w:r>
      <w:r w:rsidR="002F7558" w:rsidRPr="002F7558">
        <w:t>201865006.001.003</w:t>
      </w:r>
      <w:r>
        <w:t>;</w:t>
      </w:r>
    </w:p>
    <w:p w14:paraId="520DB8E0" w14:textId="77777777" w:rsidR="00C9193D" w:rsidRDefault="00C9193D" w:rsidP="00426028">
      <w:pPr>
        <w:pStyle w:val="Lijstalinea"/>
        <w:numPr>
          <w:ilvl w:val="0"/>
          <w:numId w:val="9"/>
        </w:numPr>
      </w:pPr>
      <w:r w:rsidRPr="00C9193D">
        <w:rPr>
          <w:highlight w:val="lightGray"/>
        </w:rPr>
        <w:t>&lt;beschrijving verdere verloop afhankelijk van de gevolgde aanbestedingsprocedure&gt;</w:t>
      </w:r>
      <w:r>
        <w:t>;</w:t>
      </w:r>
    </w:p>
    <w:p w14:paraId="737A3BB8" w14:textId="77777777" w:rsidR="00C9193D" w:rsidRDefault="00C9193D" w:rsidP="00426028">
      <w:pPr>
        <w:pStyle w:val="Lijstalinea"/>
        <w:numPr>
          <w:ilvl w:val="0"/>
          <w:numId w:val="9"/>
        </w:numPr>
      </w:pPr>
      <w:r>
        <w:t xml:space="preserve">Opdrachtgever de Opdracht op </w:t>
      </w:r>
      <w:r w:rsidRPr="00C9193D">
        <w:rPr>
          <w:highlight w:val="lightGray"/>
        </w:rPr>
        <w:t>&lt;datum&gt;</w:t>
      </w:r>
      <w:r>
        <w:t xml:space="preserve"> heeft gegund aan Wederpartij.</w:t>
      </w:r>
    </w:p>
    <w:p w14:paraId="074ADF43" w14:textId="6E2144F8" w:rsidR="00122BC9" w:rsidRPr="00FF4662" w:rsidRDefault="009718E1" w:rsidP="00426028">
      <w:pPr>
        <w:spacing w:line="276" w:lineRule="auto"/>
        <w:rPr>
          <w:b/>
          <w:bCs/>
        </w:rPr>
      </w:pPr>
      <w:r w:rsidRPr="00FF4662">
        <w:rPr>
          <w:b/>
          <w:bCs/>
        </w:rPr>
        <w:t>KOMEN OVEREEN</w:t>
      </w:r>
      <w:r w:rsidR="00122BC9" w:rsidRPr="00FF4662">
        <w:rPr>
          <w:b/>
          <w:bCs/>
        </w:rPr>
        <w:t xml:space="preserve">: </w:t>
      </w:r>
    </w:p>
    <w:p w14:paraId="3FC6ED45" w14:textId="77777777" w:rsidR="00C9193D" w:rsidRPr="004A424B" w:rsidRDefault="00C9193D" w:rsidP="00426028">
      <w:pPr>
        <w:spacing w:line="276" w:lineRule="auto"/>
      </w:pPr>
    </w:p>
    <w:p w14:paraId="31174002" w14:textId="77777777" w:rsidR="00BD5954" w:rsidRDefault="00BD5954" w:rsidP="00426028">
      <w:pPr>
        <w:pStyle w:val="Kop1"/>
        <w:numPr>
          <w:ilvl w:val="0"/>
          <w:numId w:val="4"/>
        </w:numPr>
        <w:spacing w:line="276" w:lineRule="auto"/>
        <w:ind w:left="567" w:hanging="567"/>
      </w:pPr>
      <w:r>
        <w:t>Begrippen</w:t>
      </w:r>
    </w:p>
    <w:p w14:paraId="31A4F94F" w14:textId="77777777" w:rsidR="00BD5954" w:rsidRPr="00BD5954" w:rsidRDefault="00BD5954" w:rsidP="00426028">
      <w:pPr>
        <w:spacing w:line="276" w:lineRule="auto"/>
        <w:rPr>
          <w:lang w:val="nl"/>
        </w:rPr>
      </w:pPr>
    </w:p>
    <w:p w14:paraId="33A9A672" w14:textId="1FE4C7B9" w:rsidR="00122BC9" w:rsidRPr="00BD5954" w:rsidRDefault="00122BC9" w:rsidP="00426028">
      <w:pPr>
        <w:pStyle w:val="Kop1"/>
        <w:numPr>
          <w:ilvl w:val="1"/>
          <w:numId w:val="4"/>
        </w:numPr>
        <w:spacing w:line="276" w:lineRule="auto"/>
        <w:ind w:left="567" w:hanging="567"/>
        <w:rPr>
          <w:b w:val="0"/>
          <w:bCs w:val="0"/>
        </w:rPr>
      </w:pPr>
      <w:r w:rsidRPr="00BD5954">
        <w:rPr>
          <w:b w:val="0"/>
          <w:bCs w:val="0"/>
        </w:rPr>
        <w:t xml:space="preserve">In </w:t>
      </w:r>
      <w:r w:rsidR="00C9193D" w:rsidRPr="00BD5954">
        <w:rPr>
          <w:b w:val="0"/>
          <w:bCs w:val="0"/>
        </w:rPr>
        <w:t>de Overeenkomst wordt een aantal begrippen met een beginhoofdletter gebruikt. Aan deze begrippen komt de betekenis toe die hieraan is gegeven in de Voorwaarden.</w:t>
      </w:r>
    </w:p>
    <w:p w14:paraId="0C77633A" w14:textId="77777777" w:rsidR="00852AC3" w:rsidRPr="004A424B" w:rsidRDefault="00852AC3" w:rsidP="00426028">
      <w:pPr>
        <w:spacing w:line="276" w:lineRule="auto"/>
      </w:pPr>
    </w:p>
    <w:p w14:paraId="43C952BF" w14:textId="77777777" w:rsidR="00BD5954" w:rsidRDefault="00122BC9" w:rsidP="00426028">
      <w:pPr>
        <w:pStyle w:val="Kop1"/>
        <w:numPr>
          <w:ilvl w:val="0"/>
          <w:numId w:val="4"/>
        </w:numPr>
        <w:spacing w:line="276" w:lineRule="auto"/>
        <w:ind w:left="567" w:hanging="567"/>
      </w:pPr>
      <w:r w:rsidRPr="004A424B">
        <w:t>Voorwerp van de Overeenkomst</w:t>
      </w:r>
    </w:p>
    <w:p w14:paraId="5F36A7A1" w14:textId="77777777" w:rsidR="00BD5954" w:rsidRPr="00BD5954" w:rsidRDefault="00BD5954" w:rsidP="00426028">
      <w:pPr>
        <w:spacing w:line="276" w:lineRule="auto"/>
        <w:rPr>
          <w:lang w:val="nl"/>
        </w:rPr>
      </w:pPr>
    </w:p>
    <w:p w14:paraId="69B551DA" w14:textId="4B6AD40F" w:rsidR="00C9193D" w:rsidRPr="00EE50DD" w:rsidRDefault="00C9193D" w:rsidP="00426028">
      <w:pPr>
        <w:pStyle w:val="Kop1"/>
        <w:numPr>
          <w:ilvl w:val="1"/>
          <w:numId w:val="4"/>
        </w:numPr>
        <w:spacing w:line="276" w:lineRule="auto"/>
        <w:ind w:left="567" w:hanging="567"/>
        <w:rPr>
          <w:b w:val="0"/>
          <w:bCs w:val="0"/>
        </w:rPr>
      </w:pPr>
      <w:r w:rsidRPr="00BD5954">
        <w:rPr>
          <w:b w:val="0"/>
          <w:bCs w:val="0"/>
        </w:rPr>
        <w:t>Partijen sluiten hierbij een Overeenkomst waarbij Wederpartij zich tegen de in artikel 7 bedoelde Vergoeding verbindt tot het verrichten van de Prestatie zoals beschreven in het Bestek, die in hoofdlijnen bestaat uit:</w:t>
      </w:r>
    </w:p>
    <w:p w14:paraId="4ADCF557" w14:textId="77777777" w:rsidR="00C9193D" w:rsidRPr="00C9193D" w:rsidRDefault="00C9193D" w:rsidP="00426028">
      <w:pPr>
        <w:spacing w:line="276" w:lineRule="auto"/>
      </w:pPr>
    </w:p>
    <w:p w14:paraId="28268B79" w14:textId="77777777" w:rsidR="00EE50DD" w:rsidRPr="00C9193D" w:rsidRDefault="00EE50DD" w:rsidP="00426028">
      <w:pPr>
        <w:pStyle w:val="Lijstalinea"/>
        <w:numPr>
          <w:ilvl w:val="0"/>
          <w:numId w:val="11"/>
        </w:numPr>
      </w:pPr>
      <w:r w:rsidRPr="00C9193D">
        <w:t>het leveren van het Product/de Producten:</w:t>
      </w:r>
    </w:p>
    <w:p w14:paraId="69C16B6F" w14:textId="77777777" w:rsidR="00EE50DD" w:rsidRPr="00C9193D" w:rsidRDefault="00EE50DD" w:rsidP="00426028">
      <w:pPr>
        <w:pStyle w:val="Lijstalinea"/>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4467"/>
        <w:gridCol w:w="2016"/>
      </w:tblGrid>
      <w:tr w:rsidR="00EE50DD" w:rsidRPr="00C9193D" w14:paraId="60652C9A" w14:textId="77777777" w:rsidTr="00EE50DD">
        <w:trPr>
          <w:trHeight w:val="269"/>
        </w:trPr>
        <w:tc>
          <w:tcPr>
            <w:tcW w:w="1575" w:type="dxa"/>
            <w:tcBorders>
              <w:top w:val="single" w:sz="4" w:space="0" w:color="auto"/>
              <w:left w:val="single" w:sz="4" w:space="0" w:color="auto"/>
              <w:bottom w:val="single" w:sz="4" w:space="0" w:color="auto"/>
              <w:right w:val="single" w:sz="4" w:space="0" w:color="auto"/>
            </w:tcBorders>
            <w:shd w:val="clear" w:color="auto" w:fill="999999"/>
            <w:hideMark/>
          </w:tcPr>
          <w:p w14:paraId="3C43704B" w14:textId="77777777" w:rsidR="00EE50DD" w:rsidRPr="00C9193D" w:rsidRDefault="00EE50DD" w:rsidP="00426028">
            <w:pPr>
              <w:pStyle w:val="Lijstalinea"/>
              <w:ind w:left="64"/>
              <w:rPr>
                <w:b/>
              </w:rPr>
            </w:pPr>
            <w:r w:rsidRPr="00C9193D">
              <w:rPr>
                <w:b/>
              </w:rPr>
              <w:t>Volgnummer</w:t>
            </w:r>
          </w:p>
        </w:tc>
        <w:tc>
          <w:tcPr>
            <w:tcW w:w="4467" w:type="dxa"/>
            <w:tcBorders>
              <w:top w:val="single" w:sz="4" w:space="0" w:color="auto"/>
              <w:left w:val="single" w:sz="4" w:space="0" w:color="auto"/>
              <w:bottom w:val="single" w:sz="4" w:space="0" w:color="auto"/>
              <w:right w:val="single" w:sz="4" w:space="0" w:color="auto"/>
            </w:tcBorders>
            <w:shd w:val="clear" w:color="auto" w:fill="999999"/>
            <w:hideMark/>
          </w:tcPr>
          <w:p w14:paraId="0237C777" w14:textId="77777777" w:rsidR="00EE50DD" w:rsidRPr="00C9193D" w:rsidRDefault="00EE50DD" w:rsidP="00426028">
            <w:pPr>
              <w:pStyle w:val="Lijstalinea"/>
              <w:rPr>
                <w:b/>
              </w:rPr>
            </w:pPr>
            <w:r w:rsidRPr="00C9193D">
              <w:rPr>
                <w:b/>
              </w:rPr>
              <w:t>Onderwerp</w:t>
            </w:r>
          </w:p>
        </w:tc>
        <w:tc>
          <w:tcPr>
            <w:tcW w:w="2016" w:type="dxa"/>
            <w:tcBorders>
              <w:top w:val="single" w:sz="4" w:space="0" w:color="auto"/>
              <w:left w:val="single" w:sz="4" w:space="0" w:color="auto"/>
              <w:bottom w:val="single" w:sz="4" w:space="0" w:color="auto"/>
              <w:right w:val="single" w:sz="4" w:space="0" w:color="auto"/>
            </w:tcBorders>
            <w:shd w:val="clear" w:color="auto" w:fill="999999"/>
            <w:hideMark/>
          </w:tcPr>
          <w:p w14:paraId="30EBC805" w14:textId="77777777" w:rsidR="00EE50DD" w:rsidRPr="00C9193D" w:rsidRDefault="00EE50DD" w:rsidP="00426028">
            <w:pPr>
              <w:pStyle w:val="Lijstalinea"/>
              <w:rPr>
                <w:b/>
              </w:rPr>
            </w:pPr>
            <w:r w:rsidRPr="00C9193D">
              <w:rPr>
                <w:b/>
              </w:rPr>
              <w:t>Aantal</w:t>
            </w:r>
          </w:p>
        </w:tc>
      </w:tr>
      <w:tr w:rsidR="00EE50DD" w:rsidRPr="00C9193D" w14:paraId="0761486C" w14:textId="77777777" w:rsidTr="00EE50DD">
        <w:trPr>
          <w:trHeight w:val="269"/>
        </w:trPr>
        <w:tc>
          <w:tcPr>
            <w:tcW w:w="1575" w:type="dxa"/>
            <w:tcBorders>
              <w:top w:val="single" w:sz="4" w:space="0" w:color="auto"/>
              <w:left w:val="single" w:sz="4" w:space="0" w:color="auto"/>
              <w:bottom w:val="single" w:sz="4" w:space="0" w:color="auto"/>
              <w:right w:val="single" w:sz="4" w:space="0" w:color="auto"/>
            </w:tcBorders>
            <w:hideMark/>
          </w:tcPr>
          <w:p w14:paraId="246CF70C" w14:textId="77777777" w:rsidR="00EE50DD" w:rsidRPr="00C9193D" w:rsidRDefault="00EE50DD" w:rsidP="00426028">
            <w:pPr>
              <w:pStyle w:val="Lijstalinea"/>
              <w:ind w:left="64"/>
              <w:rPr>
                <w:i/>
                <w:iCs/>
              </w:rPr>
            </w:pPr>
            <w:r w:rsidRPr="00C9193D">
              <w:t>A1</w:t>
            </w:r>
          </w:p>
        </w:tc>
        <w:tc>
          <w:tcPr>
            <w:tcW w:w="4467" w:type="dxa"/>
            <w:tcBorders>
              <w:top w:val="single" w:sz="4" w:space="0" w:color="auto"/>
              <w:left w:val="single" w:sz="4" w:space="0" w:color="auto"/>
              <w:bottom w:val="single" w:sz="4" w:space="0" w:color="auto"/>
              <w:right w:val="single" w:sz="4" w:space="0" w:color="auto"/>
            </w:tcBorders>
            <w:hideMark/>
          </w:tcPr>
          <w:p w14:paraId="034E5ECE" w14:textId="4AE8F0FD" w:rsidR="00EE50DD" w:rsidRPr="00C9193D" w:rsidRDefault="009C2F8A" w:rsidP="00426028">
            <w:pPr>
              <w:pStyle w:val="Lijstalinea"/>
              <w:ind w:left="64"/>
              <w:rPr>
                <w:iCs/>
              </w:rPr>
            </w:pPr>
            <w:r>
              <w:rPr>
                <w:iCs/>
              </w:rPr>
              <w:t>Gebruiksrecht</w:t>
            </w:r>
            <w:r w:rsidR="00EE50DD">
              <w:rPr>
                <w:iCs/>
              </w:rPr>
              <w:t xml:space="preserve"> Adaptief Zaakmanagementsysteem</w:t>
            </w:r>
          </w:p>
        </w:tc>
        <w:tc>
          <w:tcPr>
            <w:tcW w:w="2016" w:type="dxa"/>
            <w:tcBorders>
              <w:top w:val="single" w:sz="4" w:space="0" w:color="auto"/>
              <w:left w:val="single" w:sz="4" w:space="0" w:color="auto"/>
              <w:bottom w:val="single" w:sz="4" w:space="0" w:color="auto"/>
              <w:right w:val="single" w:sz="4" w:space="0" w:color="auto"/>
            </w:tcBorders>
            <w:hideMark/>
          </w:tcPr>
          <w:p w14:paraId="7097B756" w14:textId="6BABF59F" w:rsidR="00EE50DD" w:rsidRPr="00C9193D" w:rsidRDefault="00D12540" w:rsidP="00426028">
            <w:pPr>
              <w:pStyle w:val="Lijstalinea"/>
              <w:ind w:left="64"/>
              <w:rPr>
                <w:iCs/>
              </w:rPr>
            </w:pPr>
            <w:r>
              <w:rPr>
                <w:iCs/>
              </w:rPr>
              <w:t>&lt;nader te bepalen&gt;</w:t>
            </w:r>
          </w:p>
        </w:tc>
      </w:tr>
      <w:tr w:rsidR="00EE50DD" w:rsidRPr="00C9193D" w14:paraId="4E65AF1E" w14:textId="77777777" w:rsidTr="00EE50DD">
        <w:trPr>
          <w:trHeight w:val="269"/>
        </w:trPr>
        <w:tc>
          <w:tcPr>
            <w:tcW w:w="1575" w:type="dxa"/>
            <w:tcBorders>
              <w:top w:val="single" w:sz="4" w:space="0" w:color="auto"/>
              <w:left w:val="single" w:sz="4" w:space="0" w:color="auto"/>
              <w:bottom w:val="single" w:sz="4" w:space="0" w:color="auto"/>
              <w:right w:val="single" w:sz="4" w:space="0" w:color="auto"/>
            </w:tcBorders>
          </w:tcPr>
          <w:p w14:paraId="2FF669EF" w14:textId="062868DE" w:rsidR="00EE50DD" w:rsidRPr="00C9193D" w:rsidRDefault="00EE50DD" w:rsidP="00426028">
            <w:pPr>
              <w:pStyle w:val="Lijstalinea"/>
              <w:ind w:left="64"/>
            </w:pPr>
            <w:r>
              <w:t>A2</w:t>
            </w:r>
          </w:p>
        </w:tc>
        <w:tc>
          <w:tcPr>
            <w:tcW w:w="4467" w:type="dxa"/>
            <w:tcBorders>
              <w:top w:val="single" w:sz="4" w:space="0" w:color="auto"/>
              <w:left w:val="single" w:sz="4" w:space="0" w:color="auto"/>
              <w:bottom w:val="single" w:sz="4" w:space="0" w:color="auto"/>
              <w:right w:val="single" w:sz="4" w:space="0" w:color="auto"/>
            </w:tcBorders>
          </w:tcPr>
          <w:p w14:paraId="1B4AD3F0" w14:textId="7946F3BF" w:rsidR="00EE50DD" w:rsidRDefault="00EE50DD" w:rsidP="00426028">
            <w:pPr>
              <w:pStyle w:val="Lijstalinea"/>
              <w:ind w:left="64"/>
              <w:rPr>
                <w:iCs/>
              </w:rPr>
            </w:pPr>
            <w:r>
              <w:rPr>
                <w:iCs/>
              </w:rPr>
              <w:t>Leveren van updates</w:t>
            </w:r>
          </w:p>
        </w:tc>
        <w:tc>
          <w:tcPr>
            <w:tcW w:w="2016" w:type="dxa"/>
            <w:tcBorders>
              <w:top w:val="single" w:sz="4" w:space="0" w:color="auto"/>
              <w:left w:val="single" w:sz="4" w:space="0" w:color="auto"/>
              <w:bottom w:val="single" w:sz="4" w:space="0" w:color="auto"/>
              <w:right w:val="single" w:sz="4" w:space="0" w:color="auto"/>
            </w:tcBorders>
          </w:tcPr>
          <w:p w14:paraId="20B1570F" w14:textId="77777777" w:rsidR="00EE50DD" w:rsidRPr="00C9193D" w:rsidRDefault="00EE50DD" w:rsidP="00426028">
            <w:pPr>
              <w:pStyle w:val="Lijstalinea"/>
              <w:ind w:left="64"/>
              <w:rPr>
                <w:iCs/>
              </w:rPr>
            </w:pPr>
          </w:p>
        </w:tc>
      </w:tr>
      <w:tr w:rsidR="00EE50DD" w:rsidRPr="00C9193D" w14:paraId="7068FE11" w14:textId="77777777" w:rsidTr="00EE50DD">
        <w:trPr>
          <w:trHeight w:val="269"/>
        </w:trPr>
        <w:tc>
          <w:tcPr>
            <w:tcW w:w="1575" w:type="dxa"/>
            <w:tcBorders>
              <w:top w:val="single" w:sz="4" w:space="0" w:color="auto"/>
              <w:left w:val="single" w:sz="4" w:space="0" w:color="auto"/>
              <w:bottom w:val="single" w:sz="4" w:space="0" w:color="auto"/>
              <w:right w:val="single" w:sz="4" w:space="0" w:color="auto"/>
            </w:tcBorders>
          </w:tcPr>
          <w:p w14:paraId="61CC38A6" w14:textId="1258234E" w:rsidR="00EE50DD" w:rsidRPr="00C9193D" w:rsidRDefault="00EE50DD" w:rsidP="00426028">
            <w:pPr>
              <w:pStyle w:val="Lijstalinea"/>
              <w:ind w:left="64"/>
            </w:pPr>
            <w:r>
              <w:t>A3</w:t>
            </w:r>
          </w:p>
        </w:tc>
        <w:tc>
          <w:tcPr>
            <w:tcW w:w="4467" w:type="dxa"/>
            <w:tcBorders>
              <w:top w:val="single" w:sz="4" w:space="0" w:color="auto"/>
              <w:left w:val="single" w:sz="4" w:space="0" w:color="auto"/>
              <w:bottom w:val="single" w:sz="4" w:space="0" w:color="auto"/>
              <w:right w:val="single" w:sz="4" w:space="0" w:color="auto"/>
            </w:tcBorders>
          </w:tcPr>
          <w:p w14:paraId="72A62CF7" w14:textId="7D93187C" w:rsidR="00EE50DD" w:rsidRDefault="00EE50DD" w:rsidP="00426028">
            <w:pPr>
              <w:pStyle w:val="Lijstalinea"/>
              <w:ind w:left="64"/>
              <w:rPr>
                <w:iCs/>
              </w:rPr>
            </w:pPr>
            <w:r>
              <w:rPr>
                <w:iCs/>
              </w:rPr>
              <w:t>Leveren van Security patches</w:t>
            </w:r>
          </w:p>
        </w:tc>
        <w:tc>
          <w:tcPr>
            <w:tcW w:w="2016" w:type="dxa"/>
            <w:tcBorders>
              <w:top w:val="single" w:sz="4" w:space="0" w:color="auto"/>
              <w:left w:val="single" w:sz="4" w:space="0" w:color="auto"/>
              <w:bottom w:val="single" w:sz="4" w:space="0" w:color="auto"/>
              <w:right w:val="single" w:sz="4" w:space="0" w:color="auto"/>
            </w:tcBorders>
          </w:tcPr>
          <w:p w14:paraId="6C180447" w14:textId="77777777" w:rsidR="00EE50DD" w:rsidRPr="00C9193D" w:rsidRDefault="00EE50DD" w:rsidP="00426028">
            <w:pPr>
              <w:pStyle w:val="Lijstalinea"/>
              <w:ind w:left="64"/>
              <w:rPr>
                <w:iCs/>
              </w:rPr>
            </w:pPr>
          </w:p>
        </w:tc>
      </w:tr>
    </w:tbl>
    <w:p w14:paraId="24C98C55" w14:textId="77777777" w:rsidR="00EE50DD" w:rsidRPr="00C9193D" w:rsidRDefault="00EE50DD" w:rsidP="00426028">
      <w:pPr>
        <w:pStyle w:val="Lijstalinea"/>
      </w:pPr>
    </w:p>
    <w:p w14:paraId="5506F6A8" w14:textId="6511981D" w:rsidR="00BD5954" w:rsidRDefault="00C9193D" w:rsidP="00426028">
      <w:pPr>
        <w:pStyle w:val="Lijstalinea"/>
        <w:ind w:left="567"/>
      </w:pPr>
      <w:r w:rsidRPr="00C9193D">
        <w:t>één en ander teneinde Opdrachtgever in staat te stellen daarvan het Overeengekomen gebruik te maken.</w:t>
      </w:r>
    </w:p>
    <w:p w14:paraId="48421D6D" w14:textId="186AD200" w:rsidR="00122BC9" w:rsidRPr="004A424B" w:rsidRDefault="00783E67" w:rsidP="00426028">
      <w:pPr>
        <w:pStyle w:val="Kop1"/>
        <w:numPr>
          <w:ilvl w:val="1"/>
          <w:numId w:val="4"/>
        </w:numPr>
        <w:spacing w:line="276" w:lineRule="auto"/>
        <w:ind w:left="567" w:hanging="567"/>
      </w:pPr>
      <w:r w:rsidRPr="00BD5954">
        <w:rPr>
          <w:b w:val="0"/>
          <w:bCs w:val="0"/>
        </w:rPr>
        <w:t xml:space="preserve">De </w:t>
      </w:r>
      <w:r w:rsidR="00C9193D" w:rsidRPr="00BD5954">
        <w:rPr>
          <w:b w:val="0"/>
          <w:bCs w:val="0"/>
        </w:rPr>
        <w:t>na</w:t>
      </w:r>
      <w:r w:rsidRPr="00BD5954">
        <w:rPr>
          <w:b w:val="0"/>
          <w:bCs w:val="0"/>
        </w:rPr>
        <w:t xml:space="preserve">volgende </w:t>
      </w:r>
      <w:r w:rsidR="00C9193D" w:rsidRPr="00BD5954">
        <w:rPr>
          <w:b w:val="0"/>
          <w:bCs w:val="0"/>
        </w:rPr>
        <w:t>stukken</w:t>
      </w:r>
      <w:r w:rsidRPr="00BD5954">
        <w:rPr>
          <w:b w:val="0"/>
          <w:bCs w:val="0"/>
        </w:rPr>
        <w:t xml:space="preserve"> vormen gezamenlijk de Overeenkomst. </w:t>
      </w:r>
      <w:r w:rsidR="00E91DA2" w:rsidRPr="00BD5954">
        <w:rPr>
          <w:b w:val="0"/>
          <w:bCs w:val="0"/>
        </w:rPr>
        <w:t>Als deze documenten elkaar tegenspreken, gaat het eerdergenoemde document boven het later genoemde:</w:t>
      </w:r>
    </w:p>
    <w:p w14:paraId="18887856" w14:textId="77777777" w:rsidR="00C9193D" w:rsidRDefault="00C9193D" w:rsidP="00426028">
      <w:pPr>
        <w:pStyle w:val="Lijstalinea"/>
        <w:numPr>
          <w:ilvl w:val="0"/>
          <w:numId w:val="6"/>
        </w:numPr>
        <w:ind w:left="993" w:hanging="426"/>
      </w:pPr>
      <w:r w:rsidRPr="002C72FA">
        <w:t>deze Overeenkomst;</w:t>
      </w:r>
    </w:p>
    <w:p w14:paraId="55B0D82A" w14:textId="7EE7A364" w:rsidR="00C6168B" w:rsidRDefault="009D5591" w:rsidP="00426028">
      <w:pPr>
        <w:pStyle w:val="Lijstalinea"/>
        <w:numPr>
          <w:ilvl w:val="0"/>
          <w:numId w:val="6"/>
        </w:numPr>
        <w:ind w:left="993" w:hanging="426"/>
      </w:pPr>
      <w:r w:rsidRPr="002C72FA">
        <w:t>d</w:t>
      </w:r>
      <w:r w:rsidR="00A15F4B" w:rsidRPr="002C72FA">
        <w:t xml:space="preserve">e </w:t>
      </w:r>
      <w:r w:rsidR="00C9193D" w:rsidRPr="00DE1E29">
        <w:t>Voorwaarden</w:t>
      </w:r>
      <w:r w:rsidR="00C6168B" w:rsidRPr="00DE1E29">
        <w:t>;</w:t>
      </w:r>
    </w:p>
    <w:p w14:paraId="2B1622C7" w14:textId="06416EBF" w:rsidR="005D3C2E" w:rsidRPr="00447842" w:rsidRDefault="005A31D3" w:rsidP="005D3C2E">
      <w:pPr>
        <w:pStyle w:val="Lijstalinea"/>
        <w:numPr>
          <w:ilvl w:val="0"/>
          <w:numId w:val="6"/>
        </w:numPr>
        <w:ind w:left="993" w:hanging="426"/>
        <w:rPr>
          <w:color w:val="5B9BD5" w:themeColor="accent1"/>
        </w:rPr>
      </w:pPr>
      <w:r>
        <w:rPr>
          <w:color w:val="5B9BD5" w:themeColor="accent1"/>
        </w:rPr>
        <w:t xml:space="preserve">de </w:t>
      </w:r>
      <w:r w:rsidR="005D3C2E" w:rsidRPr="00447842">
        <w:rPr>
          <w:color w:val="5B9BD5" w:themeColor="accent1"/>
        </w:rPr>
        <w:t>Overeenkomst dienstverlening</w:t>
      </w:r>
      <w:r w:rsidR="005D3C2E">
        <w:rPr>
          <w:color w:val="5B9BD5" w:themeColor="accent1"/>
        </w:rPr>
        <w:t xml:space="preserve"> d.d. &lt;x&gt; met kenmerk &lt;xxx&gt;</w:t>
      </w:r>
      <w:r w:rsidR="005D3C2E" w:rsidRPr="00447842">
        <w:rPr>
          <w:color w:val="5B9BD5" w:themeColor="accent1"/>
        </w:rPr>
        <w:t>;</w:t>
      </w:r>
    </w:p>
    <w:p w14:paraId="0F4ECE96" w14:textId="77777777" w:rsidR="00522AE9" w:rsidRPr="005C009D" w:rsidRDefault="00522AE9" w:rsidP="00522AE9">
      <w:pPr>
        <w:pStyle w:val="Lijstalinea"/>
        <w:numPr>
          <w:ilvl w:val="0"/>
          <w:numId w:val="6"/>
        </w:numPr>
        <w:ind w:left="993" w:hanging="426"/>
        <w:rPr>
          <w:color w:val="000000" w:themeColor="text1"/>
        </w:rPr>
      </w:pPr>
      <w:r w:rsidRPr="005C009D">
        <w:rPr>
          <w:color w:val="000000" w:themeColor="text1"/>
        </w:rPr>
        <w:t xml:space="preserve">de Verwerkersovereenkomst; </w:t>
      </w:r>
    </w:p>
    <w:p w14:paraId="3EA57F93" w14:textId="3ECDD43D" w:rsidR="0074200B" w:rsidRPr="00DE1E29" w:rsidRDefault="00C9193D" w:rsidP="00426028">
      <w:pPr>
        <w:pStyle w:val="Lijstalinea"/>
        <w:numPr>
          <w:ilvl w:val="0"/>
          <w:numId w:val="6"/>
        </w:numPr>
        <w:ind w:left="993" w:hanging="426"/>
      </w:pPr>
      <w:r w:rsidRPr="00DE1E29">
        <w:t>het Bestek inclusief Bijlagen</w:t>
      </w:r>
      <w:r w:rsidR="004A6949" w:rsidRPr="00DE1E29">
        <w:t xml:space="preserve"> </w:t>
      </w:r>
      <w:r w:rsidR="006D20E0" w:rsidRPr="00DE1E29">
        <w:t>zoals</w:t>
      </w:r>
      <w:r w:rsidR="00257041" w:rsidRPr="00DE1E29">
        <w:t xml:space="preserve"> </w:t>
      </w:r>
      <w:r w:rsidR="006D20E0" w:rsidRPr="00DE1E29">
        <w:t xml:space="preserve">aangevuld of gewijzigd bij nota van inlichtingen </w:t>
      </w:r>
      <w:r w:rsidR="00E5385B" w:rsidRPr="00DE1E29">
        <w:t>van</w:t>
      </w:r>
      <w:r w:rsidR="006D20E0" w:rsidRPr="00DE1E29">
        <w:t xml:space="preserve"> &lt;datum&gt;</w:t>
      </w:r>
      <w:r w:rsidR="00FF39BD" w:rsidRPr="00DE1E29">
        <w:t>;</w:t>
      </w:r>
    </w:p>
    <w:p w14:paraId="3871AB01" w14:textId="6479BBE0" w:rsidR="0006249A" w:rsidRPr="00DE1E29" w:rsidRDefault="009D5591" w:rsidP="00426028">
      <w:pPr>
        <w:pStyle w:val="Lijstalinea"/>
        <w:numPr>
          <w:ilvl w:val="0"/>
          <w:numId w:val="6"/>
        </w:numPr>
        <w:ind w:left="993" w:hanging="426"/>
      </w:pPr>
      <w:r w:rsidRPr="00DE1E29">
        <w:t>d</w:t>
      </w:r>
      <w:r w:rsidR="00AC21C2" w:rsidRPr="00DE1E29">
        <w:t xml:space="preserve">e door </w:t>
      </w:r>
      <w:r w:rsidR="00C9193D" w:rsidRPr="00DE1E29">
        <w:t>Wederpartij</w:t>
      </w:r>
      <w:r w:rsidR="00AC21C2" w:rsidRPr="00DE1E29">
        <w:t xml:space="preserve"> aan Opdrachtgever</w:t>
      </w:r>
      <w:r w:rsidR="00C6168B" w:rsidRPr="00DE1E29">
        <w:t xml:space="preserve"> uitgebrachte </w:t>
      </w:r>
      <w:r w:rsidR="0006249A" w:rsidRPr="00DE1E29">
        <w:t>Inschrijving</w:t>
      </w:r>
      <w:r w:rsidR="00C6168B" w:rsidRPr="00DE1E29">
        <w:t xml:space="preserve"> van</w:t>
      </w:r>
      <w:r w:rsidR="00C74D7E" w:rsidRPr="00DE1E29">
        <w:t xml:space="preserve"> &lt;datum&gt;</w:t>
      </w:r>
      <w:r w:rsidR="00C6168B" w:rsidRPr="00DE1E29">
        <w:t xml:space="preserve">, </w:t>
      </w:r>
      <w:r w:rsidR="00631117" w:rsidRPr="00DE1E29">
        <w:t xml:space="preserve">met </w:t>
      </w:r>
      <w:r w:rsidR="001007FE" w:rsidRPr="00DE1E29">
        <w:t>kenmerk</w:t>
      </w:r>
      <w:r w:rsidR="00C74D7E" w:rsidRPr="00DE1E29">
        <w:t xml:space="preserve"> &lt;kenmerk&gt; </w:t>
      </w:r>
      <w:r w:rsidR="004A6949" w:rsidRPr="00DE1E29">
        <w:t>inclusief Bijlagen</w:t>
      </w:r>
      <w:r w:rsidR="00C9193D" w:rsidRPr="00DE1E29">
        <w:t>.</w:t>
      </w:r>
    </w:p>
    <w:p w14:paraId="497C76CA" w14:textId="60550AA6" w:rsidR="00122BC9" w:rsidRPr="004A424B" w:rsidRDefault="00C9193D" w:rsidP="00426028">
      <w:pPr>
        <w:pStyle w:val="Kop1"/>
        <w:numPr>
          <w:ilvl w:val="1"/>
          <w:numId w:val="4"/>
        </w:numPr>
        <w:spacing w:line="276" w:lineRule="auto"/>
        <w:ind w:left="567" w:hanging="567"/>
      </w:pPr>
      <w:r w:rsidRPr="00DE1E29">
        <w:rPr>
          <w:b w:val="0"/>
          <w:bCs w:val="0"/>
        </w:rPr>
        <w:t>Tussen</w:t>
      </w:r>
      <w:r w:rsidRPr="00DE1E29">
        <w:t xml:space="preserve"> </w:t>
      </w:r>
      <w:r w:rsidRPr="00DE1E29">
        <w:rPr>
          <w:b w:val="0"/>
          <w:bCs w:val="0"/>
        </w:rPr>
        <w:t xml:space="preserve">deze Overeenkomst en </w:t>
      </w:r>
      <w:r w:rsidR="008D18AC" w:rsidRPr="00DE1E29">
        <w:rPr>
          <w:b w:val="0"/>
          <w:bCs w:val="0"/>
        </w:rPr>
        <w:t>Implementatie</w:t>
      </w:r>
      <w:r w:rsidR="008D18AC">
        <w:rPr>
          <w:b w:val="0"/>
          <w:bCs w:val="0"/>
        </w:rPr>
        <w:t>, onderhoud en beheer</w:t>
      </w:r>
      <w:r w:rsidRPr="00BD5954">
        <w:rPr>
          <w:b w:val="0"/>
          <w:bCs w:val="0"/>
        </w:rPr>
        <w:t xml:space="preserve"> bestaat samenhang als bedoeld in artikel 30.5 van de ARBIT-2022.</w:t>
      </w:r>
    </w:p>
    <w:p w14:paraId="756E4C4D" w14:textId="77777777" w:rsidR="000E00C9" w:rsidRDefault="000E00C9" w:rsidP="00426028">
      <w:pPr>
        <w:spacing w:line="276" w:lineRule="auto"/>
      </w:pPr>
    </w:p>
    <w:p w14:paraId="687EB5E5" w14:textId="77777777" w:rsidR="0047620D" w:rsidRDefault="0047620D" w:rsidP="00426028">
      <w:pPr>
        <w:spacing w:line="276" w:lineRule="auto"/>
      </w:pPr>
    </w:p>
    <w:p w14:paraId="217E34BD" w14:textId="77777777" w:rsidR="0047620D" w:rsidRDefault="0047620D" w:rsidP="00426028">
      <w:pPr>
        <w:spacing w:line="276" w:lineRule="auto"/>
      </w:pPr>
    </w:p>
    <w:p w14:paraId="57A24C7E" w14:textId="77777777" w:rsidR="0047620D" w:rsidRPr="004A424B" w:rsidRDefault="0047620D" w:rsidP="00426028">
      <w:pPr>
        <w:spacing w:line="276" w:lineRule="auto"/>
      </w:pPr>
    </w:p>
    <w:p w14:paraId="237220B5" w14:textId="675A0903" w:rsidR="000E00C9" w:rsidRPr="004A424B" w:rsidRDefault="000E00C9" w:rsidP="00426028">
      <w:pPr>
        <w:pStyle w:val="Kop1"/>
        <w:numPr>
          <w:ilvl w:val="0"/>
          <w:numId w:val="4"/>
        </w:numPr>
        <w:spacing w:line="276" w:lineRule="auto"/>
        <w:ind w:left="567" w:hanging="567"/>
      </w:pPr>
      <w:r w:rsidRPr="004A424B">
        <w:lastRenderedPageBreak/>
        <w:t xml:space="preserve">Contactpersonen </w:t>
      </w:r>
      <w:r>
        <w:t xml:space="preserve">en </w:t>
      </w:r>
      <w:r w:rsidRPr="000E00C9">
        <w:t>rapportage</w:t>
      </w:r>
    </w:p>
    <w:p w14:paraId="6C5D879C" w14:textId="77777777" w:rsidR="000E00C9" w:rsidRPr="004A424B" w:rsidRDefault="000E00C9" w:rsidP="00426028">
      <w:pPr>
        <w:spacing w:line="276" w:lineRule="auto"/>
      </w:pPr>
    </w:p>
    <w:p w14:paraId="46E61114" w14:textId="611008CD" w:rsidR="000B18E3" w:rsidRPr="004A424B" w:rsidRDefault="000E00C9" w:rsidP="00426028">
      <w:pPr>
        <w:pStyle w:val="Lijstalinea"/>
        <w:numPr>
          <w:ilvl w:val="1"/>
          <w:numId w:val="4"/>
        </w:numPr>
        <w:ind w:left="567" w:hanging="567"/>
      </w:pPr>
      <w:r>
        <w:t xml:space="preserve">De </w:t>
      </w:r>
      <w:r w:rsidRPr="000E00C9">
        <w:t xml:space="preserve">personen die de contacten over de uitvoering van de Overeenkomst onderhouden zijn opgesomd in </w:t>
      </w:r>
      <w:r w:rsidRPr="00DE1E29">
        <w:t>de BIJLAGE Contactpersonen.</w:t>
      </w:r>
      <w:r w:rsidRPr="000E00C9">
        <w:t xml:space="preserve"> </w:t>
      </w:r>
    </w:p>
    <w:p w14:paraId="032A031D" w14:textId="0D6FDB58" w:rsidR="0054692C" w:rsidRPr="004A424B" w:rsidRDefault="00BD5954" w:rsidP="00426028">
      <w:pPr>
        <w:pStyle w:val="Kop1"/>
        <w:numPr>
          <w:ilvl w:val="0"/>
          <w:numId w:val="4"/>
        </w:numPr>
        <w:spacing w:line="276" w:lineRule="auto"/>
        <w:ind w:left="567" w:hanging="567"/>
      </w:pPr>
      <w:r>
        <w:t xml:space="preserve">Inwerktreding en </w:t>
      </w:r>
      <w:r w:rsidR="0054692C" w:rsidRPr="004A424B">
        <w:t>duur van de Overeenkomst</w:t>
      </w:r>
    </w:p>
    <w:p w14:paraId="2582625D" w14:textId="77777777" w:rsidR="0058612D" w:rsidRDefault="0058612D" w:rsidP="00426028">
      <w:pPr>
        <w:spacing w:line="276" w:lineRule="auto"/>
        <w:rPr>
          <w:lang w:val="nl"/>
        </w:rPr>
      </w:pPr>
    </w:p>
    <w:p w14:paraId="5BB7C9FA" w14:textId="6ECEA233" w:rsidR="00D12540" w:rsidRPr="00D12540" w:rsidRDefault="00D12540" w:rsidP="00426028">
      <w:pPr>
        <w:pStyle w:val="Lijstalinea"/>
        <w:numPr>
          <w:ilvl w:val="1"/>
          <w:numId w:val="4"/>
        </w:numPr>
        <w:ind w:left="567" w:hanging="567"/>
        <w:rPr>
          <w:b/>
          <w:bCs/>
        </w:rPr>
      </w:pPr>
      <w:r w:rsidRPr="004A424B">
        <w:t>Deze Overeenkomst komt tot stand door ondertekening van de Overeenkomst door Partijen.</w:t>
      </w:r>
    </w:p>
    <w:p w14:paraId="4BB99ECB" w14:textId="77777777" w:rsidR="00D12540" w:rsidRPr="00D12540" w:rsidRDefault="00D12540" w:rsidP="00426028">
      <w:pPr>
        <w:pStyle w:val="Lijstalinea"/>
        <w:ind w:left="567"/>
        <w:rPr>
          <w:b/>
          <w:bCs/>
        </w:rPr>
      </w:pPr>
    </w:p>
    <w:p w14:paraId="7912CF44" w14:textId="7DD91A40" w:rsidR="005560E1" w:rsidRPr="005560E1" w:rsidRDefault="0054692C" w:rsidP="00426028">
      <w:pPr>
        <w:pStyle w:val="Lijstalinea"/>
        <w:numPr>
          <w:ilvl w:val="1"/>
          <w:numId w:val="4"/>
        </w:numPr>
        <w:ind w:left="567" w:hanging="567"/>
        <w:rPr>
          <w:b/>
          <w:bCs/>
        </w:rPr>
      </w:pPr>
      <w:r w:rsidRPr="004A424B">
        <w:t xml:space="preserve">Deze Overeenkomst </w:t>
      </w:r>
      <w:r w:rsidR="001C3F7B">
        <w:t xml:space="preserve">treed in werking op </w:t>
      </w:r>
      <w:r w:rsidR="00AC30C8">
        <w:t xml:space="preserve">1 </w:t>
      </w:r>
      <w:r w:rsidR="00AB5300">
        <w:t xml:space="preserve">oktober </w:t>
      </w:r>
      <w:r w:rsidR="00AC30C8">
        <w:t>202</w:t>
      </w:r>
      <w:r w:rsidR="00AB5300">
        <w:t>6</w:t>
      </w:r>
      <w:r w:rsidRPr="004A424B">
        <w:t>.</w:t>
      </w:r>
    </w:p>
    <w:p w14:paraId="5913B5D0" w14:textId="77777777" w:rsidR="005560E1" w:rsidRPr="005560E1" w:rsidRDefault="005560E1" w:rsidP="00426028">
      <w:pPr>
        <w:pStyle w:val="Lijstalinea"/>
        <w:ind w:left="567"/>
        <w:rPr>
          <w:b/>
          <w:bCs/>
        </w:rPr>
      </w:pPr>
    </w:p>
    <w:p w14:paraId="52C4B08F" w14:textId="2078C685" w:rsidR="00BD5954" w:rsidRPr="00BD5954" w:rsidRDefault="00BD5954" w:rsidP="00426028">
      <w:pPr>
        <w:pStyle w:val="Lijstalinea"/>
        <w:numPr>
          <w:ilvl w:val="1"/>
          <w:numId w:val="4"/>
        </w:numPr>
        <w:ind w:left="567" w:hanging="567"/>
        <w:rPr>
          <w:b/>
          <w:bCs/>
        </w:rPr>
      </w:pPr>
      <w:r>
        <w:t xml:space="preserve">De Overeenkomst heeft een looptijd van </w:t>
      </w:r>
      <w:r w:rsidR="12EB1957">
        <w:t>48</w:t>
      </w:r>
      <w:r w:rsidR="00AC30C8">
        <w:t xml:space="preserve"> maanden</w:t>
      </w:r>
      <w:r>
        <w:t xml:space="preserve"> tot en met </w:t>
      </w:r>
      <w:r w:rsidR="00AC30C8">
        <w:t>3</w:t>
      </w:r>
      <w:r w:rsidR="00AB5300">
        <w:t>0</w:t>
      </w:r>
      <w:r w:rsidR="00AC30C8">
        <w:t xml:space="preserve"> </w:t>
      </w:r>
      <w:r w:rsidR="00D12540">
        <w:t xml:space="preserve">september </w:t>
      </w:r>
      <w:r w:rsidR="00AC30C8">
        <w:t>20</w:t>
      </w:r>
      <w:r w:rsidR="00AB5300">
        <w:t>30</w:t>
      </w:r>
      <w:r>
        <w:t xml:space="preserve">. </w:t>
      </w:r>
    </w:p>
    <w:p w14:paraId="4947151B" w14:textId="77777777" w:rsidR="00F97ED7" w:rsidRDefault="00F97ED7" w:rsidP="00426028">
      <w:pPr>
        <w:pStyle w:val="Lijstalinea"/>
        <w:ind w:left="567"/>
      </w:pPr>
    </w:p>
    <w:p w14:paraId="76D19EA1" w14:textId="512310C4" w:rsidR="009C2F8A" w:rsidRDefault="009C2F8A" w:rsidP="00426028">
      <w:pPr>
        <w:pStyle w:val="Lijstalinea"/>
        <w:numPr>
          <w:ilvl w:val="1"/>
          <w:numId w:val="4"/>
        </w:numPr>
        <w:ind w:left="567" w:hanging="567"/>
      </w:pPr>
      <w:r>
        <w:t>Bij het verstrijken van de looptijd zal de overeenkomst automatisch verlengd worden.</w:t>
      </w:r>
    </w:p>
    <w:p w14:paraId="20C55DE9" w14:textId="77777777" w:rsidR="00F97ED7" w:rsidRDefault="00F97ED7" w:rsidP="00426028">
      <w:pPr>
        <w:pStyle w:val="Lijstalinea"/>
        <w:ind w:left="567"/>
      </w:pPr>
    </w:p>
    <w:p w14:paraId="60AB8157" w14:textId="154D8747" w:rsidR="00D12540" w:rsidRPr="004B5DE8" w:rsidRDefault="00D12540" w:rsidP="00426028">
      <w:pPr>
        <w:pStyle w:val="Lijstalinea"/>
        <w:numPr>
          <w:ilvl w:val="1"/>
          <w:numId w:val="4"/>
        </w:numPr>
        <w:ind w:left="567" w:hanging="567"/>
        <w:rPr>
          <w:b/>
          <w:bCs/>
        </w:rPr>
      </w:pPr>
      <w:r w:rsidRPr="003517F8">
        <w:t>Eerste verlenging:</w:t>
      </w:r>
      <w:r w:rsidRPr="00A52C73">
        <w:t xml:space="preserve"> </w:t>
      </w:r>
      <w:r>
        <w:t>De</w:t>
      </w:r>
      <w:r w:rsidRPr="00A52C73">
        <w:t xml:space="preserve"> </w:t>
      </w:r>
      <w:r>
        <w:t>O</w:t>
      </w:r>
      <w:r w:rsidRPr="00A52C73">
        <w:t>vereenkomst</w:t>
      </w:r>
      <w:r>
        <w:t xml:space="preserve">en wordt eenmalig en automatisch verlengd voor een periode van </w:t>
      </w:r>
      <w:r w:rsidRPr="003517F8">
        <w:t xml:space="preserve"> 48 maanden</w:t>
      </w:r>
      <w:r w:rsidRPr="00A52C73">
        <w:t xml:space="preserve"> (4 jaar). Dit brengt de looptijd tot </w:t>
      </w:r>
      <w:r>
        <w:t xml:space="preserve">uiterlijk </w:t>
      </w:r>
      <w:r w:rsidR="12EB1957">
        <w:t>30 september 2034.</w:t>
      </w:r>
    </w:p>
    <w:p w14:paraId="2E8DD055" w14:textId="77777777" w:rsidR="00D12540" w:rsidRDefault="00D12540" w:rsidP="00426028">
      <w:pPr>
        <w:pStyle w:val="Lijstalinea"/>
      </w:pPr>
    </w:p>
    <w:p w14:paraId="117E0BAC" w14:textId="103DDA57" w:rsidR="00D12540" w:rsidRPr="004B5DE8" w:rsidRDefault="00D12540" w:rsidP="00426028">
      <w:pPr>
        <w:pStyle w:val="Lijstalinea"/>
        <w:numPr>
          <w:ilvl w:val="1"/>
          <w:numId w:val="4"/>
        </w:numPr>
        <w:ind w:left="567" w:hanging="567"/>
        <w:rPr>
          <w:b/>
          <w:bCs/>
        </w:rPr>
      </w:pPr>
      <w:r w:rsidRPr="003517F8">
        <w:t>Vervolgverlengingen:</w:t>
      </w:r>
      <w:r w:rsidRPr="00A52C73">
        <w:t xml:space="preserve"> Na de eerste verlenging </w:t>
      </w:r>
      <w:r>
        <w:t>worden</w:t>
      </w:r>
      <w:r w:rsidRPr="00A52C73">
        <w:t xml:space="preserve"> de </w:t>
      </w:r>
      <w:r>
        <w:t>O</w:t>
      </w:r>
      <w:r w:rsidRPr="00A52C73">
        <w:t>vereenkomst</w:t>
      </w:r>
      <w:r>
        <w:t>en</w:t>
      </w:r>
      <w:r w:rsidRPr="00A52C73">
        <w:t xml:space="preserve"> </w:t>
      </w:r>
      <w:r w:rsidRPr="003517F8">
        <w:t>nogmaals 4 keer</w:t>
      </w:r>
      <w:r w:rsidRPr="00A52C73">
        <w:t xml:space="preserve"> </w:t>
      </w:r>
      <w:r>
        <w:t>v</w:t>
      </w:r>
      <w:r w:rsidRPr="00A52C73">
        <w:t xml:space="preserve">erlengd, voor </w:t>
      </w:r>
      <w:r w:rsidRPr="003517F8">
        <w:t>24 maanden</w:t>
      </w:r>
      <w:r w:rsidRPr="00A52C73">
        <w:t xml:space="preserve"> (2 jaar). Dit brengt de uiterste einddatum op </w:t>
      </w:r>
      <w:r w:rsidR="12EB1957">
        <w:t>30 september 2042.</w:t>
      </w:r>
    </w:p>
    <w:p w14:paraId="6275EA54" w14:textId="77777777" w:rsidR="00D12540" w:rsidRDefault="00D12540" w:rsidP="00426028">
      <w:pPr>
        <w:pStyle w:val="Lijstalinea"/>
        <w:ind w:left="567"/>
      </w:pPr>
    </w:p>
    <w:p w14:paraId="67642416" w14:textId="77777777" w:rsidR="00D12540" w:rsidRDefault="009C2F8A" w:rsidP="00426028">
      <w:pPr>
        <w:pStyle w:val="Lijstalinea"/>
        <w:numPr>
          <w:ilvl w:val="1"/>
          <w:numId w:val="4"/>
        </w:numPr>
        <w:ind w:left="567" w:hanging="567"/>
      </w:pPr>
      <w:r w:rsidRPr="00A52C73">
        <w:t>Opdrachtgever kan eenzijdig besluiten de overeenkomst niet te verlengen.</w:t>
      </w:r>
      <w:r w:rsidR="00F97ED7">
        <w:t xml:space="preserve"> </w:t>
      </w:r>
      <w:r w:rsidRPr="00A52C73">
        <w:t>Dit dient Opdrachtgever</w:t>
      </w:r>
      <w:r w:rsidRPr="38B10A5C">
        <w:t xml:space="preserve"> </w:t>
      </w:r>
      <w:r>
        <w:t xml:space="preserve">3 maanden voor expiratie van de </w:t>
      </w:r>
      <w:r w:rsidRPr="003517F8">
        <w:t>einddatum</w:t>
      </w:r>
      <w:r w:rsidRPr="00A52C73">
        <w:t xml:space="preserve"> van de overeenkomst</w:t>
      </w:r>
      <w:r w:rsidRPr="38B10A5C">
        <w:t xml:space="preserve"> </w:t>
      </w:r>
      <w:r w:rsidRPr="00F97ED7">
        <w:t>aan te geven.</w:t>
      </w:r>
      <w:r w:rsidR="00F97ED7">
        <w:t xml:space="preserve"> </w:t>
      </w:r>
    </w:p>
    <w:p w14:paraId="07C95423" w14:textId="77777777" w:rsidR="00D12540" w:rsidRDefault="00D12540" w:rsidP="00426028">
      <w:pPr>
        <w:pStyle w:val="Lijstalinea"/>
      </w:pPr>
    </w:p>
    <w:p w14:paraId="2F8FDB4B" w14:textId="4C478885" w:rsidR="009C2F8A" w:rsidRDefault="009C2F8A" w:rsidP="00426028">
      <w:pPr>
        <w:pStyle w:val="Lijstalinea"/>
        <w:numPr>
          <w:ilvl w:val="1"/>
          <w:numId w:val="4"/>
        </w:numPr>
        <w:ind w:left="567" w:hanging="567"/>
      </w:pPr>
      <w:r w:rsidRPr="009F0A14">
        <w:t xml:space="preserve">Totaalplafond: De maximale looptijd (inclusief alle verlengingen) is 16 jaar na startdatum implementatie en beheer overeenkomst (dus tot </w:t>
      </w:r>
      <w:r>
        <w:t>3</w:t>
      </w:r>
      <w:r w:rsidR="00AB5300">
        <w:t>0</w:t>
      </w:r>
      <w:r w:rsidRPr="009F0A14">
        <w:t xml:space="preserve"> </w:t>
      </w:r>
      <w:r w:rsidR="00AB5300">
        <w:t>september</w:t>
      </w:r>
      <w:r w:rsidRPr="009F0A14">
        <w:t xml:space="preserve"> 20</w:t>
      </w:r>
      <w:r>
        <w:t>42)</w:t>
      </w:r>
      <w:r w:rsidRPr="009F0A14">
        <w:t>.</w:t>
      </w:r>
    </w:p>
    <w:p w14:paraId="70828743" w14:textId="0AA98E59" w:rsidR="0054692C" w:rsidRPr="004A424B" w:rsidRDefault="00BD5954" w:rsidP="00426028">
      <w:pPr>
        <w:pStyle w:val="Kop1"/>
        <w:numPr>
          <w:ilvl w:val="0"/>
          <w:numId w:val="4"/>
        </w:numPr>
        <w:spacing w:line="276" w:lineRule="auto"/>
        <w:ind w:left="567" w:hanging="567"/>
      </w:pPr>
      <w:r>
        <w:t>Aflevering en Oplevering</w:t>
      </w:r>
    </w:p>
    <w:p w14:paraId="5A8BF698" w14:textId="77777777" w:rsidR="007A0A1B" w:rsidRDefault="007A0A1B" w:rsidP="00426028">
      <w:pPr>
        <w:spacing w:line="276" w:lineRule="auto"/>
      </w:pPr>
    </w:p>
    <w:p w14:paraId="3D59FF30" w14:textId="0DF03841" w:rsidR="00122BC9" w:rsidRDefault="00C9193D" w:rsidP="00426028">
      <w:pPr>
        <w:pStyle w:val="Lijstalinea"/>
        <w:numPr>
          <w:ilvl w:val="1"/>
          <w:numId w:val="4"/>
        </w:numPr>
        <w:ind w:left="567" w:hanging="567"/>
      </w:pPr>
      <w:r>
        <w:t>Wederpartij</w:t>
      </w:r>
      <w:r w:rsidR="00122BC9" w:rsidRPr="004A424B">
        <w:t xml:space="preserve"> </w:t>
      </w:r>
      <w:r w:rsidR="006E5534" w:rsidRPr="006E5534">
        <w:t xml:space="preserve">draagt zorg voor Aflevering van de Producten op de in onderstaande tabel aangegeven datum en plaats. </w:t>
      </w:r>
      <w:r w:rsidR="00054B33" w:rsidRPr="00054B33">
        <w:rPr>
          <w:color w:val="4472C4" w:themeColor="accent5"/>
        </w:rPr>
        <w:t>De genoemde d</w:t>
      </w:r>
      <w:r w:rsidR="007319D4" w:rsidRPr="00054B33">
        <w:rPr>
          <w:color w:val="4472C4" w:themeColor="accent5"/>
        </w:rPr>
        <w:t xml:space="preserve">ata </w:t>
      </w:r>
      <w:r w:rsidR="007319D4" w:rsidRPr="007319D4">
        <w:rPr>
          <w:color w:val="4472C4" w:themeColor="accent5"/>
        </w:rPr>
        <w:t>zijn streefdata.</w:t>
      </w:r>
      <w:r w:rsidR="007319D4">
        <w:rPr>
          <w:color w:val="4472C4" w:themeColor="accent5"/>
        </w:rPr>
        <w:t>*</w:t>
      </w:r>
      <w:r w:rsidR="00054B33">
        <w:rPr>
          <w:color w:val="4472C4" w:themeColor="accent5"/>
        </w:rPr>
        <w:br/>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2746"/>
        <w:gridCol w:w="2652"/>
        <w:gridCol w:w="1811"/>
      </w:tblGrid>
      <w:tr w:rsidR="006E5534" w:rsidRPr="006E5534" w14:paraId="4D4E48F9" w14:textId="77777777" w:rsidTr="005202B1">
        <w:trPr>
          <w:trHeight w:val="269"/>
        </w:trPr>
        <w:tc>
          <w:tcPr>
            <w:tcW w:w="1100" w:type="dxa"/>
            <w:shd w:val="clear" w:color="auto" w:fill="E7E6E6" w:themeFill="background2"/>
          </w:tcPr>
          <w:p w14:paraId="34D419CC" w14:textId="77777777" w:rsidR="006E5534" w:rsidRPr="006E5534" w:rsidRDefault="006E5534" w:rsidP="00426028">
            <w:pPr>
              <w:pStyle w:val="Lijstalinea"/>
              <w:ind w:left="31"/>
              <w:rPr>
                <w:b/>
              </w:rPr>
            </w:pPr>
            <w:r w:rsidRPr="006E5534">
              <w:rPr>
                <w:b/>
              </w:rPr>
              <w:t>Volg</w:t>
            </w:r>
            <w:r w:rsidRPr="006E5534">
              <w:rPr>
                <w:b/>
              </w:rPr>
              <w:softHyphen/>
              <w:t>nummer</w:t>
            </w:r>
          </w:p>
        </w:tc>
        <w:tc>
          <w:tcPr>
            <w:tcW w:w="2746" w:type="dxa"/>
            <w:shd w:val="clear" w:color="auto" w:fill="E7E6E6" w:themeFill="background2"/>
          </w:tcPr>
          <w:p w14:paraId="47EE8718" w14:textId="77777777" w:rsidR="006E5534" w:rsidRPr="006E5534" w:rsidRDefault="006E5534" w:rsidP="00426028">
            <w:pPr>
              <w:pStyle w:val="Lijstalinea"/>
              <w:ind w:left="31"/>
              <w:rPr>
                <w:b/>
              </w:rPr>
            </w:pPr>
            <w:r w:rsidRPr="006E5534">
              <w:rPr>
                <w:b/>
              </w:rPr>
              <w:t>Onderwerp</w:t>
            </w:r>
          </w:p>
        </w:tc>
        <w:tc>
          <w:tcPr>
            <w:tcW w:w="2652" w:type="dxa"/>
            <w:shd w:val="clear" w:color="auto" w:fill="E7E6E6" w:themeFill="background2"/>
          </w:tcPr>
          <w:p w14:paraId="24C17159" w14:textId="77777777" w:rsidR="006E5534" w:rsidRPr="006E5534" w:rsidRDefault="006E5534" w:rsidP="00426028">
            <w:pPr>
              <w:pStyle w:val="Lijstalinea"/>
              <w:ind w:left="31"/>
              <w:rPr>
                <w:b/>
              </w:rPr>
            </w:pPr>
            <w:r w:rsidRPr="006E5534">
              <w:rPr>
                <w:b/>
              </w:rPr>
              <w:t>Afleveradres</w:t>
            </w:r>
          </w:p>
        </w:tc>
        <w:tc>
          <w:tcPr>
            <w:tcW w:w="1811" w:type="dxa"/>
            <w:shd w:val="clear" w:color="auto" w:fill="E7E6E6" w:themeFill="background2"/>
          </w:tcPr>
          <w:p w14:paraId="2C261DB4" w14:textId="175EC552" w:rsidR="006E5534" w:rsidRPr="006E5534" w:rsidRDefault="007319D4" w:rsidP="00426028">
            <w:pPr>
              <w:pStyle w:val="Lijstalinea"/>
              <w:ind w:left="31"/>
              <w:rPr>
                <w:b/>
              </w:rPr>
            </w:pPr>
            <w:r w:rsidRPr="007319D4">
              <w:rPr>
                <w:b/>
                <w:color w:val="4472C4" w:themeColor="accent5"/>
              </w:rPr>
              <w:t>Streefdata*</w:t>
            </w:r>
          </w:p>
        </w:tc>
      </w:tr>
      <w:tr w:rsidR="005202B1" w:rsidRPr="006E5534" w14:paraId="771380AB" w14:textId="77777777" w:rsidTr="005202B1">
        <w:trPr>
          <w:trHeight w:val="269"/>
        </w:trPr>
        <w:tc>
          <w:tcPr>
            <w:tcW w:w="1100" w:type="dxa"/>
          </w:tcPr>
          <w:p w14:paraId="4F525657" w14:textId="4C5DE128" w:rsidR="005202B1" w:rsidRPr="006E5534" w:rsidRDefault="005202B1" w:rsidP="00426028">
            <w:pPr>
              <w:pStyle w:val="Lijstalinea"/>
              <w:ind w:left="31"/>
              <w:rPr>
                <w:i/>
                <w:iCs/>
                <w:sz w:val="16"/>
                <w:szCs w:val="20"/>
              </w:rPr>
            </w:pPr>
            <w:r w:rsidRPr="00C9193D">
              <w:t>A1</w:t>
            </w:r>
          </w:p>
        </w:tc>
        <w:tc>
          <w:tcPr>
            <w:tcW w:w="2746" w:type="dxa"/>
          </w:tcPr>
          <w:p w14:paraId="24C7384D" w14:textId="07600224" w:rsidR="005202B1" w:rsidRPr="006E5534" w:rsidRDefault="005202B1" w:rsidP="00426028">
            <w:pPr>
              <w:pStyle w:val="Lijstalinea"/>
              <w:ind w:left="31"/>
              <w:rPr>
                <w:iCs/>
                <w:sz w:val="16"/>
                <w:szCs w:val="20"/>
                <w:highlight w:val="lightGray"/>
              </w:rPr>
            </w:pPr>
            <w:r>
              <w:rPr>
                <w:iCs/>
              </w:rPr>
              <w:t>Gebruik</w:t>
            </w:r>
            <w:r w:rsidR="008663A4">
              <w:rPr>
                <w:iCs/>
              </w:rPr>
              <w:t>srecht</w:t>
            </w:r>
            <w:r>
              <w:rPr>
                <w:iCs/>
              </w:rPr>
              <w:t xml:space="preserve"> Adaptief Zaakmanagementsysteem</w:t>
            </w:r>
          </w:p>
        </w:tc>
        <w:tc>
          <w:tcPr>
            <w:tcW w:w="2652" w:type="dxa"/>
          </w:tcPr>
          <w:p w14:paraId="09C79CA5" w14:textId="32D16316" w:rsidR="005202B1" w:rsidRPr="006E5534" w:rsidRDefault="005202B1" w:rsidP="00426028">
            <w:pPr>
              <w:pStyle w:val="Lijstalinea"/>
              <w:ind w:left="31"/>
              <w:rPr>
                <w:iCs/>
                <w:sz w:val="16"/>
                <w:szCs w:val="20"/>
                <w:highlight w:val="lightGray"/>
              </w:rPr>
            </w:pPr>
            <w:r w:rsidRPr="005202B1">
              <w:rPr>
                <w:iCs/>
                <w:sz w:val="16"/>
                <w:szCs w:val="20"/>
              </w:rPr>
              <w:t>NTB</w:t>
            </w:r>
          </w:p>
        </w:tc>
        <w:tc>
          <w:tcPr>
            <w:tcW w:w="1811" w:type="dxa"/>
          </w:tcPr>
          <w:p w14:paraId="49D12209" w14:textId="501253E4" w:rsidR="005202B1" w:rsidRPr="006E5534" w:rsidRDefault="005202B1" w:rsidP="00426028">
            <w:pPr>
              <w:pStyle w:val="Lijstalinea"/>
              <w:ind w:left="31"/>
              <w:rPr>
                <w:iCs/>
                <w:sz w:val="16"/>
                <w:szCs w:val="20"/>
                <w:highlight w:val="lightGray"/>
              </w:rPr>
            </w:pPr>
            <w:r w:rsidRPr="005202B1">
              <w:rPr>
                <w:iCs/>
                <w:sz w:val="16"/>
                <w:szCs w:val="20"/>
              </w:rPr>
              <w:t>In overleg</w:t>
            </w:r>
          </w:p>
        </w:tc>
      </w:tr>
      <w:tr w:rsidR="005202B1" w:rsidRPr="006E5534" w14:paraId="08CEC576" w14:textId="77777777" w:rsidTr="005202B1">
        <w:tc>
          <w:tcPr>
            <w:tcW w:w="1100" w:type="dxa"/>
          </w:tcPr>
          <w:p w14:paraId="423C1250" w14:textId="0F05CCB1" w:rsidR="005202B1" w:rsidRPr="006E5534" w:rsidRDefault="005202B1" w:rsidP="00426028">
            <w:pPr>
              <w:pStyle w:val="Lijstalinea"/>
              <w:ind w:left="31"/>
              <w:rPr>
                <w:sz w:val="16"/>
                <w:szCs w:val="20"/>
              </w:rPr>
            </w:pPr>
            <w:r>
              <w:t>A2</w:t>
            </w:r>
          </w:p>
        </w:tc>
        <w:tc>
          <w:tcPr>
            <w:tcW w:w="2746" w:type="dxa"/>
          </w:tcPr>
          <w:p w14:paraId="15975A03" w14:textId="105498A0" w:rsidR="005202B1" w:rsidRPr="006E5534" w:rsidRDefault="005202B1" w:rsidP="00426028">
            <w:pPr>
              <w:pStyle w:val="Lijstalinea"/>
              <w:ind w:left="31"/>
              <w:rPr>
                <w:sz w:val="16"/>
                <w:szCs w:val="20"/>
                <w:highlight w:val="lightGray"/>
              </w:rPr>
            </w:pPr>
            <w:r>
              <w:rPr>
                <w:iCs/>
              </w:rPr>
              <w:t>Leveren van updates</w:t>
            </w:r>
          </w:p>
        </w:tc>
        <w:tc>
          <w:tcPr>
            <w:tcW w:w="2652" w:type="dxa"/>
          </w:tcPr>
          <w:p w14:paraId="6A64DB7C" w14:textId="604821E9" w:rsidR="005202B1" w:rsidRPr="006E5534" w:rsidRDefault="005202B1" w:rsidP="00426028">
            <w:pPr>
              <w:pStyle w:val="Lijstalinea"/>
              <w:ind w:left="31"/>
              <w:rPr>
                <w:sz w:val="16"/>
                <w:szCs w:val="20"/>
                <w:highlight w:val="lightGray"/>
              </w:rPr>
            </w:pPr>
            <w:r w:rsidRPr="00C17DE9">
              <w:rPr>
                <w:iCs/>
                <w:sz w:val="16"/>
                <w:szCs w:val="20"/>
              </w:rPr>
              <w:t>NTB</w:t>
            </w:r>
          </w:p>
        </w:tc>
        <w:tc>
          <w:tcPr>
            <w:tcW w:w="1811" w:type="dxa"/>
          </w:tcPr>
          <w:p w14:paraId="3A451F4E" w14:textId="48465AEF" w:rsidR="005202B1" w:rsidRPr="006E5534" w:rsidRDefault="005202B1" w:rsidP="00426028">
            <w:pPr>
              <w:pStyle w:val="Lijstalinea"/>
              <w:ind w:left="31"/>
              <w:rPr>
                <w:sz w:val="16"/>
                <w:szCs w:val="20"/>
                <w:highlight w:val="lightGray"/>
              </w:rPr>
            </w:pPr>
            <w:r>
              <w:rPr>
                <w:iCs/>
                <w:sz w:val="16"/>
                <w:szCs w:val="20"/>
              </w:rPr>
              <w:t>I</w:t>
            </w:r>
            <w:r w:rsidRPr="00903D62">
              <w:rPr>
                <w:iCs/>
                <w:sz w:val="16"/>
                <w:szCs w:val="20"/>
              </w:rPr>
              <w:t>n overleg</w:t>
            </w:r>
          </w:p>
        </w:tc>
      </w:tr>
      <w:tr w:rsidR="005202B1" w:rsidRPr="006E5534" w14:paraId="13C4227F" w14:textId="77777777" w:rsidTr="005202B1">
        <w:tc>
          <w:tcPr>
            <w:tcW w:w="1100" w:type="dxa"/>
          </w:tcPr>
          <w:p w14:paraId="6CCC3A7A" w14:textId="186FF1E4" w:rsidR="005202B1" w:rsidRPr="006E5534" w:rsidRDefault="005202B1" w:rsidP="00426028">
            <w:pPr>
              <w:pStyle w:val="Lijstalinea"/>
              <w:ind w:left="31"/>
              <w:rPr>
                <w:sz w:val="16"/>
                <w:szCs w:val="20"/>
              </w:rPr>
            </w:pPr>
            <w:r>
              <w:t>A3</w:t>
            </w:r>
          </w:p>
        </w:tc>
        <w:tc>
          <w:tcPr>
            <w:tcW w:w="2746" w:type="dxa"/>
          </w:tcPr>
          <w:p w14:paraId="71EC5DAB" w14:textId="199F8169" w:rsidR="005202B1" w:rsidRPr="006E5534" w:rsidRDefault="005202B1" w:rsidP="00426028">
            <w:pPr>
              <w:pStyle w:val="Lijstalinea"/>
              <w:ind w:left="31"/>
              <w:rPr>
                <w:sz w:val="16"/>
                <w:szCs w:val="20"/>
                <w:highlight w:val="lightGray"/>
              </w:rPr>
            </w:pPr>
            <w:r>
              <w:rPr>
                <w:iCs/>
              </w:rPr>
              <w:t>Leveren van Security patches</w:t>
            </w:r>
          </w:p>
        </w:tc>
        <w:tc>
          <w:tcPr>
            <w:tcW w:w="2652" w:type="dxa"/>
          </w:tcPr>
          <w:p w14:paraId="13D252FF" w14:textId="4A49C35B" w:rsidR="005202B1" w:rsidRPr="006E5534" w:rsidRDefault="005202B1" w:rsidP="00426028">
            <w:pPr>
              <w:pStyle w:val="Lijstalinea"/>
              <w:ind w:left="31"/>
              <w:rPr>
                <w:sz w:val="16"/>
                <w:szCs w:val="20"/>
                <w:highlight w:val="lightGray"/>
              </w:rPr>
            </w:pPr>
            <w:r w:rsidRPr="00C17DE9">
              <w:rPr>
                <w:iCs/>
                <w:sz w:val="16"/>
                <w:szCs w:val="20"/>
              </w:rPr>
              <w:t>NTB</w:t>
            </w:r>
          </w:p>
        </w:tc>
        <w:tc>
          <w:tcPr>
            <w:tcW w:w="1811" w:type="dxa"/>
          </w:tcPr>
          <w:p w14:paraId="06C6CD71" w14:textId="4E1B6DAC" w:rsidR="005202B1" w:rsidRPr="006E5534" w:rsidRDefault="005202B1" w:rsidP="00426028">
            <w:pPr>
              <w:pStyle w:val="Lijstalinea"/>
              <w:ind w:left="31"/>
              <w:rPr>
                <w:sz w:val="16"/>
                <w:szCs w:val="20"/>
                <w:highlight w:val="lightGray"/>
              </w:rPr>
            </w:pPr>
            <w:r>
              <w:rPr>
                <w:iCs/>
                <w:sz w:val="16"/>
                <w:szCs w:val="20"/>
              </w:rPr>
              <w:t>I</w:t>
            </w:r>
            <w:r w:rsidRPr="00903D62">
              <w:rPr>
                <w:iCs/>
                <w:sz w:val="16"/>
                <w:szCs w:val="20"/>
              </w:rPr>
              <w:t>n overleg</w:t>
            </w:r>
          </w:p>
        </w:tc>
      </w:tr>
    </w:tbl>
    <w:p w14:paraId="2B9AAA52" w14:textId="77777777" w:rsidR="006E5534" w:rsidRDefault="006E5534" w:rsidP="00426028">
      <w:pPr>
        <w:spacing w:line="276" w:lineRule="auto"/>
      </w:pPr>
    </w:p>
    <w:p w14:paraId="68735DE0" w14:textId="2FD9FADB" w:rsidR="00122BC9" w:rsidRDefault="00FE7A10" w:rsidP="00C75533">
      <w:pPr>
        <w:spacing w:line="276" w:lineRule="auto"/>
        <w:ind w:left="567"/>
        <w:rPr>
          <w:color w:val="4472C4" w:themeColor="accent5"/>
        </w:rPr>
      </w:pPr>
      <w:r w:rsidRPr="007369A3">
        <w:rPr>
          <w:color w:val="4472C4" w:themeColor="accent5"/>
        </w:rPr>
        <w:t xml:space="preserve">* De genoemde </w:t>
      </w:r>
      <w:r>
        <w:rPr>
          <w:color w:val="4472C4" w:themeColor="accent5"/>
        </w:rPr>
        <w:t>streef</w:t>
      </w:r>
      <w:r w:rsidRPr="007369A3">
        <w:rPr>
          <w:color w:val="4472C4" w:themeColor="accent5"/>
        </w:rPr>
        <w:t>data zijn streef termijnen, waarbij Opdrachtgever en Opdrachtnemer beide</w:t>
      </w:r>
      <w:r>
        <w:rPr>
          <w:color w:val="4472C4" w:themeColor="accent5"/>
        </w:rPr>
        <w:t xml:space="preserve"> zich voldoende</w:t>
      </w:r>
      <w:r w:rsidRPr="007369A3">
        <w:rPr>
          <w:color w:val="4472C4" w:themeColor="accent5"/>
        </w:rPr>
        <w:t xml:space="preserve"> inspan</w:t>
      </w:r>
      <w:r>
        <w:rPr>
          <w:color w:val="4472C4" w:themeColor="accent5"/>
        </w:rPr>
        <w:t xml:space="preserve">nen </w:t>
      </w:r>
      <w:r w:rsidRPr="007369A3">
        <w:rPr>
          <w:color w:val="4472C4" w:themeColor="accent5"/>
        </w:rPr>
        <w:t xml:space="preserve">om deze te </w:t>
      </w:r>
      <w:r>
        <w:rPr>
          <w:color w:val="4472C4" w:themeColor="accent5"/>
        </w:rPr>
        <w:t>be</w:t>
      </w:r>
      <w:r w:rsidRPr="007369A3">
        <w:rPr>
          <w:color w:val="4472C4" w:themeColor="accent5"/>
        </w:rPr>
        <w:t xml:space="preserve">halen. In </w:t>
      </w:r>
      <w:r>
        <w:rPr>
          <w:color w:val="4472C4" w:themeColor="accent5"/>
        </w:rPr>
        <w:t xml:space="preserve">goed </w:t>
      </w:r>
      <w:r w:rsidRPr="007369A3">
        <w:rPr>
          <w:color w:val="4472C4" w:themeColor="accent5"/>
        </w:rPr>
        <w:t>overleg tussen Opdrachtgever en Opdrachtnemer kan hier</w:t>
      </w:r>
      <w:r>
        <w:rPr>
          <w:color w:val="4472C4" w:themeColor="accent5"/>
        </w:rPr>
        <w:t xml:space="preserve"> wel</w:t>
      </w:r>
      <w:r w:rsidRPr="007369A3">
        <w:rPr>
          <w:color w:val="4472C4" w:themeColor="accent5"/>
        </w:rPr>
        <w:t xml:space="preserve"> vanaf worden geweken.</w:t>
      </w:r>
    </w:p>
    <w:p w14:paraId="4E26F004" w14:textId="77777777" w:rsidR="00FE7A10" w:rsidRPr="006E5534" w:rsidRDefault="00FE7A10" w:rsidP="00426028">
      <w:pPr>
        <w:spacing w:line="276" w:lineRule="auto"/>
        <w:ind w:left="567" w:hanging="567"/>
      </w:pPr>
    </w:p>
    <w:p w14:paraId="7D916D59" w14:textId="036F6C04" w:rsidR="00890D09" w:rsidRDefault="006E5534" w:rsidP="00426028">
      <w:pPr>
        <w:pStyle w:val="Lijstalinea"/>
        <w:numPr>
          <w:ilvl w:val="1"/>
          <w:numId w:val="4"/>
        </w:numPr>
        <w:ind w:left="567" w:hanging="567"/>
      </w:pPr>
      <w:r>
        <w:t xml:space="preserve">In </w:t>
      </w:r>
      <w:r w:rsidRPr="006E5534">
        <w:t>die gevallen waarin Wederpartij zich heeft verbonden tot het beschikbaar stellen van de Broncode aan Opdrachtgever, ontvangt deze op eerste verzoek een exemplaar van (de meest recente versie van) die Broncode</w:t>
      </w:r>
      <w:r w:rsidR="00710183">
        <w:t>.</w:t>
      </w:r>
    </w:p>
    <w:p w14:paraId="46229C59" w14:textId="77777777" w:rsidR="008B0E56" w:rsidRDefault="008B0E56" w:rsidP="008B0E56"/>
    <w:p w14:paraId="0293425D" w14:textId="77777777" w:rsidR="008B0E56" w:rsidRDefault="008B0E56" w:rsidP="008B0E56"/>
    <w:p w14:paraId="23DEEF5D" w14:textId="4E9C2C2D" w:rsidR="00890D09" w:rsidRDefault="00890D09" w:rsidP="00426028">
      <w:pPr>
        <w:pStyle w:val="Kop1"/>
        <w:numPr>
          <w:ilvl w:val="0"/>
          <w:numId w:val="4"/>
        </w:numPr>
        <w:spacing w:line="276" w:lineRule="auto"/>
        <w:ind w:left="567" w:hanging="567"/>
      </w:pPr>
      <w:r>
        <w:t>Recht op aanpassing</w:t>
      </w:r>
    </w:p>
    <w:p w14:paraId="3A918AB8" w14:textId="77777777" w:rsidR="00890D09" w:rsidRDefault="00890D09" w:rsidP="00426028">
      <w:pPr>
        <w:spacing w:line="276" w:lineRule="auto"/>
      </w:pPr>
    </w:p>
    <w:p w14:paraId="5A6DCAA1" w14:textId="2416D1D5" w:rsidR="00890D09" w:rsidRDefault="00890D09" w:rsidP="00426028">
      <w:pPr>
        <w:spacing w:line="276" w:lineRule="auto"/>
        <w:ind w:left="567" w:hanging="567"/>
        <w:rPr>
          <w:rFonts w:eastAsia="Verdana" w:cs="Verdana"/>
          <w:lang w:eastAsia="en-US"/>
        </w:rPr>
      </w:pPr>
      <w:r w:rsidRPr="12EB1957">
        <w:rPr>
          <w:rFonts w:eastAsia="Verdana" w:cs="Verdana"/>
        </w:rPr>
        <w:t xml:space="preserve">6.1 </w:t>
      </w:r>
      <w:r>
        <w:tab/>
      </w:r>
      <w:r w:rsidRPr="12EB1957">
        <w:rPr>
          <w:rFonts w:eastAsia="Verdana" w:cs="Verdana"/>
          <w:lang w:eastAsia="en-US"/>
        </w:rPr>
        <w:t>Gedurende de looptijd van deze overeenkomst heeft de Opdrachtgever het recht om het aantal licenties eenmalig of in fasen te verhogen of te verlagen met een maximum van 200 licenties, zonder dat hiervoor een aparte overeenkomst of toestemming van de Wederpartij vereist is.</w:t>
      </w:r>
    </w:p>
    <w:p w14:paraId="5F03D245" w14:textId="77777777" w:rsidR="00890D09" w:rsidRDefault="00890D09" w:rsidP="00426028">
      <w:pPr>
        <w:spacing w:line="276" w:lineRule="auto"/>
      </w:pPr>
    </w:p>
    <w:p w14:paraId="30A68F5D" w14:textId="6C613556" w:rsidR="00890D09" w:rsidRDefault="00890D09" w:rsidP="00426028">
      <w:pPr>
        <w:spacing w:line="276" w:lineRule="auto"/>
        <w:ind w:left="567" w:hanging="567"/>
      </w:pPr>
      <w:r>
        <w:t xml:space="preserve">6.2 </w:t>
      </w:r>
      <w:r>
        <w:tab/>
        <w:t>De Opdrachtgever dient een schriftelijk verzoek tot aanpassing van het aantal licenties in bij de Wederpartij, onder vermelding van het gewenste aantal licenties en de gewenste ingangsdatum van de wijziging.</w:t>
      </w:r>
    </w:p>
    <w:p w14:paraId="00D6A4A7" w14:textId="7227078C" w:rsidR="00890D09" w:rsidRDefault="00890D09" w:rsidP="00426028">
      <w:pPr>
        <w:spacing w:line="276" w:lineRule="auto"/>
        <w:ind w:left="567"/>
      </w:pPr>
      <w:r>
        <w:t xml:space="preserve">Het verzoek dient minimaal 30 werkdagen voor de beoogde ingangsdatum bij de </w:t>
      </w:r>
      <w:r w:rsidR="00710183">
        <w:t>Wederpartij</w:t>
      </w:r>
      <w:r>
        <w:t xml:space="preserve"> te zijn ontvangen.</w:t>
      </w:r>
    </w:p>
    <w:p w14:paraId="73E2EED1" w14:textId="77777777" w:rsidR="00890D09" w:rsidRDefault="00890D09" w:rsidP="00426028">
      <w:pPr>
        <w:spacing w:line="276" w:lineRule="auto"/>
      </w:pPr>
    </w:p>
    <w:p w14:paraId="4577412E" w14:textId="742C6CAA" w:rsidR="00890D09" w:rsidRDefault="00890D09" w:rsidP="00426028">
      <w:pPr>
        <w:spacing w:line="276" w:lineRule="auto"/>
        <w:ind w:left="567" w:hanging="567"/>
      </w:pPr>
      <w:r>
        <w:t>6.3</w:t>
      </w:r>
      <w:r>
        <w:tab/>
        <w:t>De Wederpartij bevestigt het verzoek schriftelijk en past het aantal licenties aan, mits de wijziging binnen de grenzen van dit artikel valt.</w:t>
      </w:r>
    </w:p>
    <w:p w14:paraId="13AFBC58" w14:textId="77777777" w:rsidR="00890D09" w:rsidRDefault="00890D09" w:rsidP="00426028">
      <w:pPr>
        <w:spacing w:line="276" w:lineRule="auto"/>
      </w:pPr>
    </w:p>
    <w:p w14:paraId="424B9698" w14:textId="5B7E74B2" w:rsidR="00890D09" w:rsidRDefault="00890D09" w:rsidP="00426028">
      <w:pPr>
        <w:spacing w:line="276" w:lineRule="auto"/>
        <w:ind w:left="567" w:hanging="567"/>
      </w:pPr>
      <w:r>
        <w:t xml:space="preserve">6.4 </w:t>
      </w:r>
      <w:r>
        <w:tab/>
        <w:t>Bij verlaging van het aantal licenties wordt de facturering per de eerstvolgende factureringsdatum aangepast. Er vindt geen restitutie plaats voor reeds gefactureerde licenties. Bij verhoging van het aantal licenties wordt de facturering per de eerstvolgende factureringsdatum aangepast, op basis van de geldende tarieven zoals overeengekomen in deze overeenkomst.</w:t>
      </w:r>
    </w:p>
    <w:p w14:paraId="4F6A54C5" w14:textId="77777777" w:rsidR="00890D09" w:rsidRPr="006E5534" w:rsidRDefault="00890D09" w:rsidP="00426028">
      <w:pPr>
        <w:spacing w:line="276" w:lineRule="auto"/>
      </w:pPr>
    </w:p>
    <w:p w14:paraId="3CCB6B89" w14:textId="03794C91" w:rsidR="00003ED0" w:rsidRPr="004A424B" w:rsidRDefault="00003ED0" w:rsidP="00426028">
      <w:pPr>
        <w:pStyle w:val="Kop1"/>
        <w:numPr>
          <w:ilvl w:val="0"/>
          <w:numId w:val="4"/>
        </w:numPr>
        <w:spacing w:line="276" w:lineRule="auto"/>
        <w:ind w:left="567" w:hanging="567"/>
      </w:pPr>
      <w:r>
        <w:t xml:space="preserve">Vergoeding </w:t>
      </w:r>
    </w:p>
    <w:p w14:paraId="62E948EC" w14:textId="77777777" w:rsidR="00003ED0" w:rsidRPr="004A424B" w:rsidRDefault="00003ED0" w:rsidP="00426028">
      <w:pPr>
        <w:spacing w:line="276" w:lineRule="auto"/>
      </w:pPr>
    </w:p>
    <w:p w14:paraId="14B56BD6" w14:textId="41F0530E" w:rsidR="00003ED0" w:rsidRPr="00003ED0" w:rsidRDefault="00003ED0" w:rsidP="00426028">
      <w:pPr>
        <w:pStyle w:val="Lijstalinea"/>
        <w:numPr>
          <w:ilvl w:val="1"/>
          <w:numId w:val="4"/>
        </w:numPr>
        <w:ind w:left="567" w:hanging="567"/>
        <w:rPr>
          <w:lang w:val="nl"/>
        </w:rPr>
      </w:pPr>
      <w:r>
        <w:t>Partijen</w:t>
      </w:r>
      <w:r w:rsidRPr="00003ED0">
        <w:t xml:space="preserve"> komen de navolgende Vergoeding overeen:</w:t>
      </w:r>
      <w:r>
        <w:t xml:space="preserve"> </w:t>
      </w:r>
    </w:p>
    <w:tbl>
      <w:tblPr>
        <w:tblW w:w="765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4007"/>
        <w:gridCol w:w="1268"/>
        <w:gridCol w:w="1276"/>
      </w:tblGrid>
      <w:tr w:rsidR="00003ED0" w:rsidRPr="00003ED0" w14:paraId="69D17BF8" w14:textId="77777777" w:rsidTr="00EC7FC2">
        <w:trPr>
          <w:trHeight w:val="269"/>
          <w:tblHeader/>
        </w:trPr>
        <w:tc>
          <w:tcPr>
            <w:tcW w:w="1100" w:type="dxa"/>
            <w:shd w:val="clear" w:color="auto" w:fill="999999"/>
          </w:tcPr>
          <w:p w14:paraId="5BCB1479" w14:textId="77777777" w:rsidR="00003ED0" w:rsidRPr="00003ED0" w:rsidRDefault="00003ED0" w:rsidP="00426028">
            <w:pPr>
              <w:spacing w:line="276" w:lineRule="auto"/>
              <w:rPr>
                <w:b/>
                <w:sz w:val="16"/>
                <w:szCs w:val="18"/>
              </w:rPr>
            </w:pPr>
            <w:bookmarkStart w:id="6" w:name="_Ref227563464"/>
            <w:r w:rsidRPr="00003ED0">
              <w:rPr>
                <w:b/>
                <w:sz w:val="16"/>
                <w:szCs w:val="18"/>
              </w:rPr>
              <w:t>Volg-</w:t>
            </w:r>
            <w:r w:rsidRPr="00003ED0">
              <w:rPr>
                <w:b/>
                <w:sz w:val="16"/>
                <w:szCs w:val="18"/>
              </w:rPr>
              <w:br/>
              <w:t>nummer</w:t>
            </w:r>
          </w:p>
        </w:tc>
        <w:tc>
          <w:tcPr>
            <w:tcW w:w="4007" w:type="dxa"/>
            <w:shd w:val="clear" w:color="auto" w:fill="999999"/>
          </w:tcPr>
          <w:p w14:paraId="18DD462B" w14:textId="77777777" w:rsidR="00003ED0" w:rsidRPr="00003ED0" w:rsidRDefault="00003ED0" w:rsidP="00426028">
            <w:pPr>
              <w:spacing w:line="276" w:lineRule="auto"/>
              <w:rPr>
                <w:b/>
                <w:sz w:val="16"/>
                <w:szCs w:val="18"/>
              </w:rPr>
            </w:pPr>
            <w:r w:rsidRPr="00003ED0">
              <w:rPr>
                <w:b/>
                <w:sz w:val="16"/>
                <w:szCs w:val="18"/>
              </w:rPr>
              <w:t>Onderwerp</w:t>
            </w:r>
          </w:p>
        </w:tc>
        <w:tc>
          <w:tcPr>
            <w:tcW w:w="1268" w:type="dxa"/>
            <w:shd w:val="clear" w:color="auto" w:fill="999999"/>
          </w:tcPr>
          <w:p w14:paraId="7BD99BC9" w14:textId="77777777" w:rsidR="00003ED0" w:rsidRPr="00003ED0" w:rsidRDefault="00003ED0" w:rsidP="00426028">
            <w:pPr>
              <w:spacing w:line="276" w:lineRule="auto"/>
              <w:rPr>
                <w:b/>
                <w:sz w:val="16"/>
                <w:szCs w:val="18"/>
              </w:rPr>
            </w:pPr>
            <w:r w:rsidRPr="00003ED0">
              <w:rPr>
                <w:b/>
                <w:sz w:val="16"/>
                <w:szCs w:val="18"/>
              </w:rPr>
              <w:t>Prijs</w:t>
            </w:r>
          </w:p>
        </w:tc>
        <w:tc>
          <w:tcPr>
            <w:tcW w:w="1276" w:type="dxa"/>
            <w:shd w:val="clear" w:color="auto" w:fill="999999"/>
          </w:tcPr>
          <w:p w14:paraId="663A68C0" w14:textId="77777777" w:rsidR="00003ED0" w:rsidRPr="00003ED0" w:rsidRDefault="00003ED0" w:rsidP="00426028">
            <w:pPr>
              <w:spacing w:line="276" w:lineRule="auto"/>
              <w:rPr>
                <w:b/>
                <w:sz w:val="16"/>
                <w:szCs w:val="18"/>
              </w:rPr>
            </w:pPr>
            <w:r w:rsidRPr="00003ED0">
              <w:rPr>
                <w:b/>
                <w:sz w:val="16"/>
                <w:szCs w:val="18"/>
              </w:rPr>
              <w:t>Prijs incl. BTW</w:t>
            </w:r>
          </w:p>
        </w:tc>
      </w:tr>
      <w:tr w:rsidR="00CA66EE" w:rsidRPr="00245CC8" w14:paraId="4894D66D" w14:textId="77777777" w:rsidTr="00EC7FC2">
        <w:trPr>
          <w:trHeight w:val="269"/>
        </w:trPr>
        <w:tc>
          <w:tcPr>
            <w:tcW w:w="1100" w:type="dxa"/>
          </w:tcPr>
          <w:p w14:paraId="248DBA5A" w14:textId="1DB0C979" w:rsidR="00CA66EE" w:rsidRPr="00003ED0" w:rsidRDefault="00CA66EE" w:rsidP="00426028">
            <w:pPr>
              <w:spacing w:line="276" w:lineRule="auto"/>
              <w:rPr>
                <w:sz w:val="16"/>
                <w:szCs w:val="18"/>
              </w:rPr>
            </w:pPr>
            <w:r w:rsidRPr="00C9193D">
              <w:t>A1</w:t>
            </w:r>
          </w:p>
        </w:tc>
        <w:tc>
          <w:tcPr>
            <w:tcW w:w="4007" w:type="dxa"/>
          </w:tcPr>
          <w:p w14:paraId="6C32DFB1" w14:textId="2828EBA3" w:rsidR="00CA66EE" w:rsidRPr="00245CC8" w:rsidRDefault="00CA66EE" w:rsidP="00426028">
            <w:pPr>
              <w:spacing w:line="276" w:lineRule="auto"/>
              <w:rPr>
                <w:sz w:val="16"/>
                <w:szCs w:val="18"/>
              </w:rPr>
            </w:pPr>
            <w:r w:rsidRPr="00245CC8">
              <w:rPr>
                <w:sz w:val="16"/>
                <w:szCs w:val="18"/>
              </w:rPr>
              <w:t xml:space="preserve">De Vergoeding </w:t>
            </w:r>
            <w:r w:rsidR="00710183">
              <w:rPr>
                <w:sz w:val="16"/>
                <w:szCs w:val="18"/>
              </w:rPr>
              <w:t>het</w:t>
            </w:r>
            <w:r w:rsidR="00710183" w:rsidRPr="00245CC8">
              <w:rPr>
                <w:sz w:val="16"/>
                <w:szCs w:val="18"/>
              </w:rPr>
              <w:t xml:space="preserve"> </w:t>
            </w:r>
            <w:r w:rsidRPr="00245CC8">
              <w:rPr>
                <w:sz w:val="16"/>
                <w:szCs w:val="18"/>
              </w:rPr>
              <w:t>te</w:t>
            </w:r>
            <w:r w:rsidR="00710183">
              <w:rPr>
                <w:sz w:val="16"/>
                <w:szCs w:val="18"/>
              </w:rPr>
              <w:t xml:space="preserve"> </w:t>
            </w:r>
            <w:r w:rsidRPr="00245CC8">
              <w:rPr>
                <w:sz w:val="16"/>
                <w:szCs w:val="18"/>
              </w:rPr>
              <w:t xml:space="preserve">leveren </w:t>
            </w:r>
            <w:r w:rsidR="009C2F8A" w:rsidRPr="00245CC8">
              <w:rPr>
                <w:sz w:val="16"/>
                <w:szCs w:val="18"/>
              </w:rPr>
              <w:t>Gebruiksrecht</w:t>
            </w:r>
            <w:r w:rsidRPr="00245CC8">
              <w:rPr>
                <w:sz w:val="16"/>
                <w:szCs w:val="18"/>
              </w:rPr>
              <w:t xml:space="preserve"> Adaptief Zaakmanagementsysteem:</w:t>
            </w:r>
          </w:p>
        </w:tc>
        <w:tc>
          <w:tcPr>
            <w:tcW w:w="1268" w:type="dxa"/>
          </w:tcPr>
          <w:p w14:paraId="76BC70B3" w14:textId="761F1D2F" w:rsidR="00CA66EE" w:rsidRPr="00245CC8" w:rsidRDefault="00CA66EE" w:rsidP="00426028">
            <w:pPr>
              <w:spacing w:line="276" w:lineRule="auto"/>
              <w:rPr>
                <w:sz w:val="16"/>
                <w:szCs w:val="18"/>
              </w:rPr>
            </w:pPr>
            <w:r w:rsidRPr="00245CC8">
              <w:rPr>
                <w:sz w:val="16"/>
                <w:szCs w:val="18"/>
              </w:rPr>
              <w:t>&lt; prijs per Product&gt;</w:t>
            </w:r>
          </w:p>
        </w:tc>
        <w:tc>
          <w:tcPr>
            <w:tcW w:w="1276" w:type="dxa"/>
          </w:tcPr>
          <w:p w14:paraId="363C7658" w14:textId="42265894" w:rsidR="00CA66EE" w:rsidRPr="00245CC8" w:rsidRDefault="00CA66EE" w:rsidP="00426028">
            <w:pPr>
              <w:spacing w:line="276" w:lineRule="auto"/>
              <w:rPr>
                <w:sz w:val="16"/>
                <w:szCs w:val="18"/>
              </w:rPr>
            </w:pPr>
            <w:r w:rsidRPr="00245CC8">
              <w:rPr>
                <w:sz w:val="16"/>
                <w:szCs w:val="18"/>
              </w:rPr>
              <w:t>&lt;vergoeding per Product&gt;</w:t>
            </w:r>
          </w:p>
        </w:tc>
      </w:tr>
      <w:bookmarkEnd w:id="6"/>
    </w:tbl>
    <w:p w14:paraId="78F3B5B6" w14:textId="77777777" w:rsidR="00CA66EE" w:rsidRPr="00CA66EE" w:rsidRDefault="00CA66EE" w:rsidP="00426028">
      <w:pPr>
        <w:pStyle w:val="Lijstalinea"/>
        <w:ind w:left="567"/>
        <w:rPr>
          <w:lang w:val="nl"/>
        </w:rPr>
      </w:pPr>
    </w:p>
    <w:p w14:paraId="7C5B597F" w14:textId="31EB04DE" w:rsidR="00251728" w:rsidRDefault="00251728" w:rsidP="00426028">
      <w:pPr>
        <w:pStyle w:val="Lijstalinea"/>
        <w:numPr>
          <w:ilvl w:val="1"/>
          <w:numId w:val="4"/>
        </w:numPr>
        <w:ind w:left="567" w:hanging="567"/>
      </w:pPr>
      <w:r w:rsidRPr="005A436F">
        <w:t xml:space="preserve">Voor het indexeren geldt de jaar op jaar methode. </w:t>
      </w:r>
      <w:r w:rsidR="00D40203" w:rsidRPr="00327A9B">
        <w:rPr>
          <w:color w:val="5B9BD5" w:themeColor="accent1"/>
        </w:rPr>
        <w:t>Indexatie vindt plaats na twee jaar.</w:t>
      </w:r>
      <w:r w:rsidR="00D40203">
        <w:t xml:space="preserve"> </w:t>
      </w:r>
      <w:r w:rsidRPr="005A436F">
        <w:t>De peilmaand ten behoeve van het bepalen van de indexatie is</w:t>
      </w:r>
      <w:r w:rsidR="00E23309" w:rsidRPr="005A436F">
        <w:t xml:space="preserve"> januari </w:t>
      </w:r>
      <w:r w:rsidRPr="005A436F">
        <w:t xml:space="preserve">en het voorstel dient uiterlijk </w:t>
      </w:r>
      <w:r w:rsidR="00AF03CB" w:rsidRPr="005A436F">
        <w:t xml:space="preserve">1 </w:t>
      </w:r>
      <w:r w:rsidR="00E23309" w:rsidRPr="005A436F">
        <w:t>december</w:t>
      </w:r>
      <w:r w:rsidRPr="005A436F">
        <w:t xml:space="preserve"> ingediend te zijn. </w:t>
      </w:r>
    </w:p>
    <w:p w14:paraId="187F1FD1" w14:textId="77777777" w:rsidR="005A436F" w:rsidRPr="005A436F" w:rsidRDefault="005A436F" w:rsidP="00426028">
      <w:pPr>
        <w:pStyle w:val="Lijstalinea"/>
        <w:ind w:left="567"/>
      </w:pPr>
    </w:p>
    <w:p w14:paraId="12EDD91D" w14:textId="7F2B8C84" w:rsidR="00245CC8" w:rsidRPr="00686C8D" w:rsidRDefault="00245CC8" w:rsidP="00426028">
      <w:pPr>
        <w:pStyle w:val="Lijstalinea"/>
        <w:suppressAutoHyphens/>
        <w:overflowPunct w:val="0"/>
        <w:autoSpaceDE w:val="0"/>
        <w:autoSpaceDN w:val="0"/>
        <w:adjustRightInd w:val="0"/>
        <w:ind w:left="570" w:right="-1"/>
        <w:textAlignment w:val="baseline"/>
        <w:rPr>
          <w:color w:val="000000"/>
        </w:rPr>
      </w:pPr>
      <w:bookmarkStart w:id="7" w:name="_Hlk224909397"/>
      <w:r w:rsidRPr="00686C8D">
        <w:rPr>
          <w:color w:val="000000"/>
        </w:rPr>
        <w:t xml:space="preserve">Indien </w:t>
      </w:r>
      <w:r w:rsidR="00710183">
        <w:rPr>
          <w:color w:val="000000"/>
        </w:rPr>
        <w:t>Wederpartij</w:t>
      </w:r>
      <w:r w:rsidRPr="00686C8D">
        <w:rPr>
          <w:color w:val="000000"/>
        </w:rPr>
        <w:t xml:space="preserve"> gebruik wil maken van de mogelijkheid tot indexatie, dient deze een goed onderbouwd voorstel voor nieuwe tarieven in, waarbij gebruik wordt gemaakt van de volgende CBS-index: </w:t>
      </w:r>
      <w:r w:rsidRPr="00686C8D">
        <w:rPr>
          <w:b/>
          <w:bCs/>
          <w:color w:val="000000"/>
        </w:rPr>
        <w:t xml:space="preserve">Dienstenprijzen, commerciële dienstverlening en transport, sectie J: Informatie en communicatie, </w:t>
      </w:r>
      <w:r w:rsidR="005A436F" w:rsidRPr="005A436F">
        <w:rPr>
          <w:b/>
          <w:bCs/>
          <w:color w:val="000000"/>
        </w:rPr>
        <w:t xml:space="preserve">categorie 6201 Schrijven van computerprogramma's </w:t>
      </w:r>
      <w:r w:rsidRPr="00DE6C1D">
        <w:rPr>
          <w:b/>
          <w:bCs/>
          <w:color w:val="5B9BD5" w:themeColor="accent1"/>
        </w:rPr>
        <w:t>202</w:t>
      </w:r>
      <w:r w:rsidR="00DE6C1D" w:rsidRPr="00DE6C1D">
        <w:rPr>
          <w:b/>
          <w:bCs/>
          <w:color w:val="5B9BD5" w:themeColor="accent1"/>
        </w:rPr>
        <w:t>7</w:t>
      </w:r>
      <w:r w:rsidRPr="00686C8D">
        <w:rPr>
          <w:b/>
          <w:bCs/>
          <w:color w:val="000000"/>
        </w:rPr>
        <w:t>=100</w:t>
      </w:r>
      <w:r w:rsidRPr="00686C8D">
        <w:rPr>
          <w:color w:val="000000"/>
        </w:rPr>
        <w:t>.</w:t>
      </w:r>
    </w:p>
    <w:bookmarkEnd w:id="7"/>
    <w:p w14:paraId="49AEE7E7" w14:textId="77777777" w:rsidR="00245CC8" w:rsidRPr="00686C8D" w:rsidRDefault="00245CC8" w:rsidP="00426028">
      <w:pPr>
        <w:pStyle w:val="Lijstalinea"/>
        <w:suppressAutoHyphens/>
        <w:overflowPunct w:val="0"/>
        <w:autoSpaceDE w:val="0"/>
        <w:autoSpaceDN w:val="0"/>
        <w:adjustRightInd w:val="0"/>
        <w:ind w:left="570" w:right="-1"/>
        <w:textAlignment w:val="baseline"/>
        <w:rPr>
          <w:color w:val="000000"/>
        </w:rPr>
      </w:pPr>
    </w:p>
    <w:p w14:paraId="560375DD" w14:textId="08E21198" w:rsidR="00245CC8" w:rsidRDefault="00245CC8" w:rsidP="00426028">
      <w:pPr>
        <w:pStyle w:val="Lijstalinea"/>
        <w:suppressAutoHyphens/>
        <w:overflowPunct w:val="0"/>
        <w:autoSpaceDE w:val="0"/>
        <w:autoSpaceDN w:val="0"/>
        <w:adjustRightInd w:val="0"/>
        <w:ind w:left="570" w:right="-1"/>
        <w:textAlignment w:val="baseline"/>
        <w:rPr>
          <w:color w:val="000000"/>
        </w:rPr>
      </w:pPr>
      <w:r w:rsidRPr="00686C8D">
        <w:rPr>
          <w:color w:val="000000"/>
        </w:rPr>
        <w:t xml:space="preserve">De geïndexeerde prijzen zullen alsdan ingaan per 1 januari van het eerstvolgende kalenderjaar waarin de indexatie is overeengekomen.  De overeengekomen prijzen kunnen vervolgens jaarlijks </w:t>
      </w:r>
      <w:r w:rsidR="009D1118" w:rsidRPr="00856F38">
        <w:rPr>
          <w:color w:val="5B9BD5" w:themeColor="accent1"/>
        </w:rPr>
        <w:t>vanaf 1-1-202</w:t>
      </w:r>
      <w:r w:rsidR="005308D5">
        <w:rPr>
          <w:color w:val="5B9BD5" w:themeColor="accent1"/>
        </w:rPr>
        <w:t>8</w:t>
      </w:r>
      <w:r w:rsidR="009D1118" w:rsidRPr="00856F38">
        <w:rPr>
          <w:color w:val="5B9BD5" w:themeColor="accent1"/>
        </w:rPr>
        <w:t xml:space="preserve"> </w:t>
      </w:r>
      <w:r w:rsidRPr="00686C8D">
        <w:rPr>
          <w:color w:val="000000"/>
        </w:rPr>
        <w:t>geïndexeerd worden.</w:t>
      </w:r>
    </w:p>
    <w:p w14:paraId="3001461C" w14:textId="77777777" w:rsidR="00245CC8" w:rsidRPr="00686C8D" w:rsidRDefault="00245CC8" w:rsidP="00426028">
      <w:pPr>
        <w:pStyle w:val="Lijstalinea"/>
        <w:suppressAutoHyphens/>
        <w:overflowPunct w:val="0"/>
        <w:autoSpaceDE w:val="0"/>
        <w:autoSpaceDN w:val="0"/>
        <w:adjustRightInd w:val="0"/>
        <w:ind w:left="570" w:right="-1"/>
        <w:textAlignment w:val="baseline"/>
        <w:rPr>
          <w:color w:val="000000"/>
        </w:rPr>
      </w:pPr>
    </w:p>
    <w:p w14:paraId="5DCD7D2B" w14:textId="77777777" w:rsidR="00245CC8" w:rsidRPr="00686C8D" w:rsidRDefault="00245CC8" w:rsidP="00426028">
      <w:pPr>
        <w:pStyle w:val="Lijstalinea"/>
        <w:suppressAutoHyphens/>
        <w:overflowPunct w:val="0"/>
        <w:autoSpaceDE w:val="0"/>
        <w:autoSpaceDN w:val="0"/>
        <w:adjustRightInd w:val="0"/>
        <w:ind w:left="570" w:right="-1"/>
        <w:textAlignment w:val="baseline"/>
        <w:rPr>
          <w:color w:val="000000"/>
        </w:rPr>
      </w:pPr>
      <w:r w:rsidRPr="00686C8D">
        <w:rPr>
          <w:color w:val="000000"/>
        </w:rPr>
        <w:t xml:space="preserve">Een eventuele indexering vindt plaats voor ten hoogste het hierboven genoemde CBS-indexcijfer volgens onderstaande rekenmethode: </w:t>
      </w:r>
    </w:p>
    <w:p w14:paraId="2F47CB51" w14:textId="77777777" w:rsidR="00245CC8" w:rsidRPr="00686C8D" w:rsidRDefault="00245CC8" w:rsidP="00426028">
      <w:pPr>
        <w:pStyle w:val="Lijstalinea"/>
        <w:suppressAutoHyphens/>
        <w:overflowPunct w:val="0"/>
        <w:autoSpaceDE w:val="0"/>
        <w:autoSpaceDN w:val="0"/>
        <w:adjustRightInd w:val="0"/>
        <w:ind w:left="570" w:right="-1"/>
        <w:textAlignment w:val="baseline"/>
        <w:rPr>
          <w:rFonts w:cs="Calibri"/>
          <w:color w:val="000000"/>
        </w:rPr>
      </w:pPr>
    </w:p>
    <w:p w14:paraId="704F9D18" w14:textId="77777777" w:rsidR="00245CC8" w:rsidRPr="00686C8D" w:rsidRDefault="00245CC8" w:rsidP="00426028">
      <w:pPr>
        <w:pStyle w:val="Lijstalinea"/>
        <w:suppressAutoHyphens/>
        <w:overflowPunct w:val="0"/>
        <w:autoSpaceDE w:val="0"/>
        <w:autoSpaceDN w:val="0"/>
        <w:adjustRightInd w:val="0"/>
        <w:ind w:left="570" w:right="-1"/>
        <w:textAlignment w:val="baseline"/>
        <w:rPr>
          <w:rFonts w:cs="Calibri"/>
          <w:color w:val="000000"/>
        </w:rPr>
      </w:pPr>
      <w:r w:rsidRPr="00686C8D">
        <w:rPr>
          <w:rFonts w:cs="Calibri"/>
          <w:color w:val="000000"/>
        </w:rPr>
        <w:t xml:space="preserve">Indexcijfer nieuw kwartaal – Indexcijfer oud kwartaal </w:t>
      </w:r>
    </w:p>
    <w:p w14:paraId="394A842D" w14:textId="77777777" w:rsidR="00245CC8" w:rsidRPr="00686C8D" w:rsidRDefault="00245CC8" w:rsidP="00426028">
      <w:pPr>
        <w:pStyle w:val="Lijstalinea"/>
        <w:suppressAutoHyphens/>
        <w:overflowPunct w:val="0"/>
        <w:autoSpaceDE w:val="0"/>
        <w:autoSpaceDN w:val="0"/>
        <w:adjustRightInd w:val="0"/>
        <w:ind w:left="570" w:right="-1"/>
        <w:textAlignment w:val="baseline"/>
        <w:rPr>
          <w:rFonts w:cs="Calibri"/>
          <w:color w:val="000000"/>
        </w:rPr>
      </w:pPr>
      <w:r w:rsidRPr="00686C8D">
        <w:rPr>
          <w:rFonts w:cs="Calibri"/>
          <w:color w:val="000000"/>
        </w:rPr>
        <w:lastRenderedPageBreak/>
        <w:t>---------------------------------------------------------------- * 100, uitgedrukt in procenten</w:t>
      </w:r>
    </w:p>
    <w:p w14:paraId="7ABD7FE5" w14:textId="77777777" w:rsidR="00245CC8" w:rsidRPr="00686C8D" w:rsidRDefault="00245CC8" w:rsidP="00426028">
      <w:pPr>
        <w:pStyle w:val="Lijstalinea"/>
        <w:suppressAutoHyphens/>
        <w:overflowPunct w:val="0"/>
        <w:autoSpaceDE w:val="0"/>
        <w:autoSpaceDN w:val="0"/>
        <w:adjustRightInd w:val="0"/>
        <w:ind w:left="570" w:right="-1"/>
        <w:textAlignment w:val="baseline"/>
        <w:rPr>
          <w:rFonts w:cs="Calibri"/>
          <w:color w:val="000000"/>
        </w:rPr>
      </w:pPr>
      <w:r w:rsidRPr="00686C8D">
        <w:rPr>
          <w:rFonts w:cs="Calibri"/>
          <w:color w:val="000000"/>
        </w:rPr>
        <w:t>Indexcijfer oud kwartaal</w:t>
      </w:r>
    </w:p>
    <w:p w14:paraId="52E07451" w14:textId="77777777" w:rsidR="00245CC8" w:rsidRPr="00686C8D" w:rsidRDefault="00245CC8" w:rsidP="00426028">
      <w:pPr>
        <w:pStyle w:val="Lijstalinea"/>
        <w:suppressAutoHyphens/>
        <w:overflowPunct w:val="0"/>
        <w:autoSpaceDE w:val="0"/>
        <w:autoSpaceDN w:val="0"/>
        <w:adjustRightInd w:val="0"/>
        <w:ind w:left="570" w:right="-1"/>
        <w:textAlignment w:val="baseline"/>
        <w:rPr>
          <w:color w:val="000000"/>
        </w:rPr>
      </w:pPr>
    </w:p>
    <w:p w14:paraId="07DB38A5" w14:textId="77777777" w:rsidR="00245CC8" w:rsidRPr="00686C8D" w:rsidRDefault="00245CC8" w:rsidP="00426028">
      <w:pPr>
        <w:pStyle w:val="Lijstalinea"/>
        <w:suppressAutoHyphens/>
        <w:overflowPunct w:val="0"/>
        <w:autoSpaceDE w:val="0"/>
        <w:autoSpaceDN w:val="0"/>
        <w:adjustRightInd w:val="0"/>
        <w:ind w:left="570" w:right="-1"/>
        <w:textAlignment w:val="baseline"/>
        <w:rPr>
          <w:rFonts w:cs="Calibri"/>
          <w:color w:val="000000"/>
        </w:rPr>
      </w:pPr>
      <w:r w:rsidRPr="00686C8D">
        <w:rPr>
          <w:rFonts w:cs="Calibri"/>
          <w:color w:val="000000"/>
        </w:rPr>
        <w:t>Als nieuw kwartaal wordt gehanteerd het meest recente kwartaal waarvan het definitieve indexcijfer bekend is ten tijde van het in te dienen voorstel, als oud kwartaal wordt hetzelfde kwartaal genomen van een jaar daarvoor. Het voor indexering gekozen kwartaal dient tevens voor de volgende indexeringen gehanteerd te worden.</w:t>
      </w:r>
    </w:p>
    <w:p w14:paraId="0018D708" w14:textId="77777777" w:rsidR="00245CC8" w:rsidRPr="00686C8D" w:rsidRDefault="00245CC8" w:rsidP="00426028">
      <w:pPr>
        <w:pStyle w:val="Lijstalinea"/>
        <w:suppressAutoHyphens/>
        <w:overflowPunct w:val="0"/>
        <w:autoSpaceDE w:val="0"/>
        <w:autoSpaceDN w:val="0"/>
        <w:adjustRightInd w:val="0"/>
        <w:ind w:left="570" w:right="-1"/>
        <w:textAlignment w:val="baseline"/>
        <w:rPr>
          <w:rFonts w:cs="Calibri"/>
          <w:color w:val="000000"/>
        </w:rPr>
      </w:pPr>
    </w:p>
    <w:p w14:paraId="53FDED27" w14:textId="77777777" w:rsidR="00245CC8" w:rsidRPr="00686C8D" w:rsidRDefault="00245CC8" w:rsidP="00426028">
      <w:pPr>
        <w:pStyle w:val="Lijstalinea"/>
        <w:suppressAutoHyphens/>
        <w:overflowPunct w:val="0"/>
        <w:autoSpaceDE w:val="0"/>
        <w:autoSpaceDN w:val="0"/>
        <w:adjustRightInd w:val="0"/>
        <w:ind w:left="570" w:right="-1"/>
        <w:textAlignment w:val="baseline"/>
        <w:rPr>
          <w:color w:val="000000"/>
        </w:rPr>
      </w:pPr>
      <w:r w:rsidRPr="00686C8D">
        <w:rPr>
          <w:color w:val="000000"/>
        </w:rPr>
        <w:t>N.B. Een indexcijfer bij het CBS is nog niet definitief als er een ster (*) achter staat.</w:t>
      </w:r>
    </w:p>
    <w:p w14:paraId="4F7FC131" w14:textId="77777777" w:rsidR="00245CC8" w:rsidRPr="00686C8D" w:rsidRDefault="00245CC8" w:rsidP="00426028">
      <w:pPr>
        <w:pStyle w:val="Lijstalinea"/>
        <w:suppressAutoHyphens/>
        <w:overflowPunct w:val="0"/>
        <w:autoSpaceDE w:val="0"/>
        <w:autoSpaceDN w:val="0"/>
        <w:adjustRightInd w:val="0"/>
        <w:ind w:left="570" w:right="-1"/>
        <w:textAlignment w:val="baseline"/>
        <w:rPr>
          <w:color w:val="000000"/>
        </w:rPr>
      </w:pPr>
    </w:p>
    <w:p w14:paraId="73235BF9" w14:textId="45F8C621" w:rsidR="00245CC8" w:rsidRDefault="00245CC8" w:rsidP="00426028">
      <w:pPr>
        <w:pStyle w:val="Lijstalinea"/>
        <w:suppressAutoHyphens/>
        <w:overflowPunct w:val="0"/>
        <w:autoSpaceDE w:val="0"/>
        <w:autoSpaceDN w:val="0"/>
        <w:adjustRightInd w:val="0"/>
        <w:ind w:left="570" w:right="-1"/>
        <w:textAlignment w:val="baseline"/>
        <w:rPr>
          <w:rFonts w:cs="Calibri"/>
          <w:color w:val="000000"/>
        </w:rPr>
      </w:pPr>
      <w:r w:rsidRPr="00686C8D">
        <w:rPr>
          <w:color w:val="000000"/>
        </w:rPr>
        <w:t xml:space="preserve">Een verzoek tot indexering van </w:t>
      </w:r>
      <w:r w:rsidR="00710183">
        <w:rPr>
          <w:color w:val="000000"/>
        </w:rPr>
        <w:t>Wederpartij</w:t>
      </w:r>
      <w:r w:rsidRPr="00686C8D">
        <w:rPr>
          <w:color w:val="000000"/>
        </w:rPr>
        <w:t xml:space="preserve"> dient minimaal twee maanden vóór ingangsdatum schriftelijk te worden ingediend bij </w:t>
      </w:r>
      <w:r w:rsidRPr="00686C8D">
        <w:rPr>
          <w:rFonts w:cs="Calibri"/>
          <w:color w:val="000000"/>
        </w:rPr>
        <w:t>de contractmanager (</w:t>
      </w:r>
      <w:hyperlink r:id="rId11" w:history="1">
        <w:r w:rsidRPr="00DD5D66">
          <w:rPr>
            <w:rStyle w:val="Hyperlink"/>
          </w:rPr>
          <w:t>CM.RIS@rijksoverheid.nl</w:t>
        </w:r>
      </w:hyperlink>
      <w:r w:rsidRPr="00686C8D">
        <w:rPr>
          <w:rFonts w:cs="Calibri"/>
          <w:color w:val="000000"/>
        </w:rPr>
        <w:t>)</w:t>
      </w:r>
      <w:r>
        <w:rPr>
          <w:rFonts w:cs="Calibri"/>
          <w:color w:val="000000"/>
        </w:rPr>
        <w:t>.</w:t>
      </w:r>
    </w:p>
    <w:p w14:paraId="2E8C643B" w14:textId="77777777" w:rsidR="00245CC8" w:rsidRPr="00686C8D" w:rsidRDefault="00245CC8" w:rsidP="00426028">
      <w:pPr>
        <w:pStyle w:val="Lijstalinea"/>
        <w:suppressAutoHyphens/>
        <w:overflowPunct w:val="0"/>
        <w:autoSpaceDE w:val="0"/>
        <w:autoSpaceDN w:val="0"/>
        <w:adjustRightInd w:val="0"/>
        <w:ind w:left="570" w:right="-1"/>
        <w:textAlignment w:val="baseline"/>
        <w:rPr>
          <w:color w:val="000000"/>
        </w:rPr>
      </w:pPr>
    </w:p>
    <w:p w14:paraId="5AEE002D" w14:textId="15978A19" w:rsidR="00245CC8" w:rsidRDefault="00245CC8" w:rsidP="00426028">
      <w:pPr>
        <w:pStyle w:val="Lijstalinea"/>
        <w:suppressAutoHyphens/>
        <w:overflowPunct w:val="0"/>
        <w:autoSpaceDE w:val="0"/>
        <w:autoSpaceDN w:val="0"/>
        <w:adjustRightInd w:val="0"/>
        <w:ind w:left="570" w:right="-1"/>
        <w:textAlignment w:val="baseline"/>
        <w:rPr>
          <w:rFonts w:cs="Calibri"/>
          <w:color w:val="000000"/>
        </w:rPr>
      </w:pPr>
      <w:r w:rsidRPr="00686C8D">
        <w:rPr>
          <w:rFonts w:cs="Calibri"/>
          <w:color w:val="000000"/>
        </w:rPr>
        <w:t>U geeft in het indexeringsverzoek duidelijk de berekeningsmethode van het indexeringspercentage, met een afschrift (schermafdruk) van de gebruikte CBS-indexcijfers. Het indexatieverzoek is tevens voorzien van het contractnummer en onderwerp van d</w:t>
      </w:r>
      <w:r w:rsidR="00710183">
        <w:rPr>
          <w:rFonts w:cs="Calibri"/>
          <w:color w:val="000000"/>
        </w:rPr>
        <w:t>e</w:t>
      </w:r>
      <w:r w:rsidRPr="00686C8D">
        <w:rPr>
          <w:rFonts w:cs="Calibri"/>
          <w:color w:val="000000"/>
        </w:rPr>
        <w:t xml:space="preserve"> onderliggende Overeenkomst. De prijsaanpassingen worden pas geëffectueerd na schriftelijke goedkeuring door de contractmanager.</w:t>
      </w:r>
    </w:p>
    <w:p w14:paraId="7789A8E5" w14:textId="77777777" w:rsidR="00245CC8" w:rsidRPr="00686C8D" w:rsidRDefault="00245CC8" w:rsidP="00426028">
      <w:pPr>
        <w:pStyle w:val="Lijstalinea"/>
        <w:suppressAutoHyphens/>
        <w:overflowPunct w:val="0"/>
        <w:autoSpaceDE w:val="0"/>
        <w:autoSpaceDN w:val="0"/>
        <w:adjustRightInd w:val="0"/>
        <w:ind w:left="570" w:right="-1"/>
        <w:textAlignment w:val="baseline"/>
        <w:rPr>
          <w:rFonts w:cs="Calibri"/>
          <w:color w:val="000000"/>
        </w:rPr>
      </w:pPr>
    </w:p>
    <w:p w14:paraId="77213E44" w14:textId="77777777" w:rsidR="00245CC8" w:rsidRPr="00686C8D" w:rsidRDefault="00245CC8" w:rsidP="00426028">
      <w:pPr>
        <w:pStyle w:val="Lijstalinea"/>
        <w:suppressAutoHyphens/>
        <w:overflowPunct w:val="0"/>
        <w:autoSpaceDE w:val="0"/>
        <w:autoSpaceDN w:val="0"/>
        <w:adjustRightInd w:val="0"/>
        <w:ind w:left="570" w:right="-1"/>
        <w:textAlignment w:val="baseline"/>
        <w:rPr>
          <w:rFonts w:cs="Calibri"/>
          <w:color w:val="000000"/>
        </w:rPr>
      </w:pPr>
      <w:r w:rsidRPr="00686C8D">
        <w:rPr>
          <w:rFonts w:cs="Calibri"/>
          <w:color w:val="000000"/>
        </w:rPr>
        <w:t xml:space="preserve">Indien het indexeringsverzoek niet correct is ingediend, dan wordt deze geretourneerd en niet in behandeling genomen. Indexering achteraf van voorgaande perioden is niet mogelijk. </w:t>
      </w:r>
    </w:p>
    <w:p w14:paraId="4651B87A" w14:textId="515EB841" w:rsidR="00003ED0" w:rsidRDefault="00245CC8" w:rsidP="00426028">
      <w:pPr>
        <w:spacing w:line="276" w:lineRule="auto"/>
        <w:ind w:left="567"/>
        <w:rPr>
          <w:rFonts w:eastAsia="Calibri" w:cs="Times New Roman"/>
          <w:szCs w:val="22"/>
          <w:lang w:eastAsia="en-US"/>
        </w:rPr>
      </w:pPr>
      <w:r w:rsidRPr="00686C8D">
        <w:rPr>
          <w:color w:val="000000"/>
        </w:rPr>
        <w:t xml:space="preserve">De indexering is pas van kracht nadat Opdrachtgever schriftelijk instemt met het ingediende voorstel. Voorwaarde is dat de levering of dienstverlening over de voorgaande periode conform de gemaakte afspraken plaatsvond. Indien Wederpartij te laat is met zijn voorstel wordt er slechts geïndexeerd over de resterende tijd; er wordt </w:t>
      </w:r>
      <w:r w:rsidRPr="00686C8D">
        <w:rPr>
          <w:color w:val="000000"/>
          <w:u w:val="single"/>
        </w:rPr>
        <w:t>niet</w:t>
      </w:r>
      <w:r w:rsidRPr="00686C8D">
        <w:rPr>
          <w:color w:val="000000"/>
        </w:rPr>
        <w:t xml:space="preserve"> met terugwerkende kracht geïndexeerd.</w:t>
      </w:r>
    </w:p>
    <w:p w14:paraId="759EF203" w14:textId="77777777" w:rsidR="00003ED0" w:rsidRPr="00003ED0" w:rsidRDefault="00003ED0" w:rsidP="00426028">
      <w:pPr>
        <w:spacing w:line="276" w:lineRule="auto"/>
        <w:rPr>
          <w:lang w:val="nl"/>
        </w:rPr>
      </w:pPr>
    </w:p>
    <w:p w14:paraId="13F4DFC5" w14:textId="643F90A0" w:rsidR="00FB37A4" w:rsidRDefault="00FB37A4" w:rsidP="00426028">
      <w:pPr>
        <w:pStyle w:val="Kop1"/>
        <w:numPr>
          <w:ilvl w:val="0"/>
          <w:numId w:val="4"/>
        </w:numPr>
        <w:spacing w:line="276" w:lineRule="auto"/>
        <w:ind w:left="567" w:hanging="567"/>
      </w:pPr>
      <w:r>
        <w:t xml:space="preserve">Facturering, verschuldigheid en betaling </w:t>
      </w:r>
    </w:p>
    <w:p w14:paraId="1EA454DB" w14:textId="77777777" w:rsidR="00FB37A4" w:rsidRPr="00FB37A4" w:rsidRDefault="00FB37A4" w:rsidP="00426028">
      <w:pPr>
        <w:spacing w:line="276" w:lineRule="auto"/>
        <w:rPr>
          <w:lang w:val="nl"/>
        </w:rPr>
      </w:pPr>
    </w:p>
    <w:p w14:paraId="07974D4C" w14:textId="76C4DB09" w:rsidR="00FB37A4" w:rsidRDefault="00FB37A4" w:rsidP="00426028">
      <w:pPr>
        <w:pStyle w:val="Lijstalinea"/>
        <w:numPr>
          <w:ilvl w:val="1"/>
          <w:numId w:val="4"/>
        </w:numPr>
        <w:ind w:left="567" w:hanging="567"/>
        <w:rPr>
          <w:lang w:val="nl"/>
        </w:rPr>
      </w:pPr>
      <w:r>
        <w:rPr>
          <w:lang w:val="nl"/>
        </w:rPr>
        <w:t xml:space="preserve">De </w:t>
      </w:r>
      <w:r w:rsidRPr="00FB37A4">
        <w:rPr>
          <w:lang w:val="nl"/>
        </w:rPr>
        <w:t xml:space="preserve">Vergoeding als bedoeld in artikel 7 is verschuldigd </w:t>
      </w:r>
      <w:r w:rsidRPr="00245CC8">
        <w:rPr>
          <w:lang w:val="nl"/>
        </w:rPr>
        <w:t xml:space="preserve">vanaf </w:t>
      </w:r>
      <w:r w:rsidR="00AF03CB" w:rsidRPr="00245CC8">
        <w:rPr>
          <w:lang w:val="nl"/>
        </w:rPr>
        <w:t>1 januari</w:t>
      </w:r>
      <w:r w:rsidRPr="00245CC8">
        <w:rPr>
          <w:lang w:val="nl"/>
        </w:rPr>
        <w:t xml:space="preserve"> </w:t>
      </w:r>
      <w:r w:rsidR="00230E4D">
        <w:rPr>
          <w:lang w:val="nl"/>
        </w:rPr>
        <w:t>.</w:t>
      </w:r>
    </w:p>
    <w:p w14:paraId="7EF97968" w14:textId="77777777" w:rsidR="00FB37A4" w:rsidRDefault="00FB37A4" w:rsidP="00426028">
      <w:pPr>
        <w:pStyle w:val="Lijstalinea"/>
        <w:ind w:left="567"/>
        <w:rPr>
          <w:lang w:val="nl"/>
        </w:rPr>
      </w:pPr>
    </w:p>
    <w:p w14:paraId="5B3E5B8D" w14:textId="4ECD29A1" w:rsidR="00FB37A4" w:rsidRDefault="00FB37A4" w:rsidP="00426028">
      <w:pPr>
        <w:pStyle w:val="Lijstalinea"/>
        <w:numPr>
          <w:ilvl w:val="1"/>
          <w:numId w:val="4"/>
        </w:numPr>
        <w:ind w:left="567" w:hanging="567"/>
        <w:rPr>
          <w:lang w:val="nl"/>
        </w:rPr>
      </w:pPr>
      <w:r>
        <w:rPr>
          <w:lang w:val="nl"/>
        </w:rPr>
        <w:t xml:space="preserve">Een </w:t>
      </w:r>
      <w:r w:rsidRPr="00FB37A4">
        <w:rPr>
          <w:lang w:val="nl"/>
        </w:rPr>
        <w:t>factuur dient de volgende gegevens te bevatten:</w:t>
      </w:r>
    </w:p>
    <w:p w14:paraId="681B0B0C" w14:textId="0A90BA12" w:rsidR="00FB37A4" w:rsidRPr="00414A13" w:rsidRDefault="00FB37A4" w:rsidP="00426028">
      <w:pPr>
        <w:pStyle w:val="Lijstalinea"/>
        <w:numPr>
          <w:ilvl w:val="0"/>
          <w:numId w:val="12"/>
        </w:numPr>
        <w:ind w:left="993"/>
      </w:pPr>
      <w:r w:rsidRPr="00414A13">
        <w:t>factuurdatum</w:t>
      </w:r>
    </w:p>
    <w:p w14:paraId="7083ABB7" w14:textId="6D3EE894" w:rsidR="00FB37A4" w:rsidRPr="00414A13" w:rsidRDefault="00FB37A4" w:rsidP="00426028">
      <w:pPr>
        <w:pStyle w:val="Lijstalinea"/>
        <w:numPr>
          <w:ilvl w:val="0"/>
          <w:numId w:val="12"/>
        </w:numPr>
        <w:ind w:left="993"/>
      </w:pPr>
      <w:r w:rsidRPr="00414A13">
        <w:t>hoogte van de Vergoeding</w:t>
      </w:r>
    </w:p>
    <w:p w14:paraId="065F7BF4" w14:textId="216D5DC5" w:rsidR="00FB37A4" w:rsidRPr="00414A13" w:rsidRDefault="00FB37A4" w:rsidP="00426028">
      <w:pPr>
        <w:pStyle w:val="Lijstalinea"/>
        <w:numPr>
          <w:ilvl w:val="0"/>
          <w:numId w:val="12"/>
        </w:numPr>
        <w:ind w:left="993"/>
      </w:pPr>
      <w:r w:rsidRPr="00414A13">
        <w:t>verschuldigde BTW</w:t>
      </w:r>
    </w:p>
    <w:p w14:paraId="1822E57B" w14:textId="7BB30689" w:rsidR="00FB37A4" w:rsidRPr="00414A13" w:rsidRDefault="00FB37A4" w:rsidP="00426028">
      <w:pPr>
        <w:pStyle w:val="Lijstalinea"/>
        <w:numPr>
          <w:ilvl w:val="0"/>
          <w:numId w:val="12"/>
        </w:numPr>
        <w:ind w:left="993"/>
      </w:pPr>
      <w:r w:rsidRPr="00414A13">
        <w:t>contractnummer</w:t>
      </w:r>
    </w:p>
    <w:p w14:paraId="0DCA6F1C" w14:textId="1E0EA9E9" w:rsidR="00FB37A4" w:rsidRPr="00414A13" w:rsidRDefault="00FB37A4" w:rsidP="00426028">
      <w:pPr>
        <w:pStyle w:val="Lijstalinea"/>
        <w:numPr>
          <w:ilvl w:val="0"/>
          <w:numId w:val="12"/>
        </w:numPr>
        <w:ind w:left="993"/>
      </w:pPr>
      <w:r>
        <w:t>orderreferentie</w:t>
      </w:r>
    </w:p>
    <w:p w14:paraId="30D8639E" w14:textId="77777777" w:rsidR="006F7B0E" w:rsidRPr="006F7B0E" w:rsidRDefault="006F7B0E" w:rsidP="00426028">
      <w:pPr>
        <w:pStyle w:val="Lijstalinea"/>
        <w:ind w:left="567"/>
        <w:rPr>
          <w:lang w:val="nl"/>
        </w:rPr>
      </w:pPr>
    </w:p>
    <w:p w14:paraId="6999105E" w14:textId="55B8D2FD" w:rsidR="006F7B0E" w:rsidRDefault="00FB37A4" w:rsidP="00426028">
      <w:pPr>
        <w:pStyle w:val="Lijstalinea"/>
        <w:ind w:left="567"/>
      </w:pPr>
      <w:r w:rsidRPr="00230E4D">
        <w:rPr>
          <w:lang w:val="nl"/>
        </w:rPr>
        <w:t>Wederpartij is verplicht de factuur als e-factuur in te dienen. Vermeld op de e-factuur altijd de orderreferentie (verplichtingnummer of inkoopordernummer) welke op de bestelorder, opdrachtbevestiging of getekende Overeenkomst is vermeld.</w:t>
      </w:r>
      <w:r w:rsidRPr="00FB37A4">
        <w:t xml:space="preserve"> </w:t>
      </w:r>
      <w:r w:rsidRPr="00FB37A4">
        <w:rPr>
          <w:lang w:val="nl"/>
        </w:rPr>
        <w:t xml:space="preserve">Neem de orderreferentie exact over, zonder toevoegingen of wijzigingen. Alleen dan kan de e-factuur worden verwerkt. </w:t>
      </w:r>
    </w:p>
    <w:p w14:paraId="52F0BF57" w14:textId="77777777" w:rsidR="006F7B0E" w:rsidRDefault="006F7B0E" w:rsidP="00426028">
      <w:pPr>
        <w:pStyle w:val="Lijstalinea"/>
        <w:ind w:left="567"/>
      </w:pPr>
    </w:p>
    <w:p w14:paraId="7B811DFD" w14:textId="42CAEF38" w:rsidR="00FB37A4" w:rsidRDefault="006F7B0E" w:rsidP="00426028">
      <w:pPr>
        <w:pStyle w:val="Lijstalinea"/>
        <w:ind w:left="567"/>
        <w:rPr>
          <w:lang w:val="nl"/>
        </w:rPr>
      </w:pPr>
      <w:r w:rsidRPr="00245CC8">
        <w:rPr>
          <w:lang w:val="nl"/>
        </w:rPr>
        <w:t xml:space="preserve">Gebruik voor het indienen van de e-factuur aan – </w:t>
      </w:r>
      <w:r w:rsidR="00B41270" w:rsidRPr="00245CC8">
        <w:rPr>
          <w:lang w:val="nl"/>
        </w:rPr>
        <w:t>Ministerie van Volksgezondheid, Welzijn en Sport – Inspectie gezondheidszorg en Jeugd</w:t>
      </w:r>
      <w:r w:rsidRPr="00245CC8">
        <w:rPr>
          <w:lang w:val="nl"/>
        </w:rPr>
        <w:t xml:space="preserve"> - het volgende organisatie-identificatienummer (OIN): - </w:t>
      </w:r>
      <w:r w:rsidR="00B41270" w:rsidRPr="00245CC8">
        <w:rPr>
          <w:lang w:val="nl"/>
        </w:rPr>
        <w:t>00000002003182447001</w:t>
      </w:r>
    </w:p>
    <w:p w14:paraId="43BC5E4E" w14:textId="77777777" w:rsidR="0047620D" w:rsidRDefault="0047620D" w:rsidP="00426028">
      <w:pPr>
        <w:pStyle w:val="Lijstalinea"/>
        <w:ind w:left="567"/>
        <w:rPr>
          <w:lang w:val="nl"/>
        </w:rPr>
      </w:pPr>
    </w:p>
    <w:p w14:paraId="7CDD39F4" w14:textId="77777777" w:rsidR="0047620D" w:rsidRDefault="0047620D" w:rsidP="00426028">
      <w:pPr>
        <w:pStyle w:val="Lijstalinea"/>
        <w:ind w:left="567"/>
        <w:rPr>
          <w:lang w:val="nl"/>
        </w:rPr>
      </w:pPr>
    </w:p>
    <w:p w14:paraId="3963F7AA" w14:textId="77777777" w:rsidR="0047620D" w:rsidRDefault="0047620D" w:rsidP="00426028">
      <w:pPr>
        <w:pStyle w:val="Lijstalinea"/>
        <w:ind w:left="567"/>
        <w:rPr>
          <w:lang w:val="nl"/>
        </w:rPr>
      </w:pPr>
    </w:p>
    <w:p w14:paraId="4DDAF985" w14:textId="77777777" w:rsidR="0047620D" w:rsidRDefault="0047620D" w:rsidP="00426028">
      <w:pPr>
        <w:pStyle w:val="Lijstalinea"/>
        <w:ind w:left="567"/>
        <w:rPr>
          <w:lang w:val="nl"/>
        </w:rPr>
      </w:pPr>
    </w:p>
    <w:p w14:paraId="0BF230C3" w14:textId="10B4C3AB" w:rsidR="00AE43CE" w:rsidRPr="004A424B" w:rsidRDefault="00AE43CE" w:rsidP="00426028">
      <w:pPr>
        <w:pStyle w:val="Kop1"/>
        <w:numPr>
          <w:ilvl w:val="0"/>
          <w:numId w:val="4"/>
        </w:numPr>
        <w:spacing w:line="276" w:lineRule="auto"/>
        <w:ind w:left="567" w:hanging="567"/>
      </w:pPr>
      <w:r w:rsidRPr="004A424B">
        <w:t>Social return</w:t>
      </w:r>
    </w:p>
    <w:p w14:paraId="65457231" w14:textId="77777777" w:rsidR="00AE43CE" w:rsidRPr="004A424B" w:rsidRDefault="00AE43CE" w:rsidP="00426028">
      <w:pPr>
        <w:spacing w:line="276" w:lineRule="auto"/>
      </w:pPr>
    </w:p>
    <w:p w14:paraId="731038AC" w14:textId="62CFAD14" w:rsidR="00AE43CE" w:rsidRPr="004A424B" w:rsidRDefault="00C9193D" w:rsidP="00426028">
      <w:pPr>
        <w:pStyle w:val="Lijstalinea"/>
        <w:numPr>
          <w:ilvl w:val="1"/>
          <w:numId w:val="4"/>
        </w:numPr>
        <w:ind w:left="567" w:hanging="567"/>
      </w:pPr>
      <w:r>
        <w:t>Wederpartij</w:t>
      </w:r>
      <w:r w:rsidR="00AE43CE" w:rsidRPr="004A424B">
        <w:t xml:space="preserve"> besteedt </w:t>
      </w:r>
      <w:r w:rsidR="00AE43CE" w:rsidRPr="00245CC8">
        <w:t>gedurende de looptijd van de Overeenkomst jaarlijks</w:t>
      </w:r>
      <w:r w:rsidR="002F16F6" w:rsidRPr="00245CC8">
        <w:t xml:space="preserve"> </w:t>
      </w:r>
      <w:r w:rsidR="00233A7D" w:rsidRPr="00245CC8">
        <w:br/>
      </w:r>
      <w:r w:rsidR="008663A4" w:rsidRPr="00245CC8">
        <w:t>2</w:t>
      </w:r>
      <w:r w:rsidR="00AE43CE" w:rsidRPr="00245CC8">
        <w:t>% van de opdrachtwaarde</w:t>
      </w:r>
      <w:r w:rsidR="00AF03CB" w:rsidRPr="00245CC8">
        <w:t xml:space="preserve"> </w:t>
      </w:r>
      <w:r w:rsidR="00AE43CE" w:rsidRPr="00245CC8">
        <w:t>aan extra werk(ervarings)plaatsen voor mensen behorende uit de doelgroepen zoals beschreven in het Beschrijvend document</w:t>
      </w:r>
      <w:r w:rsidR="00890D09" w:rsidRPr="00245CC8">
        <w:t>.</w:t>
      </w:r>
      <w:r w:rsidR="00245CC8" w:rsidRPr="004A424B">
        <w:t xml:space="preserve"> </w:t>
      </w:r>
    </w:p>
    <w:p w14:paraId="505B0942" w14:textId="22D5FB57" w:rsidR="009504A6" w:rsidRPr="004A424B" w:rsidRDefault="000938F4" w:rsidP="00426028">
      <w:pPr>
        <w:pStyle w:val="Kop1"/>
        <w:numPr>
          <w:ilvl w:val="0"/>
          <w:numId w:val="4"/>
        </w:numPr>
        <w:spacing w:line="276" w:lineRule="auto"/>
        <w:ind w:left="567" w:hanging="567"/>
      </w:pPr>
      <w:r>
        <w:t>Algemene en bijzondere voorwaarde</w:t>
      </w:r>
      <w:r w:rsidR="009504A6" w:rsidRPr="004A424B">
        <w:t>n</w:t>
      </w:r>
    </w:p>
    <w:p w14:paraId="4F7EFCAC" w14:textId="77777777" w:rsidR="009504A6" w:rsidRPr="004A424B" w:rsidRDefault="009504A6" w:rsidP="00426028">
      <w:pPr>
        <w:spacing w:line="276" w:lineRule="auto"/>
      </w:pPr>
    </w:p>
    <w:p w14:paraId="1171187B" w14:textId="77777777" w:rsidR="000938F4" w:rsidRDefault="000938F4" w:rsidP="00426028">
      <w:pPr>
        <w:pStyle w:val="Lijstalinea"/>
        <w:numPr>
          <w:ilvl w:val="1"/>
          <w:numId w:val="4"/>
        </w:numPr>
        <w:ind w:left="567" w:hanging="567"/>
      </w:pPr>
      <w:r>
        <w:t xml:space="preserve">De </w:t>
      </w:r>
      <w:r w:rsidRPr="000938F4">
        <w:t>toepasselijkheid van algemene en bijzondere voorwaarden van Wederpartij dan wel van door Wederpartij bij het verrichten van de Prestatie te betrekken derden, is uitgesloten.</w:t>
      </w:r>
    </w:p>
    <w:p w14:paraId="3A7E47A9" w14:textId="77777777" w:rsidR="000938F4" w:rsidRDefault="000938F4" w:rsidP="00426028">
      <w:pPr>
        <w:pStyle w:val="Lijstalinea"/>
        <w:ind w:left="567"/>
      </w:pPr>
    </w:p>
    <w:p w14:paraId="7623E390" w14:textId="0A31CBD2" w:rsidR="000938F4" w:rsidRDefault="000938F4" w:rsidP="00426028">
      <w:pPr>
        <w:pStyle w:val="Lijstalinea"/>
        <w:numPr>
          <w:ilvl w:val="1"/>
          <w:numId w:val="4"/>
        </w:numPr>
        <w:ind w:left="567" w:hanging="567"/>
      </w:pPr>
      <w:r>
        <w:t xml:space="preserve">In afwijking van artikel 9.1 en </w:t>
      </w:r>
      <w:r w:rsidRPr="000938F4">
        <w:t>onverminderd het bepaalde in artikel 2.2, zijn tevens de licentievoorwaarden van Wederpartij dan wel van door Wederpartij bij het verrichten van de Prestatie te betrekken derden van toepassing indien en voor zover</w:t>
      </w:r>
      <w:r>
        <w:t>;</w:t>
      </w:r>
    </w:p>
    <w:p w14:paraId="7B8F096C" w14:textId="77777777" w:rsidR="000938F4" w:rsidRDefault="000938F4" w:rsidP="00426028">
      <w:pPr>
        <w:pStyle w:val="Lijstalinea"/>
        <w:numPr>
          <w:ilvl w:val="0"/>
          <w:numId w:val="12"/>
        </w:numPr>
        <w:ind w:left="993"/>
      </w:pPr>
      <w:r>
        <w:t xml:space="preserve">De toepasselijkheid daarvan niet in het Bestek is uitgesloten; </w:t>
      </w:r>
    </w:p>
    <w:p w14:paraId="79058B9F" w14:textId="64CA4CF8" w:rsidR="000938F4" w:rsidRDefault="000938F4" w:rsidP="00426028">
      <w:pPr>
        <w:pStyle w:val="Lijstalinea"/>
        <w:numPr>
          <w:ilvl w:val="0"/>
          <w:numId w:val="12"/>
        </w:numPr>
        <w:ind w:left="993"/>
      </w:pPr>
      <w:r>
        <w:t xml:space="preserve">Wederpartij </w:t>
      </w:r>
      <w:r w:rsidRPr="000938F4">
        <w:t>(a) de toepasselijkheid daarvan expliciet heeft bedongen (b) een exemplaar van de betreffende voorwaarden bij de Offerte is gevoegd en (c) deze daarvan expliciet onderdeel uitmaken, en</w:t>
      </w:r>
      <w:r>
        <w:t>;</w:t>
      </w:r>
    </w:p>
    <w:p w14:paraId="273B08EB" w14:textId="4546A214" w:rsidR="000938F4" w:rsidRDefault="000938F4" w:rsidP="00426028">
      <w:pPr>
        <w:pStyle w:val="Lijstalinea"/>
        <w:numPr>
          <w:ilvl w:val="0"/>
          <w:numId w:val="12"/>
        </w:numPr>
        <w:ind w:left="993"/>
      </w:pPr>
      <w:r>
        <w:t xml:space="preserve">Het </w:t>
      </w:r>
      <w:r w:rsidRPr="000938F4">
        <w:t>Overeengekomen gebruik daardoor niet wordt uitgesloten of beperkt en;</w:t>
      </w:r>
    </w:p>
    <w:p w14:paraId="21AEBDC8" w14:textId="3A0CDB3B" w:rsidR="000938F4" w:rsidRDefault="000938F4" w:rsidP="00426028">
      <w:pPr>
        <w:pStyle w:val="Lijstalinea"/>
        <w:numPr>
          <w:ilvl w:val="0"/>
          <w:numId w:val="12"/>
        </w:numPr>
        <w:ind w:left="993"/>
      </w:pPr>
      <w:r>
        <w:t xml:space="preserve">Wederpartij </w:t>
      </w:r>
      <w:r w:rsidRPr="000938F4">
        <w:t xml:space="preserve">kan aantonen dat de rechten van Opdrachtgever uit hoofde van de Overeenkomst daardoor niet worden verminderd dan wel diens uit de Overeenkomst </w:t>
      </w:r>
      <w:r>
        <w:t>v</w:t>
      </w:r>
      <w:r w:rsidRPr="000938F4">
        <w:t>oortvloeiende verplichtingen daardoor niet onredelijk worden verzwaard</w:t>
      </w:r>
      <w:r>
        <w:t>.</w:t>
      </w:r>
    </w:p>
    <w:p w14:paraId="20AC731D" w14:textId="77777777" w:rsidR="000938F4" w:rsidRDefault="000938F4" w:rsidP="00426028">
      <w:pPr>
        <w:pStyle w:val="Lijstalinea"/>
        <w:ind w:left="993"/>
      </w:pPr>
    </w:p>
    <w:p w14:paraId="69F15DC4" w14:textId="77777777" w:rsidR="000938F4" w:rsidRDefault="000938F4" w:rsidP="00426028">
      <w:pPr>
        <w:pStyle w:val="Lijstalinea"/>
        <w:numPr>
          <w:ilvl w:val="1"/>
          <w:numId w:val="4"/>
        </w:numPr>
        <w:ind w:left="567" w:hanging="567"/>
      </w:pPr>
      <w:r>
        <w:t xml:space="preserve">De voor </w:t>
      </w:r>
      <w:r w:rsidRPr="000938F4">
        <w:t>het gebruik van de Prestatie vereiste acceptatie van algemene of bijzondere voorwaarden, zoals bijvoorbeeld bij “shrink-wrap”- en “click-wrap” licenties, bindt Opdrachtgever niet. Wederpartij vrijwaart Opdrachtgever dat dergelijke acceptaties leiden tot enige beperking op het Overeengekomen gebruik.</w:t>
      </w:r>
    </w:p>
    <w:p w14:paraId="47799B25" w14:textId="77777777" w:rsidR="000938F4" w:rsidRDefault="000938F4" w:rsidP="00426028">
      <w:pPr>
        <w:pStyle w:val="Lijstalinea"/>
        <w:ind w:left="567"/>
      </w:pPr>
    </w:p>
    <w:p w14:paraId="5C42B611" w14:textId="542FB5A0" w:rsidR="009504A6" w:rsidRPr="004A424B" w:rsidRDefault="000938F4" w:rsidP="00426028">
      <w:pPr>
        <w:pStyle w:val="Lijstalinea"/>
        <w:numPr>
          <w:ilvl w:val="1"/>
          <w:numId w:val="4"/>
        </w:numPr>
        <w:ind w:left="567" w:hanging="567"/>
      </w:pPr>
      <w:r>
        <w:t xml:space="preserve">Een </w:t>
      </w:r>
      <w:r w:rsidRPr="000938F4">
        <w:t>exemplaar van de Voorwaarden is bij de Overeenkomst gevoegd.</w:t>
      </w:r>
    </w:p>
    <w:p w14:paraId="064F9E2B" w14:textId="1F9562CE" w:rsidR="009504A6" w:rsidRPr="004A424B" w:rsidRDefault="000938F4" w:rsidP="00426028">
      <w:pPr>
        <w:pStyle w:val="Kop1"/>
        <w:numPr>
          <w:ilvl w:val="0"/>
          <w:numId w:val="4"/>
        </w:numPr>
        <w:spacing w:line="276" w:lineRule="auto"/>
        <w:ind w:left="567" w:hanging="567"/>
      </w:pPr>
      <w:r>
        <w:t xml:space="preserve">Overige bepalingen </w:t>
      </w:r>
    </w:p>
    <w:p w14:paraId="377391FE" w14:textId="77777777" w:rsidR="009504A6" w:rsidRPr="004A424B" w:rsidRDefault="009504A6" w:rsidP="00426028">
      <w:pPr>
        <w:spacing w:line="276" w:lineRule="auto"/>
      </w:pPr>
    </w:p>
    <w:p w14:paraId="67B483DB" w14:textId="78438263" w:rsidR="00BE7E65" w:rsidRDefault="000938F4" w:rsidP="00426028">
      <w:pPr>
        <w:pStyle w:val="Lijstalinea"/>
        <w:numPr>
          <w:ilvl w:val="1"/>
          <w:numId w:val="4"/>
        </w:numPr>
        <w:ind w:left="567" w:hanging="567"/>
      </w:pPr>
      <w:r>
        <w:t>Onder</w:t>
      </w:r>
      <w:r w:rsidRPr="000938F4">
        <w:t xml:space="preserve"> geheimhouding als bepaald in artikel 17 van de ARBIT-2022 valt geen informatie over (de voortgang van) de Opdracht die Opdrachtgever dient aan te leveren voor het Rijks ICT-dashboard.</w:t>
      </w:r>
      <w:r>
        <w:t xml:space="preserve"> </w:t>
      </w:r>
    </w:p>
    <w:p w14:paraId="5CBA97A8" w14:textId="77777777" w:rsidR="00230E4D" w:rsidRDefault="00230E4D" w:rsidP="00426028">
      <w:pPr>
        <w:pStyle w:val="Lijstalinea"/>
        <w:ind w:left="567"/>
      </w:pPr>
    </w:p>
    <w:p w14:paraId="2AB67CEA" w14:textId="3CF82D01" w:rsidR="000938F4" w:rsidRPr="004A424B" w:rsidRDefault="000938F4" w:rsidP="00426028">
      <w:pPr>
        <w:pStyle w:val="Lijstalinea"/>
        <w:numPr>
          <w:ilvl w:val="1"/>
          <w:numId w:val="4"/>
        </w:numPr>
        <w:ind w:left="567" w:hanging="567"/>
      </w:pPr>
      <w:r w:rsidRPr="000938F4">
        <w:t xml:space="preserve">Indien de Prestatie mede de levering omvat van een AI-systeem met een hoog risico voor de gezondheid en veiligheid of de grondrechten van personen dan geldt daarvoor het bepaalde in de </w:t>
      </w:r>
      <w:r w:rsidRPr="000938F4">
        <w:rPr>
          <w:highlight w:val="lightGray"/>
        </w:rPr>
        <w:t>[nader overeen te komen]</w:t>
      </w:r>
      <w:r w:rsidRPr="000938F4">
        <w:t xml:space="preserve"> Bijlage AI.</w:t>
      </w:r>
      <w:r>
        <w:br/>
      </w:r>
    </w:p>
    <w:p w14:paraId="06844CE8" w14:textId="176B984D" w:rsidR="000938F4" w:rsidRDefault="000938F4" w:rsidP="00426028">
      <w:pPr>
        <w:pStyle w:val="Lijstalinea"/>
        <w:numPr>
          <w:ilvl w:val="1"/>
          <w:numId w:val="4"/>
        </w:numPr>
        <w:ind w:left="567" w:hanging="567"/>
      </w:pPr>
      <w:r>
        <w:t>I</w:t>
      </w:r>
      <w:r w:rsidRPr="000938F4">
        <w:t xml:space="preserve">n de artikelen 3, 12.3 en 31 van de ARBIT-2022 wordt onder ‘schriftelijk’ mede elektronische communicatie verstaan. </w:t>
      </w:r>
      <w:r>
        <w:t xml:space="preserve"> </w:t>
      </w:r>
      <w:r w:rsidR="003B3D28">
        <w:br/>
      </w:r>
    </w:p>
    <w:p w14:paraId="0E47BDCB" w14:textId="268DC6C6" w:rsidR="003B3D28" w:rsidRDefault="003B3D28" w:rsidP="003B3D28">
      <w:pPr>
        <w:pStyle w:val="Lijstalinea"/>
        <w:numPr>
          <w:ilvl w:val="1"/>
          <w:numId w:val="4"/>
        </w:numPr>
        <w:ind w:left="567" w:hanging="567"/>
      </w:pPr>
      <w:r w:rsidRPr="00181686">
        <w:t xml:space="preserve">Opdrachtnemer verkeert niet in verzuim en is niet aansprakelijk voor vertragingen in de nakoming van zijn verplichtingen voor zover die vertragingen aantoonbaar het gevolg zijn van handelingen of nalatigheden van SSC-ICT, mits Opdrachtnemer de Opdrachtgever hierover onverwijld schriftelijk informeert. In dat geval worden de </w:t>
      </w:r>
      <w:r w:rsidR="00CA1838">
        <w:t>streef</w:t>
      </w:r>
      <w:r w:rsidRPr="00181686">
        <w:t>termijnen</w:t>
      </w:r>
      <w:r w:rsidR="00137715">
        <w:t xml:space="preserve">/ </w:t>
      </w:r>
      <w:r w:rsidR="00137715">
        <w:lastRenderedPageBreak/>
        <w:t>streefdata</w:t>
      </w:r>
      <w:r w:rsidRPr="00181686">
        <w:t xml:space="preserve"> van rechtswege verlengd met de duur van de vertraging die aan SSC-ICT is toe te rekenen.</w:t>
      </w:r>
    </w:p>
    <w:p w14:paraId="0493046C" w14:textId="77777777" w:rsidR="001D0FA8" w:rsidRDefault="001D0FA8" w:rsidP="00426028">
      <w:pPr>
        <w:pStyle w:val="Kop1"/>
        <w:numPr>
          <w:ilvl w:val="0"/>
          <w:numId w:val="4"/>
        </w:numPr>
        <w:spacing w:line="276" w:lineRule="auto"/>
        <w:ind w:left="567" w:hanging="567"/>
      </w:pPr>
      <w:bookmarkStart w:id="8" w:name="_Toc397950423"/>
      <w:r w:rsidRPr="00414A13">
        <w:t>Overige bepalingen</w:t>
      </w:r>
      <w:bookmarkEnd w:id="8"/>
      <w:r>
        <w:t xml:space="preserve"> ten aanzien van de ARBIT-voorwaarden 2022</w:t>
      </w:r>
    </w:p>
    <w:p w14:paraId="171D5E81" w14:textId="77777777" w:rsidR="001D0FA8" w:rsidRDefault="001D0FA8" w:rsidP="00426028">
      <w:pPr>
        <w:spacing w:line="276" w:lineRule="auto"/>
      </w:pPr>
    </w:p>
    <w:p w14:paraId="5CBF4856" w14:textId="77777777" w:rsidR="001D0FA8" w:rsidRPr="00263AC6" w:rsidRDefault="001D0FA8" w:rsidP="00426028">
      <w:pPr>
        <w:pStyle w:val="Lijstalinea"/>
        <w:numPr>
          <w:ilvl w:val="0"/>
          <w:numId w:val="25"/>
        </w:numPr>
        <w:spacing w:after="0"/>
        <w:contextualSpacing w:val="0"/>
      </w:pPr>
      <w:r w:rsidRPr="00F65E17">
        <w:rPr>
          <w:b/>
          <w:bCs/>
        </w:rPr>
        <w:t>Zoals bepaald in artikel 8 van de ARBIT-2022 berusten alle intellectuele eigendomsrechten die kunnen worden uitgeoefend ten aanzien van de Prestatie</w:t>
      </w:r>
      <w:r w:rsidRPr="00263AC6">
        <w:t>:</w:t>
      </w:r>
    </w:p>
    <w:p w14:paraId="31470467" w14:textId="77777777" w:rsidR="001D0FA8" w:rsidRPr="00263AC6" w:rsidRDefault="001D0FA8" w:rsidP="00426028">
      <w:pPr>
        <w:pStyle w:val="Lijstalinea"/>
        <w:numPr>
          <w:ilvl w:val="0"/>
          <w:numId w:val="24"/>
        </w:numPr>
        <w:spacing w:after="0"/>
        <w:contextualSpacing w:val="0"/>
      </w:pPr>
      <w:r w:rsidRPr="00263AC6">
        <w:t>bij Opdrachtgever voor zover het een Prestatie betreft die specifiek voor Opdrachtgever is of wordt ontworpen of vervaardigd en/of onder leiding of toezicht van Opdrachtgever dan wel aan de hand van diens instructies of ontwerpen is of wordt gerealiseerd;</w:t>
      </w:r>
    </w:p>
    <w:p w14:paraId="0C80B23F" w14:textId="77777777" w:rsidR="001D0FA8" w:rsidRPr="00263AC6" w:rsidRDefault="001D0FA8" w:rsidP="00426028">
      <w:pPr>
        <w:pStyle w:val="Lijstalinea"/>
        <w:numPr>
          <w:ilvl w:val="0"/>
          <w:numId w:val="24"/>
        </w:numPr>
        <w:spacing w:after="0"/>
        <w:contextualSpacing w:val="0"/>
      </w:pPr>
      <w:r w:rsidRPr="00263AC6">
        <w:t>bij Wederpartij of een derde in alle overige gevallen. Wederpartij verleent in dat geval aan Opdrachtgever een niet exclusief recht tot gebruik van de Prestatie dat in ieder geval toereikend is voor nakoming van de Overeenkomst.</w:t>
      </w:r>
    </w:p>
    <w:p w14:paraId="4042D1A9" w14:textId="77777777" w:rsidR="001D0FA8" w:rsidRPr="00263AC6" w:rsidRDefault="001D0FA8" w:rsidP="00426028">
      <w:pPr>
        <w:pStyle w:val="Lijstalinea"/>
        <w:ind w:left="570"/>
      </w:pPr>
    </w:p>
    <w:p w14:paraId="5E7211C4" w14:textId="77777777" w:rsidR="001D0FA8" w:rsidRDefault="001D0FA8" w:rsidP="00426028">
      <w:pPr>
        <w:pStyle w:val="Lijstalinea"/>
        <w:ind w:left="947"/>
      </w:pPr>
    </w:p>
    <w:p w14:paraId="59207015" w14:textId="77777777" w:rsidR="001D0FA8" w:rsidRDefault="001D0FA8" w:rsidP="00426028">
      <w:pPr>
        <w:pStyle w:val="Lijstalinea"/>
        <w:numPr>
          <w:ilvl w:val="0"/>
          <w:numId w:val="25"/>
        </w:numPr>
        <w:spacing w:after="0"/>
        <w:contextualSpacing w:val="0"/>
      </w:pPr>
      <w:r w:rsidRPr="000059FC">
        <w:rPr>
          <w:b/>
          <w:bCs/>
        </w:rPr>
        <w:t>In afwijking van artikel 8.1 en onverminderd het bepaalde in artikel 5.2 ARBIT 2022</w:t>
      </w:r>
      <w:r>
        <w:t>, kunnen tevens eindgebruikers licentievoorwaarden van Wederpartij of van een toeleverancier van Wederpartij geheel of gedeeltelijk van toepassing zijn, mits Wederpartij bij haar inschrijving expliciet een beroep heeft gedaan op de toepasselijkheid van deze eindgebruikers licentievoorwaarden. De toepasselijkheid van eindgebruikers licentievoorwaarden kent de volgende uitgangspunten:</w:t>
      </w:r>
    </w:p>
    <w:p w14:paraId="4C78B456" w14:textId="77777777" w:rsidR="001D0FA8" w:rsidRDefault="001D0FA8" w:rsidP="00426028">
      <w:pPr>
        <w:pStyle w:val="Lijstalinea"/>
        <w:numPr>
          <w:ilvl w:val="0"/>
          <w:numId w:val="26"/>
        </w:numPr>
        <w:spacing w:after="0"/>
        <w:contextualSpacing w:val="0"/>
      </w:pPr>
      <w:r>
        <w:t>De toepasselijkheid van eindgebruikers licentievoorwaarden betreft enkel gebruiksrecht specifieke bepalingen. Bij algemene onderwerpen die ook in de ARBIT-2022 voorwaarden zijn opgenomen prevaleert ARBIT-2022.</w:t>
      </w:r>
    </w:p>
    <w:p w14:paraId="4DAB37DC" w14:textId="77777777" w:rsidR="001D0FA8" w:rsidRDefault="001D0FA8" w:rsidP="00426028">
      <w:pPr>
        <w:pStyle w:val="Lijstalinea"/>
        <w:numPr>
          <w:ilvl w:val="0"/>
          <w:numId w:val="26"/>
        </w:numPr>
        <w:spacing w:after="0"/>
        <w:contextualSpacing w:val="0"/>
      </w:pPr>
      <w:r>
        <w:t>Het gebruiksrecht wordt niet uitgesloten of beperkt;</w:t>
      </w:r>
    </w:p>
    <w:p w14:paraId="3C8ACCFC" w14:textId="77777777" w:rsidR="001D0FA8" w:rsidRPr="00F04903" w:rsidRDefault="001D0FA8" w:rsidP="00426028">
      <w:pPr>
        <w:pStyle w:val="Lijstalinea"/>
        <w:numPr>
          <w:ilvl w:val="0"/>
          <w:numId w:val="26"/>
        </w:numPr>
        <w:spacing w:after="0"/>
        <w:contextualSpacing w:val="0"/>
      </w:pPr>
      <w:r>
        <w:t>Wederpartij kan aantonen dat de rechten van Opdrachtgever uit hoofde van de Overeenkomst daardoor niet worden verminderd dan wel diens uit de Overeenkomst voortvloeiende verplichtingen daardoor niet onredelijk worden verzwaard</w:t>
      </w:r>
    </w:p>
    <w:p w14:paraId="33E6C620" w14:textId="77777777" w:rsidR="001D0FA8" w:rsidRPr="00F65E17" w:rsidRDefault="001D0FA8" w:rsidP="00426028">
      <w:pPr>
        <w:pStyle w:val="Lijstalinea"/>
        <w:ind w:left="1667"/>
      </w:pPr>
    </w:p>
    <w:p w14:paraId="374B86A7" w14:textId="77777777" w:rsidR="001D0FA8" w:rsidRDefault="001D0FA8" w:rsidP="00426028">
      <w:pPr>
        <w:pStyle w:val="Lijstalinea"/>
        <w:numPr>
          <w:ilvl w:val="0"/>
          <w:numId w:val="25"/>
        </w:numPr>
        <w:spacing w:after="0"/>
        <w:contextualSpacing w:val="0"/>
      </w:pPr>
      <w:r w:rsidRPr="00F65E17">
        <w:rPr>
          <w:b/>
          <w:bCs/>
        </w:rPr>
        <w:t>Artikel 8.7 komt te luiden als volgt</w:t>
      </w:r>
      <w:r>
        <w:t xml:space="preserve">: </w:t>
      </w:r>
    </w:p>
    <w:p w14:paraId="67798404" w14:textId="77777777" w:rsidR="001D0FA8" w:rsidRDefault="001D0FA8" w:rsidP="00426028">
      <w:pPr>
        <w:pStyle w:val="Lijstalinea"/>
        <w:ind w:left="947"/>
      </w:pPr>
      <w:r>
        <w:t xml:space="preserve">Onverminderd het bepaalde in artikel 8.5 en 8.6 kan Opdrachtgever, indien in rechte wordt vastgesteld dat het door Wederpartij geleverde Product inbreuk maakt op intellectuele eigendomsrechten van derden, en indien het voor Wederpartij in redelijkheid niet mogelijk is om de inbreuk op te heffen door zorg te dragen voor een gebruiksrecht of een vervangend gelijkwaardig Product of dusdanige aanpassingen in het geleverde Product dat de inbreuk ongedaan wordt gemaakt, de Overeenkomst buiten rechte geheel of gedeeltelijk ontbinden </w:t>
      </w:r>
      <w:r w:rsidRPr="0042424A">
        <w:t>onverminderd zijn verdere rechten jegens Wederpartij waaronder, maar niet beperkt tot, enig recht op schadevergoeding</w:t>
      </w:r>
      <w:r>
        <w:t>.</w:t>
      </w:r>
    </w:p>
    <w:p w14:paraId="3BCA7501" w14:textId="77777777" w:rsidR="001D0FA8" w:rsidRDefault="001D0FA8" w:rsidP="00426028">
      <w:pPr>
        <w:pStyle w:val="Lijstalinea"/>
        <w:ind w:left="570"/>
      </w:pPr>
    </w:p>
    <w:p w14:paraId="60F78240" w14:textId="77777777" w:rsidR="001D0FA8" w:rsidRPr="00F65E17" w:rsidRDefault="001D0FA8" w:rsidP="00426028">
      <w:pPr>
        <w:pStyle w:val="Lijstalinea"/>
        <w:numPr>
          <w:ilvl w:val="0"/>
          <w:numId w:val="25"/>
        </w:numPr>
        <w:spacing w:after="0"/>
        <w:contextualSpacing w:val="0"/>
      </w:pPr>
      <w:r>
        <w:rPr>
          <w:b/>
          <w:bCs/>
        </w:rPr>
        <w:t xml:space="preserve">Verduidelijking artikel 17: </w:t>
      </w:r>
    </w:p>
    <w:p w14:paraId="124CB7C1" w14:textId="77777777" w:rsidR="001D0FA8" w:rsidRDefault="001D0FA8" w:rsidP="00426028">
      <w:pPr>
        <w:pStyle w:val="Lijstalinea"/>
        <w:ind w:left="947"/>
      </w:pPr>
      <w:r w:rsidRPr="00613D21">
        <w:t>Onder geheimhouding als bepaald in artikel 17 van de ARBIT-2022 valt geen informatie over (de voortgang van) de Opdracht die Opdrachtgever dient aan te leveren voor het Rijks ICT-dashboard.</w:t>
      </w:r>
    </w:p>
    <w:p w14:paraId="24322D2C" w14:textId="77777777" w:rsidR="001D0FA8" w:rsidRDefault="001D0FA8" w:rsidP="00426028">
      <w:pPr>
        <w:pStyle w:val="Lijstalinea"/>
        <w:ind w:left="570"/>
      </w:pPr>
    </w:p>
    <w:p w14:paraId="33FBC475" w14:textId="77777777" w:rsidR="001D0FA8" w:rsidRDefault="001D0FA8" w:rsidP="00426028">
      <w:pPr>
        <w:pStyle w:val="Lijstalinea"/>
        <w:numPr>
          <w:ilvl w:val="0"/>
          <w:numId w:val="25"/>
        </w:numPr>
        <w:spacing w:after="0"/>
        <w:contextualSpacing w:val="0"/>
      </w:pPr>
      <w:r w:rsidRPr="00F65E17">
        <w:rPr>
          <w:b/>
          <w:bCs/>
        </w:rPr>
        <w:t>Artikel 17.3 komt te luiden als volgt:</w:t>
      </w:r>
      <w:r>
        <w:t xml:space="preserve"> </w:t>
      </w:r>
    </w:p>
    <w:p w14:paraId="5CAC7D51" w14:textId="77777777" w:rsidR="001D0FA8" w:rsidRDefault="001D0FA8" w:rsidP="00426028">
      <w:pPr>
        <w:spacing w:line="276" w:lineRule="auto"/>
        <w:ind w:left="947" w:firstLine="15"/>
      </w:pPr>
      <w:r w:rsidRPr="00807FE8">
        <w:t xml:space="preserve">Wederpartij </w:t>
      </w:r>
      <w:r>
        <w:t xml:space="preserve">informeert </w:t>
      </w:r>
      <w:r w:rsidRPr="00807FE8">
        <w:t xml:space="preserve">op verzoek van Opdrachtgever </w:t>
      </w:r>
      <w:r>
        <w:t>hoe en op welke wijze de vertrouwelijke informatie wordt bewaard en ge</w:t>
      </w:r>
      <w:r w:rsidRPr="00807FE8">
        <w:t>bruik</w:t>
      </w:r>
      <w:r>
        <w:t>t</w:t>
      </w:r>
      <w:r w:rsidRPr="00807FE8">
        <w:t xml:space="preserve"> door Wederpartij</w:t>
      </w:r>
      <w:r>
        <w:t>.</w:t>
      </w:r>
    </w:p>
    <w:p w14:paraId="60506AD5" w14:textId="77777777" w:rsidR="001D0FA8" w:rsidRDefault="001D0FA8" w:rsidP="00426028">
      <w:pPr>
        <w:pStyle w:val="Lijstalinea"/>
        <w:ind w:left="570"/>
      </w:pPr>
    </w:p>
    <w:p w14:paraId="081F687D" w14:textId="77777777" w:rsidR="001D0FA8" w:rsidRDefault="001D0FA8" w:rsidP="00426028">
      <w:pPr>
        <w:pStyle w:val="Lijstalinea"/>
        <w:numPr>
          <w:ilvl w:val="0"/>
          <w:numId w:val="25"/>
        </w:numPr>
        <w:spacing w:after="0"/>
        <w:contextualSpacing w:val="0"/>
      </w:pPr>
      <w:r w:rsidRPr="00F65E17">
        <w:rPr>
          <w:b/>
          <w:bCs/>
        </w:rPr>
        <w:t>Artikel 17.4 komt te luiden als volgt</w:t>
      </w:r>
      <w:r>
        <w:t>:</w:t>
      </w:r>
    </w:p>
    <w:p w14:paraId="37F84799" w14:textId="77777777" w:rsidR="001D0FA8" w:rsidRDefault="001D0FA8" w:rsidP="00426028">
      <w:pPr>
        <w:pStyle w:val="Lijstalinea"/>
        <w:ind w:left="947"/>
      </w:pPr>
      <w:r w:rsidRPr="001672E0">
        <w:t>Wederpartij stelt alle gegevens die zij in het kader van de uitvoering van de Overeenkomst onder zich heeft, inclusief eventueel daarvan gemaakte kopieën, op diens eerste verzoek aan Opdrachtgever ter beschikking</w:t>
      </w:r>
      <w:r>
        <w:t>. U</w:t>
      </w:r>
      <w:r w:rsidRPr="001672E0">
        <w:t>itsluitend om te voldoen aan verplichtingen bij of krachtens de wet of op grond van een uitspraak van de rechter kan - alleen voor intern gebruik - een afschrift van de relevante stukken worden aangehouden.</w:t>
      </w:r>
    </w:p>
    <w:p w14:paraId="352DDBEC" w14:textId="77777777" w:rsidR="00426028" w:rsidRPr="00426028" w:rsidRDefault="00426028" w:rsidP="00426028">
      <w:pPr>
        <w:pStyle w:val="Lijstalinea"/>
        <w:spacing w:after="0"/>
        <w:ind w:left="947"/>
        <w:contextualSpacing w:val="0"/>
      </w:pPr>
    </w:p>
    <w:p w14:paraId="5CF1A0BF" w14:textId="6BB5B6AC" w:rsidR="001D0FA8" w:rsidRDefault="001D0FA8" w:rsidP="00426028">
      <w:pPr>
        <w:pStyle w:val="Lijstalinea"/>
        <w:numPr>
          <w:ilvl w:val="0"/>
          <w:numId w:val="25"/>
        </w:numPr>
        <w:spacing w:after="0"/>
        <w:contextualSpacing w:val="0"/>
      </w:pPr>
      <w:r w:rsidRPr="000059FC">
        <w:rPr>
          <w:b/>
          <w:bCs/>
        </w:rPr>
        <w:t>Artikel 26.3 komt te luiden als volgt</w:t>
      </w:r>
      <w:r>
        <w:t xml:space="preserve">: </w:t>
      </w:r>
      <w:r w:rsidRPr="00011858">
        <w:t xml:space="preserve">De in artikel 26.1 bedoelde aansprakelijkheid voor schade anders dan die bedoeld in artikel 26.2 is beperkt tot </w:t>
      </w:r>
      <w:r w:rsidRPr="00B0333D">
        <w:t xml:space="preserve">tweemaal de jaarvergoeding per gebeurtenis. De totale aansprakelijkheid per jaar bedraagt evenwel nooit meer dan viermaal de jaarvergoeding (ongeacht het aantal gebeurtenissen). </w:t>
      </w:r>
      <w:r w:rsidRPr="00396357">
        <w:t>Alle schade die voortvloeit uit een schadeveroorzakende gebeurtenis in ee</w:t>
      </w:r>
      <w:r>
        <w:t>n</w:t>
      </w:r>
      <w:r w:rsidRPr="00396357">
        <w:t xml:space="preserve"> bepaald jaar, wordt voor de toepassing van deze bepaling aan dat jaar toegerekend, ook als de schade zich pas later openbaart. </w:t>
      </w:r>
    </w:p>
    <w:p w14:paraId="3CB0AD28" w14:textId="77777777" w:rsidR="001D0FA8" w:rsidRDefault="001D0FA8" w:rsidP="00426028">
      <w:pPr>
        <w:pStyle w:val="Lijstalinea"/>
        <w:ind w:left="454"/>
      </w:pPr>
    </w:p>
    <w:p w14:paraId="60EFB557" w14:textId="77777777" w:rsidR="001D0FA8" w:rsidRDefault="001D0FA8" w:rsidP="00426028">
      <w:pPr>
        <w:pStyle w:val="Lijstalinea"/>
        <w:numPr>
          <w:ilvl w:val="0"/>
          <w:numId w:val="25"/>
        </w:numPr>
        <w:spacing w:after="0"/>
        <w:contextualSpacing w:val="0"/>
      </w:pPr>
      <w:r w:rsidRPr="000059FC">
        <w:rPr>
          <w:b/>
          <w:bCs/>
        </w:rPr>
        <w:t>Artikel 26.4</w:t>
      </w:r>
      <w:r>
        <w:t xml:space="preserve"> komt te vervallen.</w:t>
      </w:r>
    </w:p>
    <w:p w14:paraId="6D6EDFAB" w14:textId="77777777" w:rsidR="001D0FA8" w:rsidRDefault="001D0FA8" w:rsidP="00426028">
      <w:pPr>
        <w:spacing w:line="276" w:lineRule="auto"/>
      </w:pPr>
    </w:p>
    <w:p w14:paraId="51878534" w14:textId="77777777" w:rsidR="001D0FA8" w:rsidRDefault="001D0FA8" w:rsidP="00426028">
      <w:pPr>
        <w:pStyle w:val="Lijstalinea"/>
        <w:numPr>
          <w:ilvl w:val="0"/>
          <w:numId w:val="25"/>
        </w:numPr>
        <w:spacing w:after="0"/>
        <w:contextualSpacing w:val="0"/>
      </w:pPr>
      <w:r w:rsidRPr="000059FC">
        <w:rPr>
          <w:b/>
          <w:bCs/>
        </w:rPr>
        <w:t>Artikel 32.3 komt te luiden als volgt</w:t>
      </w:r>
      <w:r>
        <w:t xml:space="preserve">: </w:t>
      </w:r>
      <w:r w:rsidRPr="00EA5C5C">
        <w:t>Na afloop van de Overeenkomst retourneert of vernietigt Wederpartij, dit naar keuze van Opdrachtgever, onverwijld alle haar door Opdrachtgever ter hand gestelde documenten, boeken, bescheiden en andere zaken (waaronder begrepen gegevensdragers). Wederpartij informeert Opdrachtgever indien wettelijke voorschriften het onverwijld vernietigen naar haar mening verhinderen.</w:t>
      </w:r>
      <w:r>
        <w:t xml:space="preserve"> U</w:t>
      </w:r>
      <w:r w:rsidRPr="001672E0">
        <w:t>itsluitend om te voldoen aan verplichtingen bij of krachtens de wet of op grond van een uitspraak van de rechter kan - alleen voor intern gebruik - een afschrift van de relevante stukken worden aangehouden</w:t>
      </w:r>
      <w:r>
        <w:t>.</w:t>
      </w:r>
    </w:p>
    <w:p w14:paraId="570DECE3" w14:textId="77777777" w:rsidR="001D0FA8" w:rsidRDefault="001D0FA8" w:rsidP="00426028">
      <w:pPr>
        <w:spacing w:line="276" w:lineRule="auto"/>
        <w:ind w:left="454" w:hanging="227"/>
        <w:rPr>
          <w:b/>
          <w:bCs/>
        </w:rPr>
      </w:pPr>
    </w:p>
    <w:p w14:paraId="4C45A7DE" w14:textId="77777777" w:rsidR="001D0FA8" w:rsidRPr="00F04903" w:rsidRDefault="001D0FA8" w:rsidP="00426028">
      <w:pPr>
        <w:pStyle w:val="Lijstalinea"/>
        <w:numPr>
          <w:ilvl w:val="0"/>
          <w:numId w:val="25"/>
        </w:numPr>
        <w:spacing w:after="0"/>
        <w:contextualSpacing w:val="0"/>
      </w:pPr>
      <w:r w:rsidRPr="000059FC">
        <w:rPr>
          <w:b/>
          <w:bCs/>
        </w:rPr>
        <w:t xml:space="preserve">Artikel 37.3 wordt toegevoegd en komt te luiden als volgt: </w:t>
      </w:r>
    </w:p>
    <w:p w14:paraId="39612854" w14:textId="445C2179" w:rsidR="001D0FA8" w:rsidRDefault="001D0FA8" w:rsidP="00287F3F">
      <w:pPr>
        <w:pStyle w:val="Lijstalinea"/>
        <w:ind w:left="947"/>
      </w:pPr>
      <w:r w:rsidRPr="00A96846">
        <w:t>De vorderingsrechten van Opdrachtgever en andere bevoegdheden jegens Wederpartij, die uit welken hoofde dan ook voortvloeien uit de Overeenkomst, vervallen na het verstrijken van één jaar nadat de schade waarvoor Wederpartij aansprakelijk wordt gehouden zich voor het eerst heeft gemanifesteerd en in elk geval na verloop van vijf jaar nadat de schadeveroorzakende gebeurtenis heeft plaatsgevonden</w:t>
      </w:r>
      <w:r>
        <w:t>.</w:t>
      </w:r>
    </w:p>
    <w:p w14:paraId="5B92DC1C" w14:textId="77777777" w:rsidR="00287F3F" w:rsidRDefault="00287F3F" w:rsidP="00287F3F">
      <w:pPr>
        <w:pStyle w:val="Lijstalinea"/>
        <w:ind w:left="947"/>
      </w:pPr>
    </w:p>
    <w:p w14:paraId="5F54E3D3" w14:textId="77777777" w:rsidR="001D0FA8" w:rsidRPr="000059FC" w:rsidRDefault="001D0FA8" w:rsidP="00426028">
      <w:pPr>
        <w:pStyle w:val="Lijstalinea"/>
        <w:numPr>
          <w:ilvl w:val="0"/>
          <w:numId w:val="25"/>
        </w:numPr>
        <w:spacing w:after="0"/>
        <w:contextualSpacing w:val="0"/>
        <w:rPr>
          <w:b/>
          <w:bCs/>
        </w:rPr>
      </w:pPr>
      <w:r w:rsidRPr="000059FC">
        <w:rPr>
          <w:b/>
          <w:bCs/>
        </w:rPr>
        <w:t>Artikel 53.4 komt te luiden als volgt:</w:t>
      </w:r>
    </w:p>
    <w:p w14:paraId="043055D3" w14:textId="34A45429" w:rsidR="001D0FA8" w:rsidRDefault="001D0FA8" w:rsidP="00287F3F">
      <w:pPr>
        <w:pStyle w:val="Lijstalinea"/>
        <w:ind w:left="947"/>
      </w:pPr>
      <w:r w:rsidRPr="00952587">
        <w:t>Artikel 53.4 van de ARBIT-2022 is niet van toepassing en wordt vervangen door de volgende bepaling: Indien Opdrachtgever zich geconfronteerd ziet met een (dreigende) loonvordering, zullen Opdrachtnemer en Opdrachtgever in overleg treden over (de verstrekking door Opdrachtnemer van) de informatie aangaande de arbeidsvoorwaardelijke aanspraken die voor Opdrachtgever in dit verband redelijkerwijs noodzakelijk is</w:t>
      </w:r>
      <w:r>
        <w:t>.</w:t>
      </w:r>
    </w:p>
    <w:p w14:paraId="5EC40D20" w14:textId="4D592B09" w:rsidR="001D0FA8" w:rsidRDefault="001D0FA8" w:rsidP="00426028">
      <w:pPr>
        <w:spacing w:line="276" w:lineRule="auto"/>
      </w:pPr>
      <w:r w:rsidRPr="000059FC">
        <w:rPr>
          <w:b/>
          <w:bCs/>
        </w:rPr>
        <w:t>Artikel 73.2 ARBIT 2022</w:t>
      </w:r>
      <w:r>
        <w:t xml:space="preserve"> is niet van toepassing.</w:t>
      </w:r>
    </w:p>
    <w:p w14:paraId="42BA256D" w14:textId="77777777" w:rsidR="001D0FA8" w:rsidRPr="004A424B" w:rsidRDefault="001D0FA8" w:rsidP="00426028">
      <w:pPr>
        <w:spacing w:line="276" w:lineRule="auto"/>
      </w:pPr>
    </w:p>
    <w:p w14:paraId="13334672" w14:textId="77777777" w:rsidR="007B320D" w:rsidRPr="004A424B" w:rsidRDefault="007B320D" w:rsidP="00426028">
      <w:pPr>
        <w:spacing w:line="276" w:lineRule="auto"/>
      </w:pPr>
    </w:p>
    <w:p w14:paraId="55186E21" w14:textId="77777777" w:rsidR="0054692C" w:rsidRPr="004A424B" w:rsidRDefault="0054692C" w:rsidP="00426028">
      <w:pPr>
        <w:spacing w:line="276" w:lineRule="auto"/>
      </w:pPr>
      <w:bookmarkStart w:id="9" w:name="_Hlk224117869"/>
      <w:r w:rsidRPr="004A424B">
        <w:t>Aldus op de laatste van de twee hierna genoemde data overeengekomen en in tweevoud ondertekend,</w:t>
      </w:r>
    </w:p>
    <w:p w14:paraId="2545CE91" w14:textId="77777777" w:rsidR="0054692C" w:rsidRPr="004A424B" w:rsidRDefault="0054692C" w:rsidP="00426028">
      <w:pPr>
        <w:spacing w:line="276" w:lineRule="auto"/>
      </w:pPr>
    </w:p>
    <w:tbl>
      <w:tblPr>
        <w:tblW w:w="5079" w:type="pct"/>
        <w:tblInd w:w="-142" w:type="dxa"/>
        <w:tblCellMar>
          <w:left w:w="0" w:type="dxa"/>
          <w:right w:w="0" w:type="dxa"/>
        </w:tblCellMar>
        <w:tblLook w:val="04A0" w:firstRow="1" w:lastRow="0" w:firstColumn="1" w:lastColumn="0" w:noHBand="0" w:noVBand="1"/>
      </w:tblPr>
      <w:tblGrid>
        <w:gridCol w:w="4655"/>
        <w:gridCol w:w="4515"/>
      </w:tblGrid>
      <w:tr w:rsidR="00A33B25" w:rsidRPr="004A424B" w14:paraId="7260E736" w14:textId="77777777" w:rsidTr="00A33B25">
        <w:tc>
          <w:tcPr>
            <w:tcW w:w="2538" w:type="pct"/>
            <w:tcMar>
              <w:top w:w="0" w:type="dxa"/>
              <w:left w:w="108" w:type="dxa"/>
              <w:bottom w:w="0" w:type="dxa"/>
              <w:right w:w="108" w:type="dxa"/>
            </w:tcMar>
            <w:hideMark/>
          </w:tcPr>
          <w:p w14:paraId="02125DB5" w14:textId="7493B66F" w:rsidR="00A33B25" w:rsidRPr="004A424B" w:rsidRDefault="00A33B25" w:rsidP="00426028">
            <w:pPr>
              <w:spacing w:line="276" w:lineRule="auto"/>
            </w:pPr>
            <w:bookmarkStart w:id="10" w:name="_Hlk223435342"/>
            <w:r w:rsidRPr="004A424B">
              <w:t xml:space="preserve">Plaats:  </w:t>
            </w:r>
            <w:r w:rsidR="00B146E1">
              <w:t>Utrecht</w:t>
            </w:r>
          </w:p>
        </w:tc>
        <w:tc>
          <w:tcPr>
            <w:tcW w:w="2462" w:type="pct"/>
            <w:tcMar>
              <w:top w:w="0" w:type="dxa"/>
              <w:left w:w="108" w:type="dxa"/>
              <w:bottom w:w="0" w:type="dxa"/>
              <w:right w:w="108" w:type="dxa"/>
            </w:tcMar>
            <w:hideMark/>
          </w:tcPr>
          <w:p w14:paraId="15A191BE" w14:textId="77777777" w:rsidR="00A33B25" w:rsidRPr="004A424B" w:rsidRDefault="00A33B25" w:rsidP="00426028">
            <w:pPr>
              <w:spacing w:line="276" w:lineRule="auto"/>
            </w:pPr>
            <w:r w:rsidRPr="004A424B">
              <w:t>Plaats:   …………………</w:t>
            </w:r>
          </w:p>
        </w:tc>
      </w:tr>
      <w:tr w:rsidR="00A33B25" w:rsidRPr="004A424B" w14:paraId="1A7BCCA5" w14:textId="77777777" w:rsidTr="00A33B25">
        <w:tc>
          <w:tcPr>
            <w:tcW w:w="2538" w:type="pct"/>
            <w:tcMar>
              <w:top w:w="0" w:type="dxa"/>
              <w:left w:w="108" w:type="dxa"/>
              <w:bottom w:w="0" w:type="dxa"/>
              <w:right w:w="108" w:type="dxa"/>
            </w:tcMar>
            <w:hideMark/>
          </w:tcPr>
          <w:p w14:paraId="0A92F483" w14:textId="77777777" w:rsidR="00A33B25" w:rsidRPr="004A424B" w:rsidRDefault="00A33B25" w:rsidP="00426028">
            <w:pPr>
              <w:spacing w:line="276" w:lineRule="auto"/>
            </w:pPr>
            <w:r w:rsidRPr="004A424B">
              <w:lastRenderedPageBreak/>
              <w:t>Datum:  ……-……-………</w:t>
            </w:r>
          </w:p>
        </w:tc>
        <w:tc>
          <w:tcPr>
            <w:tcW w:w="2462" w:type="pct"/>
            <w:tcMar>
              <w:top w:w="0" w:type="dxa"/>
              <w:left w:w="108" w:type="dxa"/>
              <w:bottom w:w="0" w:type="dxa"/>
              <w:right w:w="108" w:type="dxa"/>
            </w:tcMar>
            <w:hideMark/>
          </w:tcPr>
          <w:p w14:paraId="42BAFCAA" w14:textId="77777777" w:rsidR="00A33B25" w:rsidRPr="004A424B" w:rsidRDefault="00A33B25" w:rsidP="00426028">
            <w:pPr>
              <w:spacing w:line="276" w:lineRule="auto"/>
            </w:pPr>
            <w:r w:rsidRPr="004A424B">
              <w:t>Datum:  ……-……-………</w:t>
            </w:r>
          </w:p>
        </w:tc>
      </w:tr>
      <w:tr w:rsidR="00A33B25" w:rsidRPr="004A424B" w14:paraId="55F7DE4A" w14:textId="77777777" w:rsidTr="00A33B25">
        <w:tc>
          <w:tcPr>
            <w:tcW w:w="2538" w:type="pct"/>
            <w:tcMar>
              <w:top w:w="0" w:type="dxa"/>
              <w:left w:w="108" w:type="dxa"/>
              <w:bottom w:w="0" w:type="dxa"/>
              <w:right w:w="108" w:type="dxa"/>
            </w:tcMar>
          </w:tcPr>
          <w:p w14:paraId="1A6682FA" w14:textId="77777777" w:rsidR="00A33B25" w:rsidRPr="004A424B" w:rsidRDefault="00A33B25" w:rsidP="00426028">
            <w:pPr>
              <w:spacing w:line="276" w:lineRule="auto"/>
            </w:pPr>
          </w:p>
        </w:tc>
        <w:tc>
          <w:tcPr>
            <w:tcW w:w="2462" w:type="pct"/>
            <w:tcMar>
              <w:top w:w="0" w:type="dxa"/>
              <w:left w:w="108" w:type="dxa"/>
              <w:bottom w:w="0" w:type="dxa"/>
              <w:right w:w="108" w:type="dxa"/>
            </w:tcMar>
          </w:tcPr>
          <w:p w14:paraId="69BB6AAA" w14:textId="77777777" w:rsidR="00A33B25" w:rsidRPr="004A424B" w:rsidRDefault="00A33B25" w:rsidP="00426028">
            <w:pPr>
              <w:spacing w:line="276" w:lineRule="auto"/>
            </w:pPr>
          </w:p>
        </w:tc>
      </w:tr>
      <w:tr w:rsidR="00A33B25" w:rsidRPr="004A424B" w14:paraId="5A93471C" w14:textId="77777777" w:rsidTr="00A33B25">
        <w:tc>
          <w:tcPr>
            <w:tcW w:w="2538" w:type="pct"/>
            <w:tcMar>
              <w:top w:w="0" w:type="dxa"/>
              <w:left w:w="108" w:type="dxa"/>
              <w:bottom w:w="0" w:type="dxa"/>
              <w:right w:w="108" w:type="dxa"/>
            </w:tcMar>
            <w:hideMark/>
          </w:tcPr>
          <w:p w14:paraId="21179141" w14:textId="5FA2FA6D" w:rsidR="00A33B25" w:rsidRPr="004A424B" w:rsidRDefault="00F82E79" w:rsidP="00426028">
            <w:pPr>
              <w:spacing w:line="276" w:lineRule="auto"/>
            </w:pPr>
            <w:r w:rsidRPr="004A424B">
              <w:t>d</w:t>
            </w:r>
            <w:r w:rsidR="00A33B25" w:rsidRPr="004A424B">
              <w:t xml:space="preserve">e </w:t>
            </w:r>
            <w:r w:rsidR="002F7558" w:rsidRPr="002F7558">
              <w:t>minister van Inspectie Gezondheidszorg en Jeugd</w:t>
            </w:r>
            <w:r w:rsidR="00A33B25" w:rsidRPr="004A424B">
              <w:t>,</w:t>
            </w:r>
          </w:p>
        </w:tc>
        <w:tc>
          <w:tcPr>
            <w:tcW w:w="2462" w:type="pct"/>
            <w:tcMar>
              <w:top w:w="0" w:type="dxa"/>
              <w:left w:w="108" w:type="dxa"/>
              <w:bottom w:w="0" w:type="dxa"/>
              <w:right w:w="108" w:type="dxa"/>
            </w:tcMar>
            <w:hideMark/>
          </w:tcPr>
          <w:p w14:paraId="202C3252" w14:textId="43799CA0" w:rsidR="00A33B25" w:rsidRPr="004A424B" w:rsidRDefault="00A33B25" w:rsidP="00426028">
            <w:pPr>
              <w:spacing w:line="276" w:lineRule="auto"/>
            </w:pPr>
            <w:r w:rsidRPr="004A424B">
              <w:rPr>
                <w:highlight w:val="lightGray"/>
              </w:rPr>
              <w:t xml:space="preserve">&lt;naam </w:t>
            </w:r>
            <w:r w:rsidR="00C9193D">
              <w:rPr>
                <w:highlight w:val="lightGray"/>
              </w:rPr>
              <w:t>Wederpartij</w:t>
            </w:r>
            <w:r w:rsidRPr="004A424B">
              <w:rPr>
                <w:highlight w:val="lightGray"/>
              </w:rPr>
              <w:t>&gt;</w:t>
            </w:r>
            <w:r w:rsidRPr="004A424B">
              <w:t>,</w:t>
            </w:r>
          </w:p>
        </w:tc>
      </w:tr>
      <w:tr w:rsidR="00A33B25" w:rsidRPr="004A424B" w14:paraId="1877461B" w14:textId="77777777" w:rsidTr="00A33B25">
        <w:tc>
          <w:tcPr>
            <w:tcW w:w="2538" w:type="pct"/>
            <w:tcMar>
              <w:top w:w="0" w:type="dxa"/>
              <w:left w:w="108" w:type="dxa"/>
              <w:bottom w:w="0" w:type="dxa"/>
              <w:right w:w="108" w:type="dxa"/>
            </w:tcMar>
            <w:hideMark/>
          </w:tcPr>
          <w:p w14:paraId="5F1BD669" w14:textId="77777777" w:rsidR="00A33B25" w:rsidRPr="004A424B" w:rsidRDefault="00A33B25" w:rsidP="00426028">
            <w:pPr>
              <w:spacing w:line="276" w:lineRule="auto"/>
            </w:pPr>
            <w:r w:rsidRPr="004A424B">
              <w:t>namens deze,</w:t>
            </w:r>
          </w:p>
        </w:tc>
        <w:tc>
          <w:tcPr>
            <w:tcW w:w="2462" w:type="pct"/>
            <w:tcMar>
              <w:top w:w="0" w:type="dxa"/>
              <w:left w:w="108" w:type="dxa"/>
              <w:bottom w:w="0" w:type="dxa"/>
              <w:right w:w="108" w:type="dxa"/>
            </w:tcMar>
            <w:hideMark/>
          </w:tcPr>
          <w:p w14:paraId="49FD60CC" w14:textId="77777777" w:rsidR="00A33B25" w:rsidRPr="004A424B" w:rsidRDefault="00A33B25" w:rsidP="00426028">
            <w:pPr>
              <w:spacing w:line="276" w:lineRule="auto"/>
            </w:pPr>
            <w:r w:rsidRPr="004A424B">
              <w:t>namens deze,</w:t>
            </w:r>
          </w:p>
        </w:tc>
      </w:tr>
      <w:tr w:rsidR="00A33B25" w:rsidRPr="004A424B" w14:paraId="7FE01F87" w14:textId="77777777" w:rsidTr="00A33B25">
        <w:tc>
          <w:tcPr>
            <w:tcW w:w="2538" w:type="pct"/>
            <w:tcMar>
              <w:top w:w="0" w:type="dxa"/>
              <w:left w:w="108" w:type="dxa"/>
              <w:bottom w:w="0" w:type="dxa"/>
              <w:right w:w="108" w:type="dxa"/>
            </w:tcMar>
            <w:hideMark/>
          </w:tcPr>
          <w:p w14:paraId="32C9450A" w14:textId="2782C8B4" w:rsidR="00A33B25" w:rsidRPr="004A424B" w:rsidRDefault="002F7558" w:rsidP="00426028">
            <w:pPr>
              <w:spacing w:line="276" w:lineRule="auto"/>
              <w:rPr>
                <w:highlight w:val="lightGray"/>
              </w:rPr>
            </w:pPr>
            <w:r w:rsidRPr="002F7558">
              <w:t>Inspecteur-generaal Gezondheidszorg en Jeugd</w:t>
            </w:r>
            <w:r w:rsidR="00A33B25" w:rsidRPr="004A424B">
              <w:t>,</w:t>
            </w:r>
          </w:p>
        </w:tc>
        <w:tc>
          <w:tcPr>
            <w:tcW w:w="2462" w:type="pct"/>
            <w:tcMar>
              <w:top w:w="0" w:type="dxa"/>
              <w:left w:w="108" w:type="dxa"/>
              <w:bottom w:w="0" w:type="dxa"/>
              <w:right w:w="108" w:type="dxa"/>
            </w:tcMar>
            <w:hideMark/>
          </w:tcPr>
          <w:p w14:paraId="6E6A5231" w14:textId="77777777" w:rsidR="00A33B25" w:rsidRPr="004A424B" w:rsidRDefault="00A33B25" w:rsidP="00426028">
            <w:pPr>
              <w:spacing w:line="276" w:lineRule="auto"/>
              <w:rPr>
                <w:highlight w:val="lightGray"/>
              </w:rPr>
            </w:pPr>
            <w:r w:rsidRPr="004A424B">
              <w:rPr>
                <w:highlight w:val="lightGray"/>
              </w:rPr>
              <w:t>&lt;functie gevolmachtigde&gt;</w:t>
            </w:r>
            <w:r w:rsidRPr="004A424B">
              <w:t>,</w:t>
            </w:r>
          </w:p>
        </w:tc>
      </w:tr>
      <w:tr w:rsidR="00A33B25" w:rsidRPr="004A424B" w14:paraId="2B222922" w14:textId="77777777" w:rsidTr="00A33B25">
        <w:tc>
          <w:tcPr>
            <w:tcW w:w="2538" w:type="pct"/>
            <w:tcMar>
              <w:top w:w="0" w:type="dxa"/>
              <w:left w:w="108" w:type="dxa"/>
              <w:bottom w:w="0" w:type="dxa"/>
              <w:right w:w="108" w:type="dxa"/>
            </w:tcMar>
          </w:tcPr>
          <w:p w14:paraId="54267674" w14:textId="77777777" w:rsidR="00A33B25" w:rsidRPr="004A424B" w:rsidRDefault="00A33B25" w:rsidP="00426028">
            <w:pPr>
              <w:spacing w:line="276" w:lineRule="auto"/>
            </w:pPr>
          </w:p>
          <w:p w14:paraId="629B1615" w14:textId="77777777" w:rsidR="00A33B25" w:rsidRPr="004A424B" w:rsidRDefault="00A33B25" w:rsidP="00426028">
            <w:pPr>
              <w:spacing w:line="276" w:lineRule="auto"/>
            </w:pPr>
          </w:p>
          <w:p w14:paraId="72AB0A94" w14:textId="77777777" w:rsidR="00A33B25" w:rsidRPr="004A424B" w:rsidRDefault="00A33B25" w:rsidP="00426028">
            <w:pPr>
              <w:spacing w:line="276" w:lineRule="auto"/>
            </w:pPr>
          </w:p>
          <w:p w14:paraId="26C1BFA3" w14:textId="77777777" w:rsidR="00A33B25" w:rsidRPr="004A424B" w:rsidRDefault="00A33B25" w:rsidP="00426028">
            <w:pPr>
              <w:spacing w:line="276" w:lineRule="auto"/>
            </w:pPr>
          </w:p>
          <w:p w14:paraId="71E18B08" w14:textId="77777777" w:rsidR="00A33B25" w:rsidRPr="004A424B" w:rsidRDefault="00A33B25" w:rsidP="00426028">
            <w:pPr>
              <w:spacing w:line="276" w:lineRule="auto"/>
            </w:pPr>
          </w:p>
        </w:tc>
        <w:tc>
          <w:tcPr>
            <w:tcW w:w="2462" w:type="pct"/>
            <w:tcMar>
              <w:top w:w="0" w:type="dxa"/>
              <w:left w:w="108" w:type="dxa"/>
              <w:bottom w:w="0" w:type="dxa"/>
              <w:right w:w="108" w:type="dxa"/>
            </w:tcMar>
          </w:tcPr>
          <w:p w14:paraId="749FA24C" w14:textId="77777777" w:rsidR="00A33B25" w:rsidRPr="004A424B" w:rsidRDefault="00A33B25" w:rsidP="00426028">
            <w:pPr>
              <w:spacing w:line="276" w:lineRule="auto"/>
            </w:pPr>
          </w:p>
        </w:tc>
      </w:tr>
      <w:tr w:rsidR="00A33B25" w:rsidRPr="004A424B" w14:paraId="0092E298" w14:textId="77777777" w:rsidTr="00A33B25">
        <w:trPr>
          <w:trHeight w:val="117"/>
        </w:trPr>
        <w:tc>
          <w:tcPr>
            <w:tcW w:w="2538" w:type="pct"/>
            <w:tcMar>
              <w:top w:w="0" w:type="dxa"/>
              <w:left w:w="108" w:type="dxa"/>
              <w:bottom w:w="0" w:type="dxa"/>
              <w:right w:w="108" w:type="dxa"/>
            </w:tcMar>
            <w:hideMark/>
          </w:tcPr>
          <w:p w14:paraId="5890CA01" w14:textId="39F64269" w:rsidR="00A33B25" w:rsidRPr="004A424B" w:rsidRDefault="002F7558" w:rsidP="00426028">
            <w:pPr>
              <w:spacing w:line="276" w:lineRule="auto"/>
              <w:rPr>
                <w:highlight w:val="lightGray"/>
              </w:rPr>
            </w:pPr>
            <w:r w:rsidRPr="002F7558">
              <w:t>mevrouw M. Vogelzang</w:t>
            </w:r>
          </w:p>
        </w:tc>
        <w:tc>
          <w:tcPr>
            <w:tcW w:w="2462" w:type="pct"/>
            <w:tcMar>
              <w:top w:w="0" w:type="dxa"/>
              <w:left w:w="108" w:type="dxa"/>
              <w:bottom w:w="0" w:type="dxa"/>
              <w:right w:w="108" w:type="dxa"/>
            </w:tcMar>
            <w:hideMark/>
          </w:tcPr>
          <w:p w14:paraId="45A25B3C" w14:textId="77777777" w:rsidR="00A33B25" w:rsidRPr="004A424B" w:rsidRDefault="00A33B25" w:rsidP="00426028">
            <w:pPr>
              <w:spacing w:line="276" w:lineRule="auto"/>
              <w:rPr>
                <w:highlight w:val="lightGray"/>
              </w:rPr>
            </w:pPr>
            <w:r w:rsidRPr="004A424B">
              <w:rPr>
                <w:highlight w:val="lightGray"/>
              </w:rPr>
              <w:t>&lt;Naam gevolmachtigde&gt;</w:t>
            </w:r>
          </w:p>
        </w:tc>
      </w:tr>
      <w:bookmarkEnd w:id="9"/>
      <w:bookmarkEnd w:id="10"/>
    </w:tbl>
    <w:p w14:paraId="1E0B93DF" w14:textId="77777777" w:rsidR="0054692C" w:rsidRPr="004A424B" w:rsidRDefault="0054692C" w:rsidP="00426028">
      <w:pPr>
        <w:spacing w:line="276" w:lineRule="auto"/>
      </w:pPr>
    </w:p>
    <w:p w14:paraId="3D34A3C3" w14:textId="77777777" w:rsidR="00CA1C92" w:rsidRPr="004A424B" w:rsidRDefault="00CA1C92" w:rsidP="00426028">
      <w:pPr>
        <w:spacing w:line="276" w:lineRule="auto"/>
      </w:pPr>
    </w:p>
    <w:p w14:paraId="6B1A924E" w14:textId="601E268C" w:rsidR="00C12382" w:rsidRDefault="00C12382" w:rsidP="00426028">
      <w:pPr>
        <w:overflowPunct/>
        <w:autoSpaceDE/>
        <w:autoSpaceDN/>
        <w:adjustRightInd/>
        <w:spacing w:line="276" w:lineRule="auto"/>
        <w:textAlignment w:val="auto"/>
        <w:rPr>
          <w:rFonts w:eastAsia="Calibri" w:cs="Times New Roman"/>
          <w:szCs w:val="22"/>
          <w:lang w:eastAsia="en-US"/>
        </w:rPr>
      </w:pPr>
      <w:r>
        <w:br w:type="page"/>
      </w:r>
    </w:p>
    <w:p w14:paraId="5B46347A" w14:textId="2D15FF86" w:rsidR="00C12382" w:rsidRPr="00C12382" w:rsidRDefault="00C12382" w:rsidP="00426028">
      <w:pPr>
        <w:pStyle w:val="Lijstalinea"/>
        <w:rPr>
          <w:b/>
          <w:bCs/>
        </w:rPr>
      </w:pPr>
      <w:bookmarkStart w:id="11" w:name="_Hlk224116533"/>
      <w:r w:rsidRPr="00C12382">
        <w:rPr>
          <w:b/>
          <w:bCs/>
        </w:rPr>
        <w:lastRenderedPageBreak/>
        <w:t xml:space="preserve">BIJLAGE Verwerkersovereenkomst ARBIT-2022 </w:t>
      </w:r>
    </w:p>
    <w:p w14:paraId="2F5813B9" w14:textId="77777777" w:rsidR="00C12382" w:rsidRDefault="00C12382" w:rsidP="00426028">
      <w:pPr>
        <w:pStyle w:val="Lijstalinea"/>
      </w:pPr>
    </w:p>
    <w:p w14:paraId="60F96D28" w14:textId="77777777" w:rsidR="00C12382" w:rsidRPr="00C12382" w:rsidRDefault="00C12382" w:rsidP="00426028">
      <w:pPr>
        <w:pStyle w:val="Lijstalinea"/>
        <w:rPr>
          <w:b/>
          <w:bCs/>
        </w:rPr>
      </w:pPr>
      <w:r w:rsidRPr="00C12382">
        <w:rPr>
          <w:b/>
          <w:bCs/>
        </w:rPr>
        <w:t>BIJLAGE Bestek</w:t>
      </w:r>
    </w:p>
    <w:p w14:paraId="5BDD8646" w14:textId="77777777" w:rsidR="00C12382" w:rsidRDefault="00C12382" w:rsidP="00426028">
      <w:pPr>
        <w:pStyle w:val="Lijstalinea"/>
      </w:pPr>
    </w:p>
    <w:p w14:paraId="5C75171A" w14:textId="77777777" w:rsidR="00C12382" w:rsidRPr="00C12382" w:rsidRDefault="00C12382" w:rsidP="00426028">
      <w:pPr>
        <w:pStyle w:val="Lijstalinea"/>
        <w:rPr>
          <w:b/>
          <w:bCs/>
        </w:rPr>
      </w:pPr>
      <w:r w:rsidRPr="00C12382">
        <w:rPr>
          <w:b/>
          <w:bCs/>
        </w:rPr>
        <w:t>BIJLAGE Contactpersonen</w:t>
      </w:r>
    </w:p>
    <w:p w14:paraId="13041AF6" w14:textId="77777777" w:rsidR="00C12382" w:rsidRDefault="00C12382" w:rsidP="00426028">
      <w:pPr>
        <w:pStyle w:val="Lijstalinea"/>
      </w:pPr>
      <w:r>
        <w:t>Opdrachtgever</w:t>
      </w:r>
    </w:p>
    <w:p w14:paraId="1F8B1308" w14:textId="77777777" w:rsidR="00C12382" w:rsidRDefault="00C12382" w:rsidP="00426028">
      <w:pPr>
        <w:pStyle w:val="Lijstalinea"/>
      </w:pPr>
      <w:r>
        <w:t xml:space="preserve">De </w:t>
      </w:r>
      <w:r w:rsidRPr="00C12382">
        <w:rPr>
          <w:highlight w:val="lightGray"/>
        </w:rPr>
        <w:t>&lt;functie&gt;</w:t>
      </w:r>
      <w:r>
        <w:t xml:space="preserve">, thans </w:t>
      </w:r>
      <w:r w:rsidRPr="00C12382">
        <w:rPr>
          <w:highlight w:val="lightGray"/>
        </w:rPr>
        <w:t>&lt;naam&gt;</w:t>
      </w:r>
      <w:r>
        <w:t xml:space="preserve"> is bevoegd Opdrachtgever te binden voor zover het betreft de uitvoering van de Overeenkomst.</w:t>
      </w:r>
    </w:p>
    <w:p w14:paraId="3565CE35" w14:textId="77777777" w:rsidR="00C12382" w:rsidRDefault="00C12382" w:rsidP="00426028">
      <w:pPr>
        <w:pStyle w:val="Lijstalinea"/>
      </w:pPr>
    </w:p>
    <w:p w14:paraId="1DA498DA" w14:textId="77777777" w:rsidR="00C12382" w:rsidRDefault="00C12382" w:rsidP="00426028">
      <w:pPr>
        <w:pStyle w:val="Lijstalinea"/>
      </w:pPr>
      <w:r>
        <w:t>Wederpartij</w:t>
      </w:r>
    </w:p>
    <w:p w14:paraId="4E88B59E" w14:textId="77777777" w:rsidR="00C12382" w:rsidRDefault="00C12382" w:rsidP="00426028">
      <w:pPr>
        <w:pStyle w:val="Lijstalinea"/>
      </w:pPr>
      <w:r>
        <w:t xml:space="preserve">De </w:t>
      </w:r>
      <w:r w:rsidRPr="00C12382">
        <w:rPr>
          <w:highlight w:val="lightGray"/>
        </w:rPr>
        <w:t>&lt;functie&gt;</w:t>
      </w:r>
      <w:r>
        <w:t xml:space="preserve">, thans </w:t>
      </w:r>
      <w:r w:rsidRPr="00C12382">
        <w:rPr>
          <w:highlight w:val="lightGray"/>
        </w:rPr>
        <w:t>&lt;naam&gt;</w:t>
      </w:r>
      <w:r>
        <w:t xml:space="preserve"> is bevoegd Wederpartij te binden voor zover het betreft de uitvoering van de Overeenkomst.</w:t>
      </w:r>
    </w:p>
    <w:p w14:paraId="6DAC40BE" w14:textId="77777777" w:rsidR="00C12382" w:rsidRDefault="00C12382" w:rsidP="00426028">
      <w:pPr>
        <w:pStyle w:val="Lijstalinea"/>
      </w:pPr>
    </w:p>
    <w:p w14:paraId="4BD651CE" w14:textId="49F2A02B" w:rsidR="00C12382" w:rsidRDefault="00C12382" w:rsidP="00426028">
      <w:pPr>
        <w:pStyle w:val="Lijstalinea"/>
        <w:rPr>
          <w:b/>
          <w:bCs/>
        </w:rPr>
      </w:pPr>
      <w:r w:rsidRPr="00C12382">
        <w:rPr>
          <w:b/>
          <w:bCs/>
        </w:rPr>
        <w:t>BIJLAGE Voorwaarden</w:t>
      </w:r>
    </w:p>
    <w:p w14:paraId="5C27B374" w14:textId="77777777" w:rsidR="008763F3" w:rsidRPr="008763F3" w:rsidRDefault="008763F3" w:rsidP="00426028">
      <w:pPr>
        <w:pStyle w:val="Lijstalinea"/>
        <w:rPr>
          <w:b/>
          <w:bCs/>
        </w:rPr>
      </w:pPr>
    </w:p>
    <w:p w14:paraId="780D2F90" w14:textId="77777777" w:rsidR="00C12382" w:rsidRPr="00672586" w:rsidRDefault="00C12382" w:rsidP="00426028">
      <w:pPr>
        <w:pStyle w:val="Lijstalinea"/>
        <w:rPr>
          <w:b/>
          <w:bCs/>
        </w:rPr>
      </w:pPr>
      <w:r w:rsidRPr="00672586">
        <w:rPr>
          <w:b/>
          <w:bCs/>
        </w:rPr>
        <w:t>BIJLAGE Service level agreement (SLA)</w:t>
      </w:r>
    </w:p>
    <w:p w14:paraId="2CE69E73" w14:textId="77777777" w:rsidR="00C12382" w:rsidRPr="00672586" w:rsidRDefault="00C12382" w:rsidP="00426028">
      <w:pPr>
        <w:pStyle w:val="Lijstalinea"/>
      </w:pPr>
    </w:p>
    <w:p w14:paraId="2659746D" w14:textId="77777777" w:rsidR="00C12382" w:rsidRDefault="00C12382" w:rsidP="00426028">
      <w:pPr>
        <w:pStyle w:val="Lijstalinea"/>
      </w:pPr>
      <w:r>
        <w:t>De SLA maakt onderdeel uit van de Overeenkomst van Onderhoud en normeert het overeengekomen dienstverleningsniveau. Voor een goede aansluiting van de SLA op de Voorwaarden is vereist dat de voor de Prestatie belangrijkste service levels worden opgenomen in de Overeenkomst. Belangrijke Service levels zijn tenminste die op grond waarvan een korting op de Vergoeding wordt ingehouden overeenkomstig artikel 7.3. Tenslotte dienen de onderstaande begrippen uit artikel 68 van de ARBIT-2022 te worden gebruikt in de SLA:</w:t>
      </w:r>
    </w:p>
    <w:p w14:paraId="50D43A7C" w14:textId="77777777" w:rsidR="00C12382" w:rsidRDefault="00C12382" w:rsidP="00426028">
      <w:pPr>
        <w:pStyle w:val="Lijstalinea"/>
      </w:pPr>
    </w:p>
    <w:p w14:paraId="78D48C6C" w14:textId="77777777" w:rsidR="00C12382" w:rsidRDefault="00C12382" w:rsidP="00426028">
      <w:pPr>
        <w:pStyle w:val="Lijstalinea"/>
        <w:numPr>
          <w:ilvl w:val="2"/>
          <w:numId w:val="14"/>
        </w:numPr>
      </w:pPr>
      <w:r w:rsidRPr="00577CAA">
        <w:rPr>
          <w:u w:val="single"/>
        </w:rPr>
        <w:t>Beschikbaarheid</w:t>
      </w:r>
      <w:r>
        <w:t>: de periode dat de Prestatie vrij van Gebreken is.</w:t>
      </w:r>
    </w:p>
    <w:p w14:paraId="0D1C0239" w14:textId="77777777" w:rsidR="00C12382" w:rsidRDefault="00C12382" w:rsidP="00426028">
      <w:pPr>
        <w:pStyle w:val="Lijstalinea"/>
        <w:numPr>
          <w:ilvl w:val="2"/>
          <w:numId w:val="14"/>
        </w:numPr>
      </w:pPr>
      <w:r w:rsidRPr="00577CAA">
        <w:rPr>
          <w:u w:val="single"/>
        </w:rPr>
        <w:t>Correctief Onderhoud</w:t>
      </w:r>
      <w:r>
        <w:t>: het opsporen en herstellen door Wederpartij van Storingen, die Opdrachtgever hem heeft gemeld of die Wederpartij anderszins bekend zijn geworden.</w:t>
      </w:r>
    </w:p>
    <w:p w14:paraId="068E0945" w14:textId="77777777" w:rsidR="00C12382" w:rsidRDefault="00C12382" w:rsidP="00426028">
      <w:pPr>
        <w:pStyle w:val="Lijstalinea"/>
        <w:numPr>
          <w:ilvl w:val="2"/>
          <w:numId w:val="14"/>
        </w:numPr>
      </w:pPr>
      <w:r w:rsidRPr="00577CAA">
        <w:rPr>
          <w:u w:val="single"/>
        </w:rPr>
        <w:t>Functiehersteltijd</w:t>
      </w:r>
      <w:r>
        <w:t>: de periode, uitgedrukt in Service-uren, gelegen tussen het moment waarop een Storing bij Wederpartij wordt gemeld en het moment waarop die is verholpen.</w:t>
      </w:r>
    </w:p>
    <w:p w14:paraId="12065743" w14:textId="77777777" w:rsidR="00C12382" w:rsidRDefault="00C12382" w:rsidP="00426028">
      <w:pPr>
        <w:pStyle w:val="Lijstalinea"/>
        <w:numPr>
          <w:ilvl w:val="2"/>
          <w:numId w:val="14"/>
        </w:numPr>
      </w:pPr>
      <w:r w:rsidRPr="00577CAA">
        <w:rPr>
          <w:u w:val="single"/>
        </w:rPr>
        <w:t>Innovatief Onderhoud</w:t>
      </w:r>
      <w:r>
        <w:t>: het beschikbaar stellen door Wederpartij aan Opdrachtgever van Nieuwe versies c.q. nieuw ontwikkelde onderdelen van Producten en/of nieuwe Documentatie.</w:t>
      </w:r>
    </w:p>
    <w:p w14:paraId="184E6BDA" w14:textId="77777777" w:rsidR="00C12382" w:rsidRDefault="00C12382" w:rsidP="00426028">
      <w:pPr>
        <w:pStyle w:val="Lijstalinea"/>
        <w:numPr>
          <w:ilvl w:val="2"/>
          <w:numId w:val="14"/>
        </w:numPr>
      </w:pPr>
      <w:r w:rsidRPr="00577CAA">
        <w:rPr>
          <w:u w:val="single"/>
        </w:rPr>
        <w:t>Preventief Onderhoud</w:t>
      </w:r>
      <w:r>
        <w:t>: het treffen van maatregelen door Wederpartij ter voorkoming van Storingen en andere daarmee verband houdende vormen van dienstverlening.</w:t>
      </w:r>
    </w:p>
    <w:p w14:paraId="138C3AC0" w14:textId="77777777" w:rsidR="00C12382" w:rsidRDefault="00C12382" w:rsidP="00426028">
      <w:pPr>
        <w:pStyle w:val="Lijstalinea"/>
        <w:numPr>
          <w:ilvl w:val="2"/>
          <w:numId w:val="14"/>
        </w:numPr>
      </w:pPr>
      <w:r w:rsidRPr="00577CAA">
        <w:rPr>
          <w:u w:val="single"/>
        </w:rPr>
        <w:t>Reactietijd</w:t>
      </w:r>
      <w:r>
        <w:t>: de tijd waarbinnen Personeel van Wederpartij op een melding door Opdrachtgever van een Storing en andere verzoeken van Opdrachtgever om dienstverlening, adequaat moet reageren.</w:t>
      </w:r>
    </w:p>
    <w:p w14:paraId="05B6A634" w14:textId="77777777" w:rsidR="00C12382" w:rsidRDefault="00C12382" w:rsidP="00426028">
      <w:pPr>
        <w:pStyle w:val="Lijstalinea"/>
        <w:numPr>
          <w:ilvl w:val="2"/>
          <w:numId w:val="14"/>
        </w:numPr>
      </w:pPr>
      <w:r w:rsidRPr="00577CAA">
        <w:rPr>
          <w:u w:val="single"/>
        </w:rPr>
        <w:t>Service levels</w:t>
      </w:r>
      <w:r>
        <w:t>: ten aanzien van de uitvoering van Onderhoud en andere overeengekomen vormen van dienstverlening in de Overeenkomst vastgelegde eisen.</w:t>
      </w:r>
    </w:p>
    <w:p w14:paraId="4B12D32F" w14:textId="77777777" w:rsidR="00C12382" w:rsidRDefault="00C12382" w:rsidP="00426028">
      <w:pPr>
        <w:pStyle w:val="Lijstalinea"/>
        <w:numPr>
          <w:ilvl w:val="2"/>
          <w:numId w:val="14"/>
        </w:numPr>
      </w:pPr>
      <w:r w:rsidRPr="00577CAA">
        <w:rPr>
          <w:u w:val="single"/>
        </w:rPr>
        <w:t>Service-uren</w:t>
      </w:r>
      <w:r>
        <w:t>: uren die vallen binnen de overeengekomen service-periode.</w:t>
      </w:r>
    </w:p>
    <w:p w14:paraId="2C3C980E" w14:textId="77777777" w:rsidR="00C12382" w:rsidRDefault="00C12382" w:rsidP="00426028">
      <w:pPr>
        <w:pStyle w:val="Lijstalinea"/>
        <w:numPr>
          <w:ilvl w:val="2"/>
          <w:numId w:val="14"/>
        </w:numPr>
      </w:pPr>
      <w:r w:rsidRPr="00577CAA">
        <w:rPr>
          <w:u w:val="single"/>
        </w:rPr>
        <w:t>Storing</w:t>
      </w:r>
      <w:r>
        <w:t>: een technisch probleem dat zich voordoet bij het gebruik maken van de Prestatie.</w:t>
      </w:r>
      <w:bookmarkEnd w:id="11"/>
    </w:p>
    <w:p w14:paraId="7FB9C456" w14:textId="77777777" w:rsidR="00B00AF0" w:rsidRDefault="00B00AF0" w:rsidP="00426028">
      <w:pPr>
        <w:pStyle w:val="Lijstalinea"/>
        <w:ind w:left="0"/>
      </w:pPr>
    </w:p>
    <w:p w14:paraId="6A042C8A" w14:textId="77777777" w:rsidR="00CC7F5B" w:rsidRDefault="00CC7F5B" w:rsidP="00426028">
      <w:pPr>
        <w:pStyle w:val="Lijstalinea"/>
        <w:ind w:left="0"/>
      </w:pPr>
    </w:p>
    <w:p w14:paraId="2A70B1B7" w14:textId="77777777" w:rsidR="00CC7F5B" w:rsidRDefault="00CC7F5B" w:rsidP="00426028">
      <w:pPr>
        <w:pStyle w:val="Lijstalinea"/>
        <w:ind w:left="0"/>
      </w:pPr>
    </w:p>
    <w:p w14:paraId="79483494" w14:textId="77777777" w:rsidR="00CC7F5B" w:rsidRDefault="00CC7F5B" w:rsidP="00426028">
      <w:pPr>
        <w:pStyle w:val="Lijstalinea"/>
        <w:ind w:left="0"/>
      </w:pPr>
    </w:p>
    <w:p w14:paraId="6F1D9D7C" w14:textId="77777777" w:rsidR="000C47D6" w:rsidRDefault="000C47D6" w:rsidP="00426028">
      <w:pPr>
        <w:pStyle w:val="Lijstalinea"/>
        <w:ind w:left="0"/>
      </w:pPr>
    </w:p>
    <w:p w14:paraId="63022F7E" w14:textId="77777777" w:rsidR="000C47D6" w:rsidRDefault="000C47D6" w:rsidP="00426028">
      <w:pPr>
        <w:pStyle w:val="Lijstalinea"/>
        <w:ind w:left="0"/>
      </w:pPr>
    </w:p>
    <w:p w14:paraId="4652BA53" w14:textId="77777777" w:rsidR="00DE1E29" w:rsidRPr="000C47D6" w:rsidRDefault="00DE1E29" w:rsidP="000C47D6">
      <w:pPr>
        <w:pStyle w:val="Lijstalinea"/>
        <w:rPr>
          <w:b/>
          <w:bCs/>
        </w:rPr>
      </w:pPr>
      <w:r w:rsidRPr="000C47D6">
        <w:rPr>
          <w:b/>
          <w:bCs/>
        </w:rPr>
        <w:lastRenderedPageBreak/>
        <w:t>BIJLAGE Herzieningsclausules</w:t>
      </w:r>
    </w:p>
    <w:p w14:paraId="6EC2D58C" w14:textId="719C5321" w:rsidR="00DE1E29" w:rsidRDefault="00DE1E29" w:rsidP="000C47D6">
      <w:pPr>
        <w:pStyle w:val="Geenafstand"/>
        <w:spacing w:line="276" w:lineRule="auto"/>
        <w:ind w:left="708"/>
        <w:rPr>
          <w:rFonts w:eastAsiaTheme="majorEastAsia"/>
        </w:rPr>
      </w:pPr>
      <w:r w:rsidRPr="00E40E80">
        <w:rPr>
          <w:rFonts w:eastAsiaTheme="majorEastAsia"/>
        </w:rPr>
        <w:t xml:space="preserve">Om de continuïteit, veiligheid en kwaliteit van de te leveren dienstverlening te waarborgen, zijn de volgende herzieningsclausules </w:t>
      </w:r>
      <w:r>
        <w:rPr>
          <w:rFonts w:eastAsiaTheme="majorEastAsia"/>
        </w:rPr>
        <w:t xml:space="preserve">(conform </w:t>
      </w:r>
      <w:r w:rsidRPr="00056F88">
        <w:rPr>
          <w:rFonts w:eastAsiaTheme="majorEastAsia"/>
        </w:rPr>
        <w:t>art. 2.163</w:t>
      </w:r>
      <w:r>
        <w:rPr>
          <w:rFonts w:eastAsiaTheme="majorEastAsia"/>
        </w:rPr>
        <w:t>c</w:t>
      </w:r>
      <w:r w:rsidRPr="00056F88">
        <w:rPr>
          <w:rFonts w:eastAsiaTheme="majorEastAsia"/>
        </w:rPr>
        <w:t xml:space="preserve"> Aanbestedingswet 2012</w:t>
      </w:r>
      <w:r>
        <w:rPr>
          <w:rFonts w:eastAsiaTheme="majorEastAsia"/>
        </w:rPr>
        <w:t xml:space="preserve">) </w:t>
      </w:r>
      <w:r w:rsidRPr="00E40E80">
        <w:rPr>
          <w:rFonts w:eastAsiaTheme="majorEastAsia"/>
        </w:rPr>
        <w:t xml:space="preserve">van toepassing gedurende de looptijd van de </w:t>
      </w:r>
      <w:r>
        <w:rPr>
          <w:rFonts w:eastAsiaTheme="majorEastAsia"/>
        </w:rPr>
        <w:t>O</w:t>
      </w:r>
      <w:r w:rsidRPr="00E40E80">
        <w:rPr>
          <w:rFonts w:eastAsiaTheme="majorEastAsia"/>
        </w:rPr>
        <w:t>vereenkomst</w:t>
      </w:r>
      <w:r>
        <w:rPr>
          <w:rFonts w:eastAsiaTheme="majorEastAsia"/>
        </w:rPr>
        <w:t xml:space="preserve">. Deze wijzigingen zullen in omvang worden begroot op basis van de in artikel 7.1 genoemde tarieven en met inachtneming van het hierna in onderdeel “Financiële afhandeling herzieningen” bepaalde. </w:t>
      </w:r>
      <w:r w:rsidR="00710183">
        <w:rPr>
          <w:rFonts w:eastAsiaTheme="majorEastAsia"/>
        </w:rPr>
        <w:t>Wederpartij</w:t>
      </w:r>
      <w:r>
        <w:rPr>
          <w:rFonts w:eastAsiaTheme="majorEastAsia"/>
        </w:rPr>
        <w:t xml:space="preserve"> zal op verzoek van Opdrachtgever een offerte uitbrengen waarin gespecifieerd de onderscheiden wijzigingen worden beschreven die Opdrachtgever noodzakelijk acht. Opdrachtgever dient de offerte schriftelijk te hebben geaccordeerd alvorens de werkzaamheden kunnen starten</w:t>
      </w:r>
      <w:r w:rsidRPr="00E40E80">
        <w:rPr>
          <w:rFonts w:eastAsiaTheme="majorEastAsia"/>
        </w:rPr>
        <w:t>:</w:t>
      </w:r>
    </w:p>
    <w:p w14:paraId="43873C11" w14:textId="77777777" w:rsidR="00DE1E29" w:rsidRPr="00E40E80" w:rsidRDefault="00DE1E29" w:rsidP="00426028">
      <w:pPr>
        <w:pStyle w:val="Geenafstand"/>
        <w:spacing w:line="276" w:lineRule="auto"/>
        <w:rPr>
          <w:rFonts w:eastAsiaTheme="majorEastAsia"/>
          <w:b/>
          <w:bCs/>
        </w:rPr>
      </w:pPr>
    </w:p>
    <w:p w14:paraId="36183AB5" w14:textId="77777777" w:rsidR="00DE1E29" w:rsidRPr="00B17937" w:rsidRDefault="00DE1E29" w:rsidP="00426028">
      <w:pPr>
        <w:pStyle w:val="Geenafstand"/>
        <w:numPr>
          <w:ilvl w:val="0"/>
          <w:numId w:val="15"/>
        </w:numPr>
        <w:spacing w:line="276" w:lineRule="auto"/>
        <w:rPr>
          <w:rFonts w:eastAsiaTheme="majorEastAsia"/>
        </w:rPr>
      </w:pPr>
      <w:r>
        <w:rPr>
          <w:rFonts w:eastAsiaTheme="majorEastAsia"/>
          <w:b/>
          <w:bCs/>
        </w:rPr>
        <w:t>O</w:t>
      </w:r>
      <w:r w:rsidRPr="00B17937">
        <w:rPr>
          <w:rFonts w:eastAsiaTheme="majorEastAsia"/>
          <w:b/>
          <w:bCs/>
        </w:rPr>
        <w:t>nvoorzi</w:t>
      </w:r>
      <w:r w:rsidRPr="00F94873">
        <w:rPr>
          <w:rFonts w:eastAsiaTheme="majorEastAsia"/>
          <w:b/>
          <w:bCs/>
        </w:rPr>
        <w:t>en (Toekomstige Technologische Ontwikkelingen)</w:t>
      </w:r>
    </w:p>
    <w:p w14:paraId="5A91061F" w14:textId="7B2AE1E7" w:rsidR="00DE1E29" w:rsidRPr="00B17937" w:rsidRDefault="00DE1E29" w:rsidP="00426028">
      <w:pPr>
        <w:pStyle w:val="Geenafstand"/>
        <w:spacing w:line="276" w:lineRule="auto"/>
        <w:ind w:left="720"/>
        <w:rPr>
          <w:rFonts w:eastAsiaTheme="majorEastAsia"/>
        </w:rPr>
      </w:pPr>
      <w:r w:rsidRPr="00B17937">
        <w:rPr>
          <w:rFonts w:eastAsiaTheme="majorEastAsia"/>
        </w:rPr>
        <w:t xml:space="preserve">Partijen erkennen dat gedurende de looptijd van de </w:t>
      </w:r>
      <w:r w:rsidR="00CC7F5B">
        <w:rPr>
          <w:rFonts w:eastAsiaTheme="majorEastAsia"/>
        </w:rPr>
        <w:t>O</w:t>
      </w:r>
      <w:r w:rsidRPr="00B17937">
        <w:rPr>
          <w:rFonts w:eastAsiaTheme="majorEastAsia"/>
        </w:rPr>
        <w:t>vereenkomst nieuwe technologische ontwikkelingen kunnen ontstaan die op dit moment nog niet te definiëren zijn, maar die invloed kunnen hebben op de dienstverlening.</w:t>
      </w:r>
    </w:p>
    <w:p w14:paraId="08A4C156" w14:textId="77777777" w:rsidR="00DE1E29" w:rsidRDefault="00DE1E29" w:rsidP="00426028">
      <w:pPr>
        <w:pStyle w:val="Geenafstand"/>
        <w:spacing w:line="276" w:lineRule="auto"/>
        <w:ind w:left="720"/>
        <w:rPr>
          <w:rFonts w:eastAsiaTheme="majorEastAsia"/>
        </w:rPr>
      </w:pPr>
    </w:p>
    <w:p w14:paraId="3399AD33" w14:textId="37294B63" w:rsidR="00DE1E29" w:rsidRPr="00B17937" w:rsidRDefault="00DE1E29" w:rsidP="00426028">
      <w:pPr>
        <w:pStyle w:val="Geenafstand"/>
        <w:spacing w:line="276" w:lineRule="auto"/>
        <w:ind w:left="720"/>
        <w:rPr>
          <w:rFonts w:eastAsiaTheme="majorEastAsia"/>
        </w:rPr>
      </w:pPr>
      <w:r w:rsidRPr="00B17937">
        <w:rPr>
          <w:rFonts w:eastAsiaTheme="majorEastAsia"/>
        </w:rPr>
        <w:t xml:space="preserve">Wanneer zich een ontwikkeling voordoet die aanzienlijke impact heeft op technische mogelijkheden, beveiligingsvereisten, gebruikerservaring of wettelijke kaders, treden </w:t>
      </w:r>
      <w:r w:rsidR="00CC7F5B">
        <w:rPr>
          <w:rFonts w:eastAsiaTheme="majorEastAsia"/>
        </w:rPr>
        <w:t>P</w:t>
      </w:r>
      <w:r w:rsidRPr="00B17937">
        <w:rPr>
          <w:rFonts w:eastAsiaTheme="majorEastAsia"/>
        </w:rPr>
        <w:t>artijen in overleg om vast te stellen:</w:t>
      </w:r>
    </w:p>
    <w:p w14:paraId="299656C5" w14:textId="77777777" w:rsidR="00DE1E29" w:rsidRPr="00B17937" w:rsidRDefault="00DE1E29" w:rsidP="00426028">
      <w:pPr>
        <w:pStyle w:val="Geenafstand"/>
        <w:numPr>
          <w:ilvl w:val="1"/>
          <w:numId w:val="16"/>
        </w:numPr>
        <w:spacing w:line="276" w:lineRule="auto"/>
        <w:rPr>
          <w:rFonts w:eastAsiaTheme="majorEastAsia"/>
        </w:rPr>
      </w:pPr>
      <w:r w:rsidRPr="00B17937">
        <w:rPr>
          <w:rFonts w:eastAsiaTheme="majorEastAsia"/>
        </w:rPr>
        <w:t>de aard van de ontwikkeling,</w:t>
      </w:r>
    </w:p>
    <w:p w14:paraId="078B83DC" w14:textId="77777777" w:rsidR="00DE1E29" w:rsidRPr="00B17937" w:rsidRDefault="00DE1E29" w:rsidP="00426028">
      <w:pPr>
        <w:pStyle w:val="Geenafstand"/>
        <w:numPr>
          <w:ilvl w:val="1"/>
          <w:numId w:val="16"/>
        </w:numPr>
        <w:spacing w:line="276" w:lineRule="auto"/>
        <w:rPr>
          <w:rFonts w:eastAsiaTheme="majorEastAsia"/>
        </w:rPr>
      </w:pPr>
      <w:r w:rsidRPr="00B17937">
        <w:rPr>
          <w:rFonts w:eastAsiaTheme="majorEastAsia"/>
        </w:rPr>
        <w:t>de noodzakelijke of wenselijke aanpassingen,</w:t>
      </w:r>
    </w:p>
    <w:p w14:paraId="0E4E3C8E" w14:textId="77777777" w:rsidR="00DE1E29" w:rsidRPr="00B17937" w:rsidRDefault="00DE1E29" w:rsidP="00426028">
      <w:pPr>
        <w:pStyle w:val="Geenafstand"/>
        <w:numPr>
          <w:ilvl w:val="1"/>
          <w:numId w:val="16"/>
        </w:numPr>
        <w:spacing w:line="276" w:lineRule="auto"/>
        <w:rPr>
          <w:rFonts w:eastAsiaTheme="majorEastAsia"/>
        </w:rPr>
      </w:pPr>
      <w:r w:rsidRPr="00B17937">
        <w:rPr>
          <w:rFonts w:eastAsiaTheme="majorEastAsia"/>
        </w:rPr>
        <w:t>de proportionaliteit ten opzichte van de oorspronkelijke opdracht,</w:t>
      </w:r>
    </w:p>
    <w:p w14:paraId="6A75DED0" w14:textId="77777777" w:rsidR="00DE1E29" w:rsidRPr="00B17937" w:rsidRDefault="00DE1E29" w:rsidP="00426028">
      <w:pPr>
        <w:pStyle w:val="Geenafstand"/>
        <w:numPr>
          <w:ilvl w:val="1"/>
          <w:numId w:val="16"/>
        </w:numPr>
        <w:spacing w:line="276" w:lineRule="auto"/>
        <w:rPr>
          <w:rFonts w:eastAsiaTheme="majorEastAsia"/>
        </w:rPr>
      </w:pPr>
      <w:r w:rsidRPr="00B17937">
        <w:rPr>
          <w:rFonts w:eastAsiaTheme="majorEastAsia"/>
        </w:rPr>
        <w:t>de implementatietermijn,</w:t>
      </w:r>
    </w:p>
    <w:p w14:paraId="46F1B97D" w14:textId="77777777" w:rsidR="00DE1E29" w:rsidRPr="00B17937" w:rsidRDefault="00DE1E29" w:rsidP="00426028">
      <w:pPr>
        <w:pStyle w:val="Geenafstand"/>
        <w:numPr>
          <w:ilvl w:val="1"/>
          <w:numId w:val="16"/>
        </w:numPr>
        <w:spacing w:line="276" w:lineRule="auto"/>
        <w:rPr>
          <w:rFonts w:eastAsiaTheme="majorEastAsia"/>
        </w:rPr>
      </w:pPr>
      <w:r w:rsidRPr="00B17937">
        <w:rPr>
          <w:rFonts w:eastAsiaTheme="majorEastAsia"/>
        </w:rPr>
        <w:t>de mogelijke financiële impact (indien van toepassing).</w:t>
      </w:r>
    </w:p>
    <w:p w14:paraId="4265C7C7" w14:textId="77777777" w:rsidR="00DE1E29" w:rsidRDefault="00DE1E29" w:rsidP="00426028">
      <w:pPr>
        <w:pStyle w:val="Geenafstand"/>
        <w:spacing w:line="276" w:lineRule="auto"/>
        <w:ind w:left="720"/>
        <w:rPr>
          <w:rFonts w:eastAsiaTheme="majorEastAsia"/>
        </w:rPr>
      </w:pPr>
    </w:p>
    <w:p w14:paraId="55ADEF30" w14:textId="77777777" w:rsidR="00DE1E29" w:rsidRPr="00F94873" w:rsidRDefault="00DE1E29" w:rsidP="00426028">
      <w:pPr>
        <w:pStyle w:val="Geenafstand"/>
        <w:spacing w:line="276" w:lineRule="auto"/>
        <w:ind w:left="720"/>
        <w:rPr>
          <w:rFonts w:eastAsiaTheme="majorEastAsia"/>
          <w:i/>
          <w:iCs/>
        </w:rPr>
      </w:pPr>
      <w:r w:rsidRPr="00F94873">
        <w:rPr>
          <w:rFonts w:eastAsiaTheme="majorEastAsia"/>
          <w:i/>
          <w:iCs/>
        </w:rPr>
        <w:t>Niet-wezenlijke wijzigingen</w:t>
      </w:r>
    </w:p>
    <w:p w14:paraId="0CBDF2BC" w14:textId="77777777" w:rsidR="00DE1E29" w:rsidRPr="00B17937" w:rsidRDefault="00DE1E29" w:rsidP="00426028">
      <w:pPr>
        <w:pStyle w:val="Geenafstand"/>
        <w:spacing w:line="276" w:lineRule="auto"/>
        <w:ind w:left="720"/>
        <w:rPr>
          <w:rFonts w:eastAsiaTheme="majorEastAsia"/>
        </w:rPr>
      </w:pPr>
      <w:r w:rsidRPr="00B17937">
        <w:rPr>
          <w:rFonts w:eastAsiaTheme="majorEastAsia"/>
        </w:rPr>
        <w:t>Aanpassingen die noodzakelijk zijn om de dienstverlening technisch actueel, veilig en bruikbaar te houden, worden beschouwd als niet-wezenlijke wijzigingen zolang ze binnen de functionele scope van de opdracht vallen.</w:t>
      </w:r>
    </w:p>
    <w:p w14:paraId="6E15D828" w14:textId="77777777" w:rsidR="00DE1E29" w:rsidRDefault="00DE1E29" w:rsidP="00426028">
      <w:pPr>
        <w:pStyle w:val="Geenafstand"/>
        <w:spacing w:line="276" w:lineRule="auto"/>
        <w:ind w:left="720"/>
        <w:rPr>
          <w:rFonts w:eastAsiaTheme="majorEastAsia"/>
        </w:rPr>
      </w:pPr>
    </w:p>
    <w:p w14:paraId="571269C5" w14:textId="77777777" w:rsidR="00DE1E29" w:rsidRPr="00F94873" w:rsidRDefault="00DE1E29" w:rsidP="00426028">
      <w:pPr>
        <w:pStyle w:val="Geenafstand"/>
        <w:spacing w:line="276" w:lineRule="auto"/>
        <w:ind w:left="720"/>
        <w:rPr>
          <w:rFonts w:eastAsiaTheme="majorEastAsia"/>
          <w:i/>
          <w:iCs/>
        </w:rPr>
      </w:pPr>
      <w:r w:rsidRPr="00F94873">
        <w:rPr>
          <w:rFonts w:eastAsiaTheme="majorEastAsia"/>
          <w:i/>
          <w:iCs/>
        </w:rPr>
        <w:t>Innovatie binnen kaders</w:t>
      </w:r>
    </w:p>
    <w:p w14:paraId="7870927D" w14:textId="4EF3FE0B" w:rsidR="00DE1E29" w:rsidRPr="00B17937" w:rsidRDefault="00DE1E29" w:rsidP="00426028">
      <w:pPr>
        <w:pStyle w:val="Geenafstand"/>
        <w:spacing w:line="276" w:lineRule="auto"/>
        <w:ind w:left="720"/>
        <w:rPr>
          <w:rFonts w:eastAsiaTheme="majorEastAsia"/>
        </w:rPr>
      </w:pPr>
      <w:r w:rsidRPr="00B17937">
        <w:rPr>
          <w:rFonts w:eastAsiaTheme="majorEastAsia"/>
        </w:rPr>
        <w:t xml:space="preserve">Indien nieuwe technologie aantoonbaar voordeel oplevert (bijv. efficiënte AI-modellen, verbeterde beveiligingsstandaarden of nieuwe digitale mogelijkheden), kan de </w:t>
      </w:r>
      <w:r w:rsidR="00CC7F5B">
        <w:rPr>
          <w:rFonts w:eastAsiaTheme="majorEastAsia"/>
        </w:rPr>
        <w:t>Opdrachtgever</w:t>
      </w:r>
      <w:r w:rsidRPr="00B17937">
        <w:rPr>
          <w:rFonts w:eastAsiaTheme="majorEastAsia"/>
        </w:rPr>
        <w:t xml:space="preserve"> de implementatie verlangen mits:</w:t>
      </w:r>
    </w:p>
    <w:p w14:paraId="11B0C325" w14:textId="77777777" w:rsidR="00DE1E29" w:rsidRDefault="00DE1E29" w:rsidP="00426028">
      <w:pPr>
        <w:pStyle w:val="Geenafstand"/>
        <w:numPr>
          <w:ilvl w:val="1"/>
          <w:numId w:val="16"/>
        </w:numPr>
        <w:spacing w:line="276" w:lineRule="auto"/>
        <w:rPr>
          <w:rFonts w:eastAsiaTheme="majorEastAsia"/>
        </w:rPr>
      </w:pPr>
      <w:r w:rsidRPr="00B17937">
        <w:rPr>
          <w:rFonts w:eastAsiaTheme="majorEastAsia"/>
        </w:rPr>
        <w:t>deze geen wezenlijke wijziging vormt,</w:t>
      </w:r>
      <w:r>
        <w:rPr>
          <w:rFonts w:eastAsiaTheme="majorEastAsia"/>
        </w:rPr>
        <w:t xml:space="preserve"> </w:t>
      </w:r>
    </w:p>
    <w:p w14:paraId="453B0E20" w14:textId="0165DA85" w:rsidR="00DE1E29" w:rsidRDefault="00DE1E29" w:rsidP="00426028">
      <w:pPr>
        <w:pStyle w:val="Geenafstand"/>
        <w:numPr>
          <w:ilvl w:val="1"/>
          <w:numId w:val="16"/>
        </w:numPr>
        <w:spacing w:line="276" w:lineRule="auto"/>
        <w:rPr>
          <w:rFonts w:eastAsiaTheme="majorEastAsia"/>
        </w:rPr>
      </w:pPr>
      <w:r w:rsidRPr="00B17937">
        <w:rPr>
          <w:rFonts w:eastAsiaTheme="majorEastAsia"/>
        </w:rPr>
        <w:t xml:space="preserve">de </w:t>
      </w:r>
      <w:r w:rsidR="00710183">
        <w:rPr>
          <w:rFonts w:eastAsiaTheme="majorEastAsia"/>
        </w:rPr>
        <w:t>Wederpartij</w:t>
      </w:r>
      <w:r w:rsidRPr="00B17937">
        <w:rPr>
          <w:rFonts w:eastAsiaTheme="majorEastAsia"/>
        </w:rPr>
        <w:t xml:space="preserve"> transparant inzicht geeft in de kosten en gevolgen,</w:t>
      </w:r>
      <w:r>
        <w:rPr>
          <w:rFonts w:eastAsiaTheme="majorEastAsia"/>
        </w:rPr>
        <w:t xml:space="preserve"> </w:t>
      </w:r>
    </w:p>
    <w:p w14:paraId="0599B77F" w14:textId="77777777" w:rsidR="00DE1E29" w:rsidRPr="00B17937" w:rsidRDefault="00DE1E29" w:rsidP="00426028">
      <w:pPr>
        <w:pStyle w:val="Geenafstand"/>
        <w:numPr>
          <w:ilvl w:val="1"/>
          <w:numId w:val="16"/>
        </w:numPr>
        <w:spacing w:line="276" w:lineRule="auto"/>
        <w:rPr>
          <w:rFonts w:eastAsiaTheme="majorEastAsia"/>
        </w:rPr>
      </w:pPr>
      <w:r w:rsidRPr="00B17937">
        <w:rPr>
          <w:rFonts w:eastAsiaTheme="majorEastAsia"/>
        </w:rPr>
        <w:t>deze ontwikkelingen logisch voortbouwen op de geleverde diensten.</w:t>
      </w:r>
    </w:p>
    <w:p w14:paraId="75213CC1" w14:textId="77777777" w:rsidR="00DE1E29" w:rsidRPr="00E40E80" w:rsidRDefault="00DE1E29" w:rsidP="00426028">
      <w:pPr>
        <w:pStyle w:val="Geenafstand"/>
        <w:spacing w:line="276" w:lineRule="auto"/>
        <w:ind w:left="720"/>
        <w:rPr>
          <w:rFonts w:eastAsiaTheme="majorEastAsia"/>
        </w:rPr>
      </w:pPr>
    </w:p>
    <w:p w14:paraId="1724AC1B" w14:textId="3E6009B9" w:rsidR="00DE1E29" w:rsidRDefault="00DE1E29" w:rsidP="00426028">
      <w:pPr>
        <w:pStyle w:val="Geenafstand"/>
        <w:numPr>
          <w:ilvl w:val="0"/>
          <w:numId w:val="15"/>
        </w:numPr>
        <w:spacing w:line="276" w:lineRule="auto"/>
        <w:rPr>
          <w:rFonts w:eastAsiaTheme="majorEastAsia"/>
        </w:rPr>
      </w:pPr>
      <w:r w:rsidRPr="00E40E80">
        <w:rPr>
          <w:rFonts w:eastAsiaTheme="majorEastAsia"/>
          <w:b/>
          <w:bCs/>
        </w:rPr>
        <w:t>Security</w:t>
      </w:r>
      <w:r w:rsidRPr="00E40E80">
        <w:rPr>
          <w:rFonts w:eastAsiaTheme="majorEastAsia"/>
        </w:rPr>
        <w:br/>
        <w:t xml:space="preserve">Indien nieuwe beveiligingsstandaarden, dreigingen of sectorale verplichtingen dit vereisen, kan de </w:t>
      </w:r>
      <w:r w:rsidR="00CC7F5B">
        <w:rPr>
          <w:rFonts w:eastAsiaTheme="majorEastAsia"/>
        </w:rPr>
        <w:t>Opdrachtgever</w:t>
      </w:r>
      <w:r w:rsidRPr="00E40E80">
        <w:rPr>
          <w:rFonts w:eastAsiaTheme="majorEastAsia"/>
        </w:rPr>
        <w:t xml:space="preserve"> verzoeken om het doorvoeren van aanvullende beveiligingsmaatregelen. De </w:t>
      </w:r>
      <w:r w:rsidR="00710183">
        <w:rPr>
          <w:rFonts w:eastAsiaTheme="majorEastAsia"/>
        </w:rPr>
        <w:t>Wederpartij</w:t>
      </w:r>
      <w:r w:rsidRPr="00E40E80">
        <w:rPr>
          <w:rFonts w:eastAsiaTheme="majorEastAsia"/>
        </w:rPr>
        <w:t xml:space="preserve"> dient beveiligingsupdates zonder onredelijke vertraging te implementeren.</w:t>
      </w:r>
      <w:r w:rsidR="00CC7F5B">
        <w:rPr>
          <w:rFonts w:eastAsiaTheme="majorEastAsia"/>
        </w:rPr>
        <w:br/>
      </w:r>
    </w:p>
    <w:p w14:paraId="0056A54C" w14:textId="13E3EA78" w:rsidR="00DE1E29" w:rsidRDefault="00DE1E29" w:rsidP="00426028">
      <w:pPr>
        <w:pStyle w:val="Geenafstand"/>
        <w:numPr>
          <w:ilvl w:val="0"/>
          <w:numId w:val="15"/>
        </w:numPr>
        <w:spacing w:line="276" w:lineRule="auto"/>
        <w:rPr>
          <w:rFonts w:eastAsiaTheme="majorEastAsia"/>
        </w:rPr>
      </w:pPr>
      <w:r w:rsidRPr="00E40E80">
        <w:rPr>
          <w:rFonts w:eastAsiaTheme="majorEastAsia"/>
          <w:b/>
          <w:bCs/>
        </w:rPr>
        <w:t>Wetswijzigingen</w:t>
      </w:r>
      <w:r w:rsidRPr="00E40E80">
        <w:rPr>
          <w:rFonts w:eastAsiaTheme="majorEastAsia"/>
          <w:b/>
          <w:bCs/>
        </w:rPr>
        <w:br/>
      </w:r>
      <w:r w:rsidRPr="00E40E80">
        <w:rPr>
          <w:rFonts w:eastAsiaTheme="majorEastAsia"/>
        </w:rPr>
        <w:t>Bij</w:t>
      </w:r>
      <w:r>
        <w:rPr>
          <w:rFonts w:eastAsiaTheme="majorEastAsia"/>
        </w:rPr>
        <w:t xml:space="preserve"> (verplichte)</w:t>
      </w:r>
      <w:r w:rsidRPr="00E40E80">
        <w:rPr>
          <w:rFonts w:eastAsiaTheme="majorEastAsia"/>
        </w:rPr>
        <w:t xml:space="preserve"> wijzigingen in relevante wet- en regelgeving die impact hebben op de dienstverlening, is de </w:t>
      </w:r>
      <w:r w:rsidR="00710183">
        <w:rPr>
          <w:rFonts w:eastAsiaTheme="majorEastAsia"/>
        </w:rPr>
        <w:t>Wederpartij</w:t>
      </w:r>
      <w:r w:rsidRPr="00E40E80">
        <w:rPr>
          <w:rFonts w:eastAsiaTheme="majorEastAsia"/>
        </w:rPr>
        <w:t xml:space="preserve"> verplicht zijn systemen, processen en functionaliteiten hierop </w:t>
      </w:r>
      <w:r>
        <w:rPr>
          <w:rFonts w:eastAsiaTheme="majorEastAsia"/>
        </w:rPr>
        <w:t>(</w:t>
      </w:r>
      <w:r w:rsidRPr="00E40E80">
        <w:rPr>
          <w:rFonts w:eastAsiaTheme="majorEastAsia"/>
        </w:rPr>
        <w:t>kosteloos</w:t>
      </w:r>
      <w:r>
        <w:rPr>
          <w:rFonts w:eastAsiaTheme="majorEastAsia"/>
        </w:rPr>
        <w:t>)</w:t>
      </w:r>
      <w:r w:rsidRPr="00E40E80">
        <w:rPr>
          <w:rFonts w:eastAsiaTheme="majorEastAsia"/>
        </w:rPr>
        <w:t xml:space="preserve"> aan te passen. </w:t>
      </w:r>
      <w:r w:rsidR="00CC7F5B">
        <w:rPr>
          <w:rFonts w:eastAsiaTheme="majorEastAsia"/>
        </w:rPr>
        <w:t>P</w:t>
      </w:r>
      <w:r w:rsidRPr="00E40E80">
        <w:rPr>
          <w:rFonts w:eastAsiaTheme="majorEastAsia"/>
        </w:rPr>
        <w:t>artijen treden tijdig in overleg om de gevolgen en de implementatietermijnen te bepalen.</w:t>
      </w:r>
    </w:p>
    <w:p w14:paraId="17100C49" w14:textId="77777777" w:rsidR="00DE1E29" w:rsidRDefault="00DE1E29" w:rsidP="00426028">
      <w:pPr>
        <w:pStyle w:val="Lijstalinea"/>
        <w:rPr>
          <w:rFonts w:eastAsiaTheme="majorEastAsia"/>
        </w:rPr>
      </w:pPr>
    </w:p>
    <w:p w14:paraId="5DB3FE6C" w14:textId="2DB7E977" w:rsidR="00DE1E29" w:rsidRDefault="00DE1E29" w:rsidP="00426028">
      <w:pPr>
        <w:pStyle w:val="Geenafstand"/>
        <w:numPr>
          <w:ilvl w:val="0"/>
          <w:numId w:val="15"/>
        </w:numPr>
        <w:spacing w:line="276" w:lineRule="auto"/>
        <w:rPr>
          <w:rFonts w:eastAsiaTheme="majorEastAsia"/>
        </w:rPr>
      </w:pPr>
      <w:r w:rsidRPr="002323B7">
        <w:rPr>
          <w:rFonts w:eastAsiaTheme="majorEastAsia"/>
          <w:b/>
          <w:bCs/>
        </w:rPr>
        <w:t>Indexatie</w:t>
      </w:r>
      <w:r w:rsidRPr="002323B7">
        <w:rPr>
          <w:rFonts w:eastAsiaTheme="majorEastAsia"/>
        </w:rPr>
        <w:br/>
      </w:r>
      <w:r w:rsidR="00DD72E9" w:rsidRPr="00327A9B">
        <w:rPr>
          <w:rFonts w:eastAsiaTheme="majorEastAsia"/>
          <w:color w:val="5B9BD5" w:themeColor="accent1"/>
        </w:rPr>
        <w:t xml:space="preserve">De vergoedingen binnen de Overeenkomst kunnen </w:t>
      </w:r>
      <w:r w:rsidR="00DD72E9">
        <w:rPr>
          <w:rFonts w:eastAsiaTheme="majorEastAsia"/>
          <w:color w:val="5B9BD5" w:themeColor="accent1"/>
        </w:rPr>
        <w:t xml:space="preserve">worden geïndexeerd zoals </w:t>
      </w:r>
      <w:r w:rsidR="00DD72E9" w:rsidRPr="00327A9B">
        <w:rPr>
          <w:rFonts w:eastAsiaTheme="majorEastAsia"/>
          <w:color w:val="5B9BD5" w:themeColor="accent1"/>
        </w:rPr>
        <w:t>omschreven in artikel 7.2 van de concept Overeenkomst</w:t>
      </w:r>
      <w:r w:rsidR="00DD72E9">
        <w:rPr>
          <w:rFonts w:eastAsiaTheme="majorEastAsia"/>
          <w:color w:val="5B9BD5" w:themeColor="accent1"/>
        </w:rPr>
        <w:t xml:space="preserve"> A2</w:t>
      </w:r>
      <w:r w:rsidR="00DD72E9" w:rsidRPr="00327A9B">
        <w:rPr>
          <w:rFonts w:eastAsiaTheme="majorEastAsia"/>
          <w:color w:val="5B9BD5" w:themeColor="accent1"/>
        </w:rPr>
        <w:t xml:space="preserve">. </w:t>
      </w:r>
      <w:r w:rsidRPr="002323B7">
        <w:rPr>
          <w:rFonts w:eastAsiaTheme="majorEastAsia"/>
        </w:rPr>
        <w:t xml:space="preserve">De indexatie dient transparant, controleerbaar en in overeenstemming met de </w:t>
      </w:r>
      <w:r>
        <w:rPr>
          <w:rFonts w:eastAsiaTheme="majorEastAsia"/>
        </w:rPr>
        <w:t>concept Overeenkomst</w:t>
      </w:r>
      <w:r w:rsidRPr="002323B7">
        <w:rPr>
          <w:rFonts w:eastAsiaTheme="majorEastAsia"/>
        </w:rPr>
        <w:t xml:space="preserve"> te worden toegepast.</w:t>
      </w:r>
    </w:p>
    <w:p w14:paraId="5D345C64" w14:textId="77777777" w:rsidR="00DE1E29" w:rsidRDefault="00DE1E29" w:rsidP="00426028">
      <w:pPr>
        <w:spacing w:line="276" w:lineRule="auto"/>
        <w:rPr>
          <w:rFonts w:eastAsiaTheme="majorEastAsia"/>
        </w:rPr>
      </w:pPr>
    </w:p>
    <w:p w14:paraId="6EF6A2AE" w14:textId="77777777" w:rsidR="00CC7F5B" w:rsidRPr="00F94873" w:rsidRDefault="00CC7F5B" w:rsidP="00426028">
      <w:pPr>
        <w:spacing w:line="276" w:lineRule="auto"/>
        <w:rPr>
          <w:rFonts w:eastAsiaTheme="majorEastAsia"/>
        </w:rPr>
      </w:pPr>
    </w:p>
    <w:p w14:paraId="3CC94E9B" w14:textId="77777777" w:rsidR="00DE1E29" w:rsidRDefault="00DE1E29" w:rsidP="000C47D6">
      <w:pPr>
        <w:pStyle w:val="Geenafstand"/>
        <w:spacing w:line="276" w:lineRule="auto"/>
        <w:ind w:firstLine="360"/>
        <w:rPr>
          <w:rFonts w:eastAsiaTheme="majorEastAsia"/>
          <w:b/>
          <w:bCs/>
        </w:rPr>
      </w:pPr>
      <w:r w:rsidRPr="00F94873">
        <w:rPr>
          <w:rFonts w:eastAsiaTheme="majorEastAsia"/>
          <w:b/>
          <w:bCs/>
        </w:rPr>
        <w:t xml:space="preserve">Financiële </w:t>
      </w:r>
      <w:r>
        <w:rPr>
          <w:rFonts w:eastAsiaTheme="majorEastAsia"/>
          <w:b/>
          <w:bCs/>
        </w:rPr>
        <w:t>a</w:t>
      </w:r>
      <w:r w:rsidRPr="00F94873">
        <w:rPr>
          <w:rFonts w:eastAsiaTheme="majorEastAsia"/>
          <w:b/>
          <w:bCs/>
        </w:rPr>
        <w:t xml:space="preserve">fhandeling van </w:t>
      </w:r>
      <w:r>
        <w:rPr>
          <w:rFonts w:eastAsiaTheme="majorEastAsia"/>
          <w:b/>
          <w:bCs/>
        </w:rPr>
        <w:t>h</w:t>
      </w:r>
      <w:r w:rsidRPr="00F94873">
        <w:rPr>
          <w:rFonts w:eastAsiaTheme="majorEastAsia"/>
          <w:b/>
          <w:bCs/>
        </w:rPr>
        <w:t>erzieningen</w:t>
      </w:r>
    </w:p>
    <w:p w14:paraId="11D967D4" w14:textId="77777777" w:rsidR="00DE1E29" w:rsidRPr="00F94873" w:rsidRDefault="00DE1E29" w:rsidP="00426028">
      <w:pPr>
        <w:pStyle w:val="Geenafstand"/>
        <w:spacing w:line="276" w:lineRule="auto"/>
        <w:rPr>
          <w:rFonts w:eastAsiaTheme="majorEastAsia"/>
          <w:b/>
          <w:bCs/>
        </w:rPr>
      </w:pPr>
    </w:p>
    <w:p w14:paraId="5C70E97C" w14:textId="77777777" w:rsidR="00DE1E29" w:rsidRPr="00F94873" w:rsidRDefault="00DE1E29" w:rsidP="00426028">
      <w:pPr>
        <w:pStyle w:val="Geenafstand"/>
        <w:numPr>
          <w:ilvl w:val="0"/>
          <w:numId w:val="17"/>
        </w:numPr>
        <w:spacing w:line="276" w:lineRule="auto"/>
        <w:rPr>
          <w:rFonts w:eastAsiaTheme="majorEastAsia"/>
          <w:b/>
          <w:bCs/>
        </w:rPr>
      </w:pPr>
      <w:r w:rsidRPr="00F94873">
        <w:rPr>
          <w:rFonts w:eastAsiaTheme="majorEastAsia"/>
          <w:b/>
          <w:bCs/>
        </w:rPr>
        <w:t xml:space="preserve">Kosteloze </w:t>
      </w:r>
      <w:r>
        <w:rPr>
          <w:rFonts w:eastAsiaTheme="majorEastAsia"/>
          <w:b/>
          <w:bCs/>
        </w:rPr>
        <w:t>a</w:t>
      </w:r>
      <w:r w:rsidRPr="00F94873">
        <w:rPr>
          <w:rFonts w:eastAsiaTheme="majorEastAsia"/>
          <w:b/>
          <w:bCs/>
        </w:rPr>
        <w:t>anpassingen</w:t>
      </w:r>
    </w:p>
    <w:p w14:paraId="72BA2019" w14:textId="77777777" w:rsidR="00DE1E29" w:rsidRPr="00F94873" w:rsidRDefault="00DE1E29" w:rsidP="00426028">
      <w:pPr>
        <w:pStyle w:val="Geenafstand"/>
        <w:spacing w:line="276" w:lineRule="auto"/>
        <w:ind w:firstLine="360"/>
        <w:rPr>
          <w:rFonts w:eastAsiaTheme="majorEastAsia"/>
        </w:rPr>
      </w:pPr>
      <w:r w:rsidRPr="00F94873">
        <w:rPr>
          <w:rFonts w:eastAsiaTheme="majorEastAsia"/>
        </w:rPr>
        <w:t>De volgende wijzigingen worden zonder meerkosten uitgevoerd:</w:t>
      </w:r>
    </w:p>
    <w:p w14:paraId="696E480E" w14:textId="77777777" w:rsidR="00DE1E29" w:rsidRPr="00F94873" w:rsidRDefault="00DE1E29" w:rsidP="00426028">
      <w:pPr>
        <w:pStyle w:val="Geenafstand"/>
        <w:numPr>
          <w:ilvl w:val="0"/>
          <w:numId w:val="16"/>
        </w:numPr>
        <w:spacing w:line="276" w:lineRule="auto"/>
        <w:rPr>
          <w:rFonts w:eastAsiaTheme="majorEastAsia"/>
        </w:rPr>
      </w:pPr>
      <w:r w:rsidRPr="00F94873">
        <w:rPr>
          <w:rFonts w:eastAsiaTheme="majorEastAsia"/>
        </w:rPr>
        <w:t>Security-updates en dringende beveiligingsmaatregelen.</w:t>
      </w:r>
    </w:p>
    <w:p w14:paraId="46CF2D5B" w14:textId="77777777" w:rsidR="00DE1E29" w:rsidRPr="00F94873" w:rsidRDefault="00DE1E29" w:rsidP="00426028">
      <w:pPr>
        <w:pStyle w:val="Geenafstand"/>
        <w:numPr>
          <w:ilvl w:val="0"/>
          <w:numId w:val="16"/>
        </w:numPr>
        <w:spacing w:line="276" w:lineRule="auto"/>
        <w:rPr>
          <w:rFonts w:eastAsiaTheme="majorEastAsia"/>
        </w:rPr>
      </w:pPr>
      <w:r>
        <w:rPr>
          <w:rFonts w:eastAsiaTheme="majorEastAsia"/>
        </w:rPr>
        <w:t>N</w:t>
      </w:r>
      <w:r w:rsidRPr="00F94873">
        <w:rPr>
          <w:rFonts w:eastAsiaTheme="majorEastAsia"/>
        </w:rPr>
        <w:t>oodzakelijk</w:t>
      </w:r>
      <w:r>
        <w:rPr>
          <w:rFonts w:eastAsiaTheme="majorEastAsia"/>
        </w:rPr>
        <w:t>e</w:t>
      </w:r>
      <w:r w:rsidRPr="00F94873">
        <w:rPr>
          <w:rFonts w:eastAsiaTheme="majorEastAsia"/>
        </w:rPr>
        <w:t xml:space="preserve"> </w:t>
      </w:r>
      <w:r>
        <w:rPr>
          <w:rFonts w:eastAsiaTheme="majorEastAsia"/>
        </w:rPr>
        <w:t>a</w:t>
      </w:r>
      <w:r w:rsidRPr="00F94873">
        <w:rPr>
          <w:rFonts w:eastAsiaTheme="majorEastAsia"/>
        </w:rPr>
        <w:t xml:space="preserve">anpassingen door </w:t>
      </w:r>
      <w:r>
        <w:rPr>
          <w:rFonts w:eastAsiaTheme="majorEastAsia"/>
        </w:rPr>
        <w:t>(verplichte)</w:t>
      </w:r>
      <w:r w:rsidRPr="00F94873">
        <w:rPr>
          <w:rFonts w:eastAsiaTheme="majorEastAsia"/>
        </w:rPr>
        <w:t>wetswijzigingen.</w:t>
      </w:r>
    </w:p>
    <w:p w14:paraId="150BE7F5" w14:textId="29A6AF93" w:rsidR="00DE1E29" w:rsidRDefault="00DE1E29" w:rsidP="00426028">
      <w:pPr>
        <w:pStyle w:val="Geenafstand"/>
        <w:numPr>
          <w:ilvl w:val="0"/>
          <w:numId w:val="16"/>
        </w:numPr>
        <w:spacing w:line="276" w:lineRule="auto"/>
        <w:rPr>
          <w:rFonts w:eastAsiaTheme="majorEastAsia"/>
        </w:rPr>
      </w:pPr>
      <w:r w:rsidRPr="00257BDB">
        <w:rPr>
          <w:rFonts w:eastAsiaTheme="majorEastAsia"/>
        </w:rPr>
        <w:t xml:space="preserve">Functionele en technische updates die de </w:t>
      </w:r>
      <w:r w:rsidR="00710183">
        <w:rPr>
          <w:rFonts w:eastAsiaTheme="majorEastAsia"/>
        </w:rPr>
        <w:t>Wederpartij</w:t>
      </w:r>
      <w:r w:rsidRPr="00257BDB">
        <w:rPr>
          <w:rFonts w:eastAsiaTheme="majorEastAsia"/>
        </w:rPr>
        <w:t xml:space="preserve"> standaard </w:t>
      </w:r>
      <w:r>
        <w:rPr>
          <w:rFonts w:eastAsiaTheme="majorEastAsia"/>
        </w:rPr>
        <w:t>conform de overeenkomst levert</w:t>
      </w:r>
      <w:r w:rsidRPr="00257BDB">
        <w:rPr>
          <w:rFonts w:eastAsiaTheme="majorEastAsia"/>
        </w:rPr>
        <w:t xml:space="preserve">. </w:t>
      </w:r>
    </w:p>
    <w:p w14:paraId="04CE6B10" w14:textId="77777777" w:rsidR="00DE1E29" w:rsidRPr="00257BDB" w:rsidRDefault="00DE1E29" w:rsidP="00426028">
      <w:pPr>
        <w:pStyle w:val="Geenafstand"/>
        <w:spacing w:line="276" w:lineRule="auto"/>
        <w:ind w:left="720"/>
        <w:rPr>
          <w:rFonts w:eastAsiaTheme="majorEastAsia"/>
        </w:rPr>
      </w:pPr>
    </w:p>
    <w:p w14:paraId="7DEDFC1B" w14:textId="77777777" w:rsidR="00DE1E29" w:rsidRPr="00F94873" w:rsidRDefault="00DE1E29" w:rsidP="00426028">
      <w:pPr>
        <w:pStyle w:val="Geenafstand"/>
        <w:numPr>
          <w:ilvl w:val="0"/>
          <w:numId w:val="17"/>
        </w:numPr>
        <w:spacing w:line="276" w:lineRule="auto"/>
        <w:rPr>
          <w:rFonts w:eastAsiaTheme="majorEastAsia"/>
          <w:b/>
          <w:bCs/>
        </w:rPr>
      </w:pPr>
      <w:r w:rsidRPr="00F94873">
        <w:rPr>
          <w:rFonts w:eastAsiaTheme="majorEastAsia"/>
          <w:b/>
          <w:bCs/>
        </w:rPr>
        <w:t xml:space="preserve">Wijzigingen met </w:t>
      </w:r>
      <w:r>
        <w:rPr>
          <w:rFonts w:eastAsiaTheme="majorEastAsia"/>
          <w:b/>
          <w:bCs/>
        </w:rPr>
        <w:t>k</w:t>
      </w:r>
      <w:r w:rsidRPr="00F94873">
        <w:rPr>
          <w:rFonts w:eastAsiaTheme="majorEastAsia"/>
          <w:b/>
          <w:bCs/>
        </w:rPr>
        <w:t>ostenafspraken</w:t>
      </w:r>
    </w:p>
    <w:p w14:paraId="2DED99F6" w14:textId="77777777" w:rsidR="00DE1E29" w:rsidRPr="00F94873" w:rsidRDefault="00DE1E29" w:rsidP="00426028">
      <w:pPr>
        <w:pStyle w:val="Geenafstand"/>
        <w:spacing w:line="276" w:lineRule="auto"/>
        <w:ind w:firstLine="360"/>
        <w:rPr>
          <w:rFonts w:eastAsiaTheme="majorEastAsia"/>
        </w:rPr>
      </w:pPr>
      <w:r w:rsidRPr="00F94873">
        <w:rPr>
          <w:rFonts w:eastAsiaTheme="majorEastAsia"/>
        </w:rPr>
        <w:t>Voor wijzigingen die niet onder de kosteloze categorie vallen:</w:t>
      </w:r>
    </w:p>
    <w:p w14:paraId="7913FB53" w14:textId="77777777" w:rsidR="00CC7F5B" w:rsidRPr="00F94873" w:rsidRDefault="00CC7F5B" w:rsidP="00426028">
      <w:pPr>
        <w:pStyle w:val="Geenafstand"/>
        <w:numPr>
          <w:ilvl w:val="0"/>
          <w:numId w:val="18"/>
        </w:numPr>
        <w:spacing w:line="276" w:lineRule="auto"/>
        <w:rPr>
          <w:rFonts w:eastAsiaTheme="majorEastAsia"/>
        </w:rPr>
      </w:pPr>
      <w:r>
        <w:rPr>
          <w:rFonts w:eastAsiaTheme="majorEastAsia"/>
        </w:rPr>
        <w:t>Levert de</w:t>
      </w:r>
      <w:r w:rsidRPr="00F94873">
        <w:rPr>
          <w:rFonts w:eastAsiaTheme="majorEastAsia"/>
        </w:rPr>
        <w:t xml:space="preserve"> </w:t>
      </w:r>
      <w:r>
        <w:rPr>
          <w:rFonts w:eastAsiaTheme="majorEastAsia"/>
        </w:rPr>
        <w:t>Wederpartij</w:t>
      </w:r>
      <w:r w:rsidRPr="00F94873">
        <w:rPr>
          <w:rFonts w:eastAsiaTheme="majorEastAsia"/>
        </w:rPr>
        <w:t xml:space="preserve"> vooraf een transparante kostenindicatie.</w:t>
      </w:r>
    </w:p>
    <w:p w14:paraId="0E9D9DC9" w14:textId="77777777" w:rsidR="00CC7F5B" w:rsidRPr="00F94873" w:rsidRDefault="00CC7F5B" w:rsidP="00426028">
      <w:pPr>
        <w:pStyle w:val="Geenafstand"/>
        <w:numPr>
          <w:ilvl w:val="0"/>
          <w:numId w:val="18"/>
        </w:numPr>
        <w:spacing w:line="276" w:lineRule="auto"/>
        <w:rPr>
          <w:rFonts w:eastAsiaTheme="majorEastAsia"/>
        </w:rPr>
      </w:pPr>
      <w:r>
        <w:rPr>
          <w:rFonts w:eastAsiaTheme="majorEastAsia"/>
        </w:rPr>
        <w:t>Worden k</w:t>
      </w:r>
      <w:r w:rsidRPr="00F94873">
        <w:rPr>
          <w:rFonts w:eastAsiaTheme="majorEastAsia"/>
        </w:rPr>
        <w:t>osten berekend op basis van vooraf overeengekomen tarieven.</w:t>
      </w:r>
      <w:r>
        <w:rPr>
          <w:rFonts w:eastAsiaTheme="majorEastAsia"/>
        </w:rPr>
        <w:tab/>
      </w:r>
    </w:p>
    <w:p w14:paraId="4FBADA98" w14:textId="77777777" w:rsidR="00CC7F5B" w:rsidRPr="00F94873" w:rsidRDefault="00CC7F5B" w:rsidP="00426028">
      <w:pPr>
        <w:pStyle w:val="Geenafstand"/>
        <w:numPr>
          <w:ilvl w:val="0"/>
          <w:numId w:val="18"/>
        </w:numPr>
        <w:spacing w:line="276" w:lineRule="auto"/>
        <w:rPr>
          <w:rFonts w:eastAsiaTheme="majorEastAsia"/>
        </w:rPr>
      </w:pPr>
      <w:r>
        <w:rPr>
          <w:rFonts w:eastAsiaTheme="majorEastAsia"/>
        </w:rPr>
        <w:t>Vindt u</w:t>
      </w:r>
      <w:r w:rsidRPr="00F94873">
        <w:rPr>
          <w:rFonts w:eastAsiaTheme="majorEastAsia"/>
        </w:rPr>
        <w:t xml:space="preserve">itvoering pas plaats na schriftelijke goedkeuring van de </w:t>
      </w:r>
      <w:r>
        <w:rPr>
          <w:rFonts w:eastAsiaTheme="majorEastAsia"/>
        </w:rPr>
        <w:t>Opdrachtgever</w:t>
      </w:r>
      <w:r w:rsidRPr="00F94873">
        <w:rPr>
          <w:rFonts w:eastAsiaTheme="majorEastAsia"/>
        </w:rPr>
        <w:t>.</w:t>
      </w:r>
    </w:p>
    <w:p w14:paraId="30F8CE05" w14:textId="77777777" w:rsidR="00DE1E29" w:rsidRPr="00F94873" w:rsidRDefault="00DE1E29" w:rsidP="00426028">
      <w:pPr>
        <w:pStyle w:val="Geenafstand"/>
        <w:spacing w:line="276" w:lineRule="auto"/>
        <w:rPr>
          <w:rFonts w:eastAsiaTheme="majorEastAsia"/>
        </w:rPr>
      </w:pPr>
    </w:p>
    <w:p w14:paraId="54046697" w14:textId="77777777" w:rsidR="00DE1E29" w:rsidRPr="00961BD3" w:rsidRDefault="00DE1E29" w:rsidP="00426028">
      <w:pPr>
        <w:pStyle w:val="Geenafstand"/>
        <w:numPr>
          <w:ilvl w:val="0"/>
          <w:numId w:val="17"/>
        </w:numPr>
        <w:spacing w:line="276" w:lineRule="auto"/>
        <w:rPr>
          <w:rFonts w:eastAsiaTheme="majorEastAsia"/>
          <w:b/>
          <w:bCs/>
        </w:rPr>
      </w:pPr>
      <w:r w:rsidRPr="00961BD3">
        <w:rPr>
          <w:rFonts w:eastAsiaTheme="majorEastAsia"/>
          <w:b/>
          <w:bCs/>
        </w:rPr>
        <w:t xml:space="preserve">Aanpassing Volume-gerelateerde </w:t>
      </w:r>
      <w:r>
        <w:rPr>
          <w:rFonts w:eastAsiaTheme="majorEastAsia"/>
          <w:b/>
          <w:bCs/>
        </w:rPr>
        <w:t>k</w:t>
      </w:r>
      <w:r w:rsidRPr="00961BD3">
        <w:rPr>
          <w:rFonts w:eastAsiaTheme="majorEastAsia"/>
          <w:b/>
          <w:bCs/>
        </w:rPr>
        <w:t>osten</w:t>
      </w:r>
    </w:p>
    <w:p w14:paraId="47E0815A" w14:textId="77777777" w:rsidR="00DE1E29" w:rsidRDefault="00DE1E29" w:rsidP="00426028">
      <w:pPr>
        <w:pStyle w:val="Geenafstand"/>
        <w:spacing w:line="276" w:lineRule="auto"/>
        <w:ind w:firstLine="360"/>
        <w:rPr>
          <w:rFonts w:eastAsiaTheme="majorEastAsia"/>
        </w:rPr>
      </w:pPr>
      <w:r w:rsidRPr="00961BD3">
        <w:rPr>
          <w:rFonts w:eastAsiaTheme="majorEastAsia"/>
        </w:rPr>
        <w:t xml:space="preserve">Indien de dienst gebruik maakt van staffels voor volume-afhankelijke vergoedingen, geldt het </w:t>
      </w:r>
    </w:p>
    <w:p w14:paraId="0ACF3303" w14:textId="77777777" w:rsidR="00DE1E29" w:rsidRPr="00961BD3" w:rsidRDefault="00DE1E29" w:rsidP="00426028">
      <w:pPr>
        <w:pStyle w:val="Geenafstand"/>
        <w:spacing w:line="276" w:lineRule="auto"/>
        <w:ind w:firstLine="360"/>
        <w:rPr>
          <w:rFonts w:eastAsiaTheme="majorEastAsia"/>
        </w:rPr>
      </w:pPr>
      <w:r w:rsidRPr="00961BD3">
        <w:rPr>
          <w:rFonts w:eastAsiaTheme="majorEastAsia"/>
        </w:rPr>
        <w:t>volgende:</w:t>
      </w:r>
    </w:p>
    <w:p w14:paraId="49E4C159" w14:textId="77777777" w:rsidR="00DE1E29" w:rsidRPr="00961BD3" w:rsidRDefault="00DE1E29" w:rsidP="00426028">
      <w:pPr>
        <w:pStyle w:val="Geenafstand"/>
        <w:numPr>
          <w:ilvl w:val="0"/>
          <w:numId w:val="19"/>
        </w:numPr>
        <w:spacing w:line="276" w:lineRule="auto"/>
        <w:rPr>
          <w:rFonts w:eastAsiaTheme="majorEastAsia"/>
        </w:rPr>
      </w:pPr>
      <w:r w:rsidRPr="00961BD3">
        <w:rPr>
          <w:rFonts w:eastAsiaTheme="majorEastAsia"/>
        </w:rPr>
        <w:t xml:space="preserve">Voor diensten waarvoor in </w:t>
      </w:r>
      <w:r>
        <w:rPr>
          <w:rFonts w:eastAsiaTheme="majorEastAsia"/>
        </w:rPr>
        <w:t>het</w:t>
      </w:r>
      <w:r w:rsidRPr="00961BD3">
        <w:rPr>
          <w:rFonts w:eastAsiaTheme="majorEastAsia"/>
        </w:rPr>
        <w:t xml:space="preserve"> prijsopgaveformulier (</w:t>
      </w:r>
      <w:r>
        <w:rPr>
          <w:rFonts w:eastAsiaTheme="majorEastAsia"/>
        </w:rPr>
        <w:t>b</w:t>
      </w:r>
      <w:r w:rsidRPr="00961BD3">
        <w:rPr>
          <w:rFonts w:eastAsiaTheme="majorEastAsia"/>
        </w:rPr>
        <w:t>ijlage 3) een staffel is opgenomen, worden volumeveranderingen verrekend op basis van de staffel zoals opgenomen.</w:t>
      </w:r>
    </w:p>
    <w:p w14:paraId="67DA4334" w14:textId="6A4E7710" w:rsidR="00DE1E29" w:rsidRPr="00961BD3" w:rsidRDefault="00DE1E29" w:rsidP="00426028">
      <w:pPr>
        <w:pStyle w:val="Geenafstand"/>
        <w:numPr>
          <w:ilvl w:val="0"/>
          <w:numId w:val="19"/>
        </w:numPr>
        <w:spacing w:line="276" w:lineRule="auto"/>
        <w:rPr>
          <w:rFonts w:eastAsiaTheme="majorEastAsia"/>
        </w:rPr>
      </w:pPr>
      <w:r w:rsidRPr="00961BD3">
        <w:rPr>
          <w:rFonts w:eastAsiaTheme="majorEastAsia"/>
        </w:rPr>
        <w:t xml:space="preserve">De </w:t>
      </w:r>
      <w:r w:rsidR="00710183">
        <w:rPr>
          <w:rFonts w:eastAsiaTheme="majorEastAsia"/>
        </w:rPr>
        <w:t>Wederpartij</w:t>
      </w:r>
      <w:r w:rsidRPr="00961BD3">
        <w:rPr>
          <w:rFonts w:eastAsiaTheme="majorEastAsia"/>
        </w:rPr>
        <w:t xml:space="preserve"> kan een tariefaanpassing voorstellen wanneer de werkelijk afgenomen volumes, conform de staffel in </w:t>
      </w:r>
      <w:r>
        <w:rPr>
          <w:rFonts w:eastAsiaTheme="majorEastAsia"/>
        </w:rPr>
        <w:t xml:space="preserve">het </w:t>
      </w:r>
      <w:r w:rsidRPr="00961BD3">
        <w:rPr>
          <w:rFonts w:eastAsiaTheme="majorEastAsia"/>
        </w:rPr>
        <w:t>prijsopgaveformulier (</w:t>
      </w:r>
      <w:r>
        <w:rPr>
          <w:rFonts w:eastAsiaTheme="majorEastAsia"/>
        </w:rPr>
        <w:t>b</w:t>
      </w:r>
      <w:r w:rsidRPr="00961BD3">
        <w:rPr>
          <w:rFonts w:eastAsiaTheme="majorEastAsia"/>
        </w:rPr>
        <w:t>ijlage 3), aanleiding geven tot herziening van de vergoeding.</w:t>
      </w:r>
    </w:p>
    <w:p w14:paraId="3B5113DB" w14:textId="5F3A8404" w:rsidR="00DE1E29" w:rsidRPr="00961BD3" w:rsidRDefault="00DE1E29" w:rsidP="00426028">
      <w:pPr>
        <w:pStyle w:val="Geenafstand"/>
        <w:numPr>
          <w:ilvl w:val="0"/>
          <w:numId w:val="19"/>
        </w:numPr>
        <w:spacing w:line="276" w:lineRule="auto"/>
        <w:rPr>
          <w:rFonts w:eastAsiaTheme="majorEastAsia"/>
        </w:rPr>
      </w:pPr>
      <w:r w:rsidRPr="00961BD3">
        <w:rPr>
          <w:rFonts w:eastAsiaTheme="majorEastAsia"/>
        </w:rPr>
        <w:t xml:space="preserve">Een dergelijke aanpassing wordt pas doorgevoerd na schriftelijke goedkeuring van de </w:t>
      </w:r>
      <w:r w:rsidR="001D3C6B">
        <w:rPr>
          <w:rFonts w:eastAsiaTheme="majorEastAsia"/>
        </w:rPr>
        <w:t>Opdrachtgever</w:t>
      </w:r>
      <w:r w:rsidRPr="00961BD3">
        <w:rPr>
          <w:rFonts w:eastAsiaTheme="majorEastAsia"/>
        </w:rPr>
        <w:t xml:space="preserve">, en met duidelijke verwijzing naar de staffel in </w:t>
      </w:r>
      <w:r>
        <w:rPr>
          <w:rFonts w:eastAsiaTheme="majorEastAsia"/>
        </w:rPr>
        <w:t xml:space="preserve">het </w:t>
      </w:r>
      <w:r w:rsidRPr="00961BD3">
        <w:rPr>
          <w:rFonts w:eastAsiaTheme="majorEastAsia"/>
        </w:rPr>
        <w:t>prijsopgaveformulier (</w:t>
      </w:r>
      <w:r>
        <w:rPr>
          <w:rFonts w:eastAsiaTheme="majorEastAsia"/>
        </w:rPr>
        <w:t>b</w:t>
      </w:r>
      <w:r w:rsidRPr="00961BD3">
        <w:rPr>
          <w:rFonts w:eastAsiaTheme="majorEastAsia"/>
        </w:rPr>
        <w:t>ijlage 3).</w:t>
      </w:r>
    </w:p>
    <w:p w14:paraId="30739CF7" w14:textId="77777777" w:rsidR="00DE1E29" w:rsidRPr="007932F4" w:rsidRDefault="00DE1E29" w:rsidP="00426028">
      <w:pPr>
        <w:pStyle w:val="Geenafstand"/>
        <w:numPr>
          <w:ilvl w:val="0"/>
          <w:numId w:val="19"/>
        </w:numPr>
        <w:spacing w:after="160" w:line="276" w:lineRule="auto"/>
        <w:rPr>
          <w:rFonts w:eastAsiaTheme="majorEastAsia"/>
          <w:b/>
          <w:bCs/>
        </w:rPr>
      </w:pPr>
      <w:r w:rsidRPr="00F85B91">
        <w:rPr>
          <w:rFonts w:eastAsiaTheme="majorEastAsia"/>
        </w:rPr>
        <w:t>Buiten de in Bijlage 3 prijsopgaveformulier opgenomen staffels worden er geen volumewijzigingen doorgevoerd.</w:t>
      </w:r>
    </w:p>
    <w:p w14:paraId="5E59727D" w14:textId="77777777" w:rsidR="00DE1E29" w:rsidRPr="00F85B91" w:rsidRDefault="00DE1E29" w:rsidP="00426028">
      <w:pPr>
        <w:pStyle w:val="Geenafstand"/>
        <w:numPr>
          <w:ilvl w:val="0"/>
          <w:numId w:val="17"/>
        </w:numPr>
        <w:spacing w:line="276" w:lineRule="auto"/>
        <w:rPr>
          <w:rFonts w:eastAsiaTheme="majorEastAsia"/>
          <w:b/>
          <w:bCs/>
        </w:rPr>
      </w:pPr>
      <w:r w:rsidRPr="00F85B91">
        <w:rPr>
          <w:rFonts w:eastAsiaTheme="majorEastAsia"/>
          <w:b/>
          <w:bCs/>
        </w:rPr>
        <w:t>Transparantie en verantwoording</w:t>
      </w:r>
    </w:p>
    <w:p w14:paraId="288A1F8C" w14:textId="62E77A2C" w:rsidR="00DE1E29" w:rsidRPr="00F94873" w:rsidRDefault="00DE1E29" w:rsidP="00426028">
      <w:pPr>
        <w:pStyle w:val="Geenafstand"/>
        <w:spacing w:line="276" w:lineRule="auto"/>
        <w:ind w:firstLine="360"/>
        <w:rPr>
          <w:rFonts w:eastAsiaTheme="majorEastAsia"/>
        </w:rPr>
      </w:pPr>
      <w:r w:rsidRPr="00F94873">
        <w:rPr>
          <w:rFonts w:eastAsiaTheme="majorEastAsia"/>
        </w:rPr>
        <w:t xml:space="preserve">Bij kosten voor herzieningen verstrekt de </w:t>
      </w:r>
      <w:r w:rsidR="00710183">
        <w:rPr>
          <w:rFonts w:eastAsiaTheme="majorEastAsia"/>
        </w:rPr>
        <w:t>Wederpartij</w:t>
      </w:r>
      <w:r w:rsidRPr="00F94873">
        <w:rPr>
          <w:rFonts w:eastAsiaTheme="majorEastAsia"/>
        </w:rPr>
        <w:t>:</w:t>
      </w:r>
    </w:p>
    <w:p w14:paraId="55E8F42E" w14:textId="77777777" w:rsidR="00DE1E29" w:rsidRPr="00F94873" w:rsidRDefault="00DE1E29" w:rsidP="00426028">
      <w:pPr>
        <w:pStyle w:val="Geenafstand"/>
        <w:numPr>
          <w:ilvl w:val="0"/>
          <w:numId w:val="20"/>
        </w:numPr>
        <w:spacing w:line="276" w:lineRule="auto"/>
        <w:rPr>
          <w:rFonts w:eastAsiaTheme="majorEastAsia"/>
        </w:rPr>
      </w:pPr>
      <w:r w:rsidRPr="00F94873">
        <w:rPr>
          <w:rFonts w:eastAsiaTheme="majorEastAsia"/>
        </w:rPr>
        <w:t>een gedetailleerde uren- en materi</w:t>
      </w:r>
      <w:r>
        <w:rPr>
          <w:rFonts w:eastAsiaTheme="majorEastAsia"/>
        </w:rPr>
        <w:t>a</w:t>
      </w:r>
      <w:r w:rsidRPr="00F94873">
        <w:rPr>
          <w:rFonts w:eastAsiaTheme="majorEastAsia"/>
        </w:rPr>
        <w:t>alspecificatie,</w:t>
      </w:r>
    </w:p>
    <w:p w14:paraId="64EC7CFF" w14:textId="77777777" w:rsidR="00DE1E29" w:rsidRDefault="00DE1E29" w:rsidP="00426028">
      <w:pPr>
        <w:pStyle w:val="Geenafstand"/>
        <w:numPr>
          <w:ilvl w:val="0"/>
          <w:numId w:val="20"/>
        </w:numPr>
        <w:spacing w:line="276" w:lineRule="auto"/>
        <w:rPr>
          <w:rFonts w:eastAsiaTheme="majorEastAsia"/>
        </w:rPr>
      </w:pPr>
      <w:r w:rsidRPr="00F94873">
        <w:rPr>
          <w:rFonts w:eastAsiaTheme="majorEastAsia"/>
        </w:rPr>
        <w:t>de aanleiding en het doel van de wijziging,</w:t>
      </w:r>
    </w:p>
    <w:p w14:paraId="5F843F3E" w14:textId="75E61899" w:rsidR="00DE1E29" w:rsidRPr="00F85B91" w:rsidRDefault="00DE1E29" w:rsidP="00426028">
      <w:pPr>
        <w:pStyle w:val="Geenafstand"/>
        <w:numPr>
          <w:ilvl w:val="0"/>
          <w:numId w:val="20"/>
        </w:numPr>
        <w:spacing w:line="276" w:lineRule="auto"/>
        <w:rPr>
          <w:rFonts w:eastAsiaTheme="majorEastAsia"/>
        </w:rPr>
      </w:pPr>
      <w:r w:rsidRPr="00F85B91">
        <w:rPr>
          <w:rFonts w:eastAsiaTheme="majorEastAsia"/>
        </w:rPr>
        <w:t xml:space="preserve">bewijs van marktconformiteit </w:t>
      </w:r>
      <w:r w:rsidR="00BD389C">
        <w:rPr>
          <w:rFonts w:eastAsiaTheme="majorEastAsia"/>
        </w:rPr>
        <w:t>(</w:t>
      </w:r>
      <w:r w:rsidRPr="00F85B91">
        <w:rPr>
          <w:rFonts w:eastAsiaTheme="majorEastAsia"/>
        </w:rPr>
        <w:t>indien gevraagd</w:t>
      </w:r>
      <w:r w:rsidR="00BD389C">
        <w:rPr>
          <w:rFonts w:eastAsiaTheme="majorEastAsia"/>
        </w:rPr>
        <w:t>)</w:t>
      </w:r>
      <w:r w:rsidRPr="00F85B91">
        <w:rPr>
          <w:rFonts w:eastAsiaTheme="majorEastAsia"/>
        </w:rPr>
        <w:t>.</w:t>
      </w:r>
    </w:p>
    <w:p w14:paraId="6F7B09FB" w14:textId="77777777" w:rsidR="00DE1E29" w:rsidRDefault="00DE1E29" w:rsidP="00426028">
      <w:pPr>
        <w:spacing w:line="276" w:lineRule="auto"/>
      </w:pPr>
    </w:p>
    <w:p w14:paraId="666B8824" w14:textId="77777777" w:rsidR="00DE1E29" w:rsidRPr="004A424B" w:rsidRDefault="00DE1E29" w:rsidP="00426028">
      <w:pPr>
        <w:pStyle w:val="Lijstalinea"/>
        <w:ind w:left="0"/>
      </w:pPr>
    </w:p>
    <w:sectPr w:rsidR="00DE1E29" w:rsidRPr="004A424B" w:rsidSect="00D00BB2">
      <w:headerReference w:type="default" r:id="rId12"/>
      <w:footerReference w:type="default" r:id="rId13"/>
      <w:headerReference w:type="first" r:id="rId14"/>
      <w:footnotePr>
        <w:numFmt w:val="chicago"/>
        <w:numRestart w:val="eachSect"/>
      </w:footnotePr>
      <w:endnotePr>
        <w:numFmt w:val="decimal"/>
      </w:endnotePr>
      <w:pgSz w:w="11907" w:h="16840" w:code="9"/>
      <w:pgMar w:top="2693" w:right="1440" w:bottom="1440" w:left="1440"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DD712" w14:textId="77777777" w:rsidR="005B00C0" w:rsidRDefault="005B00C0" w:rsidP="00751174">
      <w:r>
        <w:separator/>
      </w:r>
    </w:p>
  </w:endnote>
  <w:endnote w:type="continuationSeparator" w:id="0">
    <w:p w14:paraId="3DF3E29F" w14:textId="77777777" w:rsidR="005B00C0" w:rsidRDefault="005B00C0" w:rsidP="00751174">
      <w:r>
        <w:continuationSeparator/>
      </w:r>
    </w:p>
  </w:endnote>
  <w:endnote w:type="continuationNotice" w:id="1">
    <w:p w14:paraId="3889BB7B" w14:textId="77777777" w:rsidR="005B00C0" w:rsidRDefault="005B0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2958" w14:textId="4247ACB2" w:rsidR="006D7FFE" w:rsidRPr="00EA2E6F" w:rsidRDefault="006D7FFE">
    <w:pPr>
      <w:rPr>
        <w:bCs/>
        <w:iCs/>
        <w:sz w:val="16"/>
        <w:szCs w:val="16"/>
      </w:rPr>
    </w:pPr>
    <w:r w:rsidRPr="00EA2E6F">
      <w:rPr>
        <w:bCs/>
        <w:iCs/>
        <w:sz w:val="16"/>
        <w:szCs w:val="16"/>
      </w:rPr>
      <w:t xml:space="preserve">Kenmerk: </w:t>
    </w:r>
    <w:r w:rsidR="002F7558" w:rsidRPr="002F7558">
      <w:rPr>
        <w:bCs/>
        <w:iCs/>
        <w:sz w:val="16"/>
        <w:szCs w:val="16"/>
      </w:rPr>
      <w:t>201865006.001.003</w:t>
    </w:r>
  </w:p>
  <w:p w14:paraId="0A46F82D" w14:textId="77777777" w:rsidR="006D7FFE" w:rsidRPr="00EA2E6F" w:rsidRDefault="006D7FFE" w:rsidP="00EA2E6F">
    <w:pPr>
      <w:jc w:val="center"/>
      <w:rPr>
        <w:sz w:val="16"/>
        <w:szCs w:val="16"/>
      </w:rPr>
    </w:pPr>
    <w:r w:rsidRPr="00EA2E6F">
      <w:rPr>
        <w:sz w:val="16"/>
        <w:szCs w:val="16"/>
      </w:rPr>
      <w:t xml:space="preserve">Pagina </w:t>
    </w:r>
    <w:r w:rsidRPr="008243B7">
      <w:rPr>
        <w:sz w:val="16"/>
        <w:szCs w:val="16"/>
      </w:rPr>
      <w:fldChar w:fldCharType="begin"/>
    </w:r>
    <w:r w:rsidRPr="008243B7">
      <w:rPr>
        <w:sz w:val="16"/>
        <w:szCs w:val="16"/>
      </w:rPr>
      <w:instrText xml:space="preserve"> PAGE </w:instrText>
    </w:r>
    <w:r w:rsidRPr="008243B7">
      <w:rPr>
        <w:sz w:val="16"/>
        <w:szCs w:val="16"/>
      </w:rPr>
      <w:fldChar w:fldCharType="separate"/>
    </w:r>
    <w:r w:rsidR="00817928">
      <w:rPr>
        <w:noProof/>
        <w:sz w:val="16"/>
        <w:szCs w:val="16"/>
      </w:rPr>
      <w:t>10</w:t>
    </w:r>
    <w:r w:rsidRPr="008243B7">
      <w:rPr>
        <w:sz w:val="16"/>
        <w:szCs w:val="16"/>
      </w:rPr>
      <w:fldChar w:fldCharType="end"/>
    </w:r>
    <w:r w:rsidRPr="00EA2E6F">
      <w:rPr>
        <w:sz w:val="16"/>
        <w:szCs w:val="16"/>
      </w:rPr>
      <w:t xml:space="preserve"> van </w:t>
    </w:r>
    <w:r w:rsidRPr="00EA2E6F">
      <w:rPr>
        <w:sz w:val="16"/>
        <w:szCs w:val="16"/>
      </w:rPr>
      <w:fldChar w:fldCharType="begin"/>
    </w:r>
    <w:r w:rsidRPr="00EA2E6F">
      <w:rPr>
        <w:sz w:val="16"/>
        <w:szCs w:val="16"/>
      </w:rPr>
      <w:instrText xml:space="preserve"> NUMPAGES  </w:instrText>
    </w:r>
    <w:r w:rsidRPr="00EA2E6F">
      <w:rPr>
        <w:sz w:val="16"/>
        <w:szCs w:val="16"/>
      </w:rPr>
      <w:fldChar w:fldCharType="separate"/>
    </w:r>
    <w:r w:rsidR="00817928">
      <w:rPr>
        <w:noProof/>
        <w:sz w:val="16"/>
        <w:szCs w:val="16"/>
      </w:rPr>
      <w:t>10</w:t>
    </w:r>
    <w:r w:rsidRPr="00EA2E6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D0064" w14:textId="77777777" w:rsidR="005B00C0" w:rsidRDefault="005B00C0" w:rsidP="00751174">
      <w:r>
        <w:separator/>
      </w:r>
    </w:p>
  </w:footnote>
  <w:footnote w:type="continuationSeparator" w:id="0">
    <w:p w14:paraId="59045C83" w14:textId="77777777" w:rsidR="005B00C0" w:rsidRDefault="005B00C0" w:rsidP="00751174">
      <w:r>
        <w:continuationSeparator/>
      </w:r>
    </w:p>
  </w:footnote>
  <w:footnote w:type="continuationNotice" w:id="1">
    <w:p w14:paraId="076C963B" w14:textId="77777777" w:rsidR="005B00C0" w:rsidRDefault="005B00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4E0A" w14:textId="77777777" w:rsidR="00D00BB2" w:rsidRDefault="00D00BB2">
    <w:r>
      <w:rPr>
        <w:noProof/>
        <w:color w:val="1F497D"/>
      </w:rPr>
      <w:drawing>
        <wp:anchor distT="0" distB="0" distL="114300" distR="114300" simplePos="0" relativeHeight="251658241" behindDoc="0" locked="0" layoutInCell="1" allowOverlap="1" wp14:anchorId="6D755DD7" wp14:editId="4A9DF4A5">
          <wp:simplePos x="0" y="0"/>
          <wp:positionH relativeFrom="margin">
            <wp:posOffset>2581275</wp:posOffset>
          </wp:positionH>
          <wp:positionV relativeFrom="paragraph">
            <wp:posOffset>-457835</wp:posOffset>
          </wp:positionV>
          <wp:extent cx="466725" cy="1581150"/>
          <wp:effectExtent l="0" t="0" r="9525" b="0"/>
          <wp:wrapNone/>
          <wp:docPr id="3" name="Afbeelding 3"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94BC" w14:textId="77777777" w:rsidR="00D00BB2" w:rsidRDefault="00D00BB2">
    <w:r>
      <w:rPr>
        <w:noProof/>
        <w:color w:val="1F497D"/>
      </w:rPr>
      <w:drawing>
        <wp:anchor distT="0" distB="0" distL="114300" distR="114300" simplePos="0" relativeHeight="251658240" behindDoc="0" locked="0" layoutInCell="1" allowOverlap="1" wp14:anchorId="28BF3B61" wp14:editId="4B55BF1F">
          <wp:simplePos x="0" y="0"/>
          <wp:positionH relativeFrom="margin">
            <wp:align>center</wp:align>
          </wp:positionH>
          <wp:positionV relativeFrom="paragraph">
            <wp:posOffset>-495935</wp:posOffset>
          </wp:positionV>
          <wp:extent cx="466725" cy="1581150"/>
          <wp:effectExtent l="0" t="0" r="9525" b="0"/>
          <wp:wrapNone/>
          <wp:docPr id="4" name="Afbeelding 4"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Placeholder_Logo.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1C6FE" w14:textId="77777777" w:rsidR="00D00BB2" w:rsidRDefault="00D00B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0E7"/>
    <w:multiLevelType w:val="hybridMultilevel"/>
    <w:tmpl w:val="0F1617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5A5FAB"/>
    <w:multiLevelType w:val="multilevel"/>
    <w:tmpl w:val="BB98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127BE"/>
    <w:multiLevelType w:val="multilevel"/>
    <w:tmpl w:val="83D03252"/>
    <w:lvl w:ilvl="0">
      <w:start w:val="1"/>
      <w:numFmt w:val="decimal"/>
      <w:suff w:val="nothing"/>
      <w:lvlText w:val="%1. "/>
      <w:lvlJc w:val="left"/>
      <w:pPr>
        <w:ind w:left="570" w:hanging="570"/>
      </w:pPr>
      <w:rPr>
        <w:rFonts w:hint="default"/>
        <w:b/>
        <w:bCs/>
      </w:rPr>
    </w:lvl>
    <w:lvl w:ilvl="1">
      <w:start w:val="1"/>
      <w:numFmt w:val="decimal"/>
      <w:lvlText w:val="%1.%2"/>
      <w:lvlJc w:val="left"/>
      <w:pPr>
        <w:ind w:left="570" w:hanging="570"/>
      </w:pPr>
      <w:rPr>
        <w:rFonts w:hint="default"/>
        <w:i w:val="0"/>
        <w:iCs w:val="0"/>
        <w:color w:val="auto"/>
        <w:sz w:val="18"/>
        <w:szCs w:val="1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EA5E76"/>
    <w:multiLevelType w:val="hybridMultilevel"/>
    <w:tmpl w:val="501CBBF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0DBC1880"/>
    <w:multiLevelType w:val="hybridMultilevel"/>
    <w:tmpl w:val="13EE1698"/>
    <w:lvl w:ilvl="0" w:tplc="0413001B">
      <w:start w:val="1"/>
      <w:numFmt w:val="lowerRoman"/>
      <w:lvlText w:val="%1."/>
      <w:lvlJc w:val="right"/>
      <w:pPr>
        <w:ind w:left="1667" w:hanging="360"/>
      </w:pPr>
    </w:lvl>
    <w:lvl w:ilvl="1" w:tplc="04130019">
      <w:start w:val="1"/>
      <w:numFmt w:val="lowerLetter"/>
      <w:lvlText w:val="%2."/>
      <w:lvlJc w:val="left"/>
      <w:pPr>
        <w:ind w:left="2387" w:hanging="360"/>
      </w:pPr>
    </w:lvl>
    <w:lvl w:ilvl="2" w:tplc="0413001B">
      <w:start w:val="1"/>
      <w:numFmt w:val="lowerRoman"/>
      <w:lvlText w:val="%3."/>
      <w:lvlJc w:val="right"/>
      <w:pPr>
        <w:ind w:left="3107" w:hanging="180"/>
      </w:pPr>
    </w:lvl>
    <w:lvl w:ilvl="3" w:tplc="0413000F">
      <w:start w:val="1"/>
      <w:numFmt w:val="decimal"/>
      <w:lvlText w:val="%4."/>
      <w:lvlJc w:val="left"/>
      <w:pPr>
        <w:ind w:left="3827" w:hanging="360"/>
      </w:pPr>
    </w:lvl>
    <w:lvl w:ilvl="4" w:tplc="04130019">
      <w:start w:val="1"/>
      <w:numFmt w:val="lowerLetter"/>
      <w:lvlText w:val="%5."/>
      <w:lvlJc w:val="left"/>
      <w:pPr>
        <w:ind w:left="4547" w:hanging="360"/>
      </w:pPr>
    </w:lvl>
    <w:lvl w:ilvl="5" w:tplc="0413001B">
      <w:start w:val="1"/>
      <w:numFmt w:val="lowerRoman"/>
      <w:lvlText w:val="%6."/>
      <w:lvlJc w:val="right"/>
      <w:pPr>
        <w:ind w:left="5267" w:hanging="180"/>
      </w:pPr>
    </w:lvl>
    <w:lvl w:ilvl="6" w:tplc="0413000F">
      <w:start w:val="1"/>
      <w:numFmt w:val="decimal"/>
      <w:lvlText w:val="%7."/>
      <w:lvlJc w:val="left"/>
      <w:pPr>
        <w:ind w:left="5987" w:hanging="360"/>
      </w:pPr>
    </w:lvl>
    <w:lvl w:ilvl="7" w:tplc="04130019">
      <w:start w:val="1"/>
      <w:numFmt w:val="lowerLetter"/>
      <w:lvlText w:val="%8."/>
      <w:lvlJc w:val="left"/>
      <w:pPr>
        <w:ind w:left="6707" w:hanging="360"/>
      </w:pPr>
    </w:lvl>
    <w:lvl w:ilvl="8" w:tplc="0413001B">
      <w:start w:val="1"/>
      <w:numFmt w:val="lowerRoman"/>
      <w:lvlText w:val="%9."/>
      <w:lvlJc w:val="right"/>
      <w:pPr>
        <w:ind w:left="7427" w:hanging="180"/>
      </w:pPr>
    </w:lvl>
  </w:abstractNum>
  <w:abstractNum w:abstractNumId="5" w15:restartNumberingAfterBreak="0">
    <w:nsid w:val="0EBF5CD3"/>
    <w:multiLevelType w:val="multilevel"/>
    <w:tmpl w:val="B4C0D0EA"/>
    <w:lvl w:ilvl="0">
      <w:start w:val="1"/>
      <w:numFmt w:val="decimal"/>
      <w:lvlText w:val="%1."/>
      <w:lvlJc w:val="left"/>
      <w:pPr>
        <w:ind w:left="360" w:hanging="360"/>
      </w:pPr>
    </w:lvl>
    <w:lvl w:ilvl="1">
      <w:start w:val="1"/>
      <w:numFmt w:val="decimal"/>
      <w:lvlText w:val="%1.%2."/>
      <w:lvlJc w:val="left"/>
      <w:pPr>
        <w:ind w:left="792" w:hanging="432"/>
      </w:pPr>
      <w:rPr>
        <w:b w:val="0"/>
        <w:bCs w:val="0"/>
        <w:lang w:val="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107DE3"/>
    <w:multiLevelType w:val="multilevel"/>
    <w:tmpl w:val="EC52A0E4"/>
    <w:lvl w:ilvl="0">
      <w:start w:val="14"/>
      <w:numFmt w:val="bullet"/>
      <w:lvlText w:val="-"/>
      <w:lvlJc w:val="left"/>
      <w:pPr>
        <w:ind w:left="360" w:hanging="360"/>
      </w:pPr>
      <w:rPr>
        <w:rFonts w:ascii="Verdana" w:eastAsia="Calibri" w:hAnsi="Verdana" w:cs="Times New Roman"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6833EA"/>
    <w:multiLevelType w:val="hybridMultilevel"/>
    <w:tmpl w:val="9110A63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14CB551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F358FA"/>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0B5DCC"/>
    <w:multiLevelType w:val="hybridMultilevel"/>
    <w:tmpl w:val="DBF28916"/>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AD1431A"/>
    <w:multiLevelType w:val="hybridMultilevel"/>
    <w:tmpl w:val="08DA03E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3" w15:restartNumberingAfterBreak="0">
    <w:nsid w:val="31FB1C5C"/>
    <w:multiLevelType w:val="hybridMultilevel"/>
    <w:tmpl w:val="628644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43723D2"/>
    <w:multiLevelType w:val="hybridMultilevel"/>
    <w:tmpl w:val="DC90FC88"/>
    <w:lvl w:ilvl="0" w:tplc="A2482D00">
      <w:start w:val="1"/>
      <w:numFmt w:val="bullet"/>
      <w:lvlText w:val=""/>
      <w:lvlJc w:val="left"/>
      <w:pPr>
        <w:ind w:left="920" w:hanging="360"/>
      </w:pPr>
      <w:rPr>
        <w:rFonts w:ascii="Symbol" w:hAnsi="Symbol"/>
      </w:rPr>
    </w:lvl>
    <w:lvl w:ilvl="1" w:tplc="DDCA2A3C">
      <w:start w:val="1"/>
      <w:numFmt w:val="bullet"/>
      <w:lvlText w:val=""/>
      <w:lvlJc w:val="left"/>
      <w:pPr>
        <w:ind w:left="920" w:hanging="360"/>
      </w:pPr>
      <w:rPr>
        <w:rFonts w:ascii="Symbol" w:hAnsi="Symbol"/>
      </w:rPr>
    </w:lvl>
    <w:lvl w:ilvl="2" w:tplc="8716E282">
      <w:start w:val="1"/>
      <w:numFmt w:val="bullet"/>
      <w:lvlText w:val=""/>
      <w:lvlJc w:val="left"/>
      <w:pPr>
        <w:ind w:left="920" w:hanging="360"/>
      </w:pPr>
      <w:rPr>
        <w:rFonts w:ascii="Symbol" w:hAnsi="Symbol"/>
      </w:rPr>
    </w:lvl>
    <w:lvl w:ilvl="3" w:tplc="2B5A79C2">
      <w:start w:val="1"/>
      <w:numFmt w:val="bullet"/>
      <w:lvlText w:val=""/>
      <w:lvlJc w:val="left"/>
      <w:pPr>
        <w:ind w:left="920" w:hanging="360"/>
      </w:pPr>
      <w:rPr>
        <w:rFonts w:ascii="Symbol" w:hAnsi="Symbol"/>
      </w:rPr>
    </w:lvl>
    <w:lvl w:ilvl="4" w:tplc="8ABAA3EE">
      <w:start w:val="1"/>
      <w:numFmt w:val="bullet"/>
      <w:lvlText w:val=""/>
      <w:lvlJc w:val="left"/>
      <w:pPr>
        <w:ind w:left="920" w:hanging="360"/>
      </w:pPr>
      <w:rPr>
        <w:rFonts w:ascii="Symbol" w:hAnsi="Symbol"/>
      </w:rPr>
    </w:lvl>
    <w:lvl w:ilvl="5" w:tplc="92347D0E">
      <w:start w:val="1"/>
      <w:numFmt w:val="bullet"/>
      <w:lvlText w:val=""/>
      <w:lvlJc w:val="left"/>
      <w:pPr>
        <w:ind w:left="920" w:hanging="360"/>
      </w:pPr>
      <w:rPr>
        <w:rFonts w:ascii="Symbol" w:hAnsi="Symbol"/>
      </w:rPr>
    </w:lvl>
    <w:lvl w:ilvl="6" w:tplc="F1863ADA">
      <w:start w:val="1"/>
      <w:numFmt w:val="bullet"/>
      <w:lvlText w:val=""/>
      <w:lvlJc w:val="left"/>
      <w:pPr>
        <w:ind w:left="920" w:hanging="360"/>
      </w:pPr>
      <w:rPr>
        <w:rFonts w:ascii="Symbol" w:hAnsi="Symbol"/>
      </w:rPr>
    </w:lvl>
    <w:lvl w:ilvl="7" w:tplc="14404CD2">
      <w:start w:val="1"/>
      <w:numFmt w:val="bullet"/>
      <w:lvlText w:val=""/>
      <w:lvlJc w:val="left"/>
      <w:pPr>
        <w:ind w:left="920" w:hanging="360"/>
      </w:pPr>
      <w:rPr>
        <w:rFonts w:ascii="Symbol" w:hAnsi="Symbol"/>
      </w:rPr>
    </w:lvl>
    <w:lvl w:ilvl="8" w:tplc="85FA671A">
      <w:start w:val="1"/>
      <w:numFmt w:val="bullet"/>
      <w:lvlText w:val=""/>
      <w:lvlJc w:val="left"/>
      <w:pPr>
        <w:ind w:left="920" w:hanging="360"/>
      </w:pPr>
      <w:rPr>
        <w:rFonts w:ascii="Symbol" w:hAnsi="Symbol"/>
      </w:rPr>
    </w:lvl>
  </w:abstractNum>
  <w:abstractNum w:abstractNumId="15" w15:restartNumberingAfterBreak="0">
    <w:nsid w:val="4D630ECD"/>
    <w:multiLevelType w:val="multilevel"/>
    <w:tmpl w:val="3F2274D0"/>
    <w:lvl w:ilvl="0">
      <w:start w:val="14"/>
      <w:numFmt w:val="bullet"/>
      <w:lvlText w:val="-"/>
      <w:lvlJc w:val="left"/>
      <w:pPr>
        <w:ind w:left="360" w:hanging="360"/>
      </w:pPr>
      <w:rPr>
        <w:rFonts w:ascii="Verdana" w:eastAsia="Calibri" w:hAnsi="Verdana" w:cs="Times New Roman" w:hint="default"/>
      </w:rPr>
    </w:lvl>
    <w:lvl w:ilvl="1">
      <w:start w:val="1"/>
      <w:numFmt w:val="decimal"/>
      <w:lvlText w:val="%1.%2."/>
      <w:lvlJc w:val="left"/>
      <w:pPr>
        <w:ind w:left="792" w:hanging="432"/>
      </w:pPr>
      <w:rPr>
        <w:b w:val="0"/>
        <w:bCs w:val="0"/>
      </w:rPr>
    </w:lvl>
    <w:lvl w:ilvl="2">
      <w:start w:val="14"/>
      <w:numFmt w:val="bullet"/>
      <w:lvlText w:val="-"/>
      <w:lvlJc w:val="left"/>
      <w:pPr>
        <w:ind w:left="927" w:hanging="360"/>
      </w:pPr>
      <w:rPr>
        <w:rFonts w:ascii="Verdana" w:eastAsia="Calibri" w:hAnsi="Verdana"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175E9A"/>
    <w:multiLevelType w:val="hybridMultilevel"/>
    <w:tmpl w:val="C05CFE9E"/>
    <w:lvl w:ilvl="0" w:tplc="8B18AFF4">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475621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FB6123"/>
    <w:multiLevelType w:val="hybridMultilevel"/>
    <w:tmpl w:val="E79289B8"/>
    <w:lvl w:ilvl="0" w:tplc="9C76E104">
      <w:start w:val="1"/>
      <w:numFmt w:val="lowerRoman"/>
      <w:lvlText w:val="(%1)"/>
      <w:lvlJc w:val="left"/>
      <w:pPr>
        <w:ind w:left="1667" w:hanging="720"/>
      </w:pPr>
      <w:rPr>
        <w:rFonts w:hint="default"/>
      </w:rPr>
    </w:lvl>
    <w:lvl w:ilvl="1" w:tplc="04130019">
      <w:start w:val="1"/>
      <w:numFmt w:val="lowerLetter"/>
      <w:lvlText w:val="%2."/>
      <w:lvlJc w:val="left"/>
      <w:pPr>
        <w:ind w:left="2027" w:hanging="360"/>
      </w:pPr>
    </w:lvl>
    <w:lvl w:ilvl="2" w:tplc="0413001B" w:tentative="1">
      <w:start w:val="1"/>
      <w:numFmt w:val="lowerRoman"/>
      <w:lvlText w:val="%3."/>
      <w:lvlJc w:val="right"/>
      <w:pPr>
        <w:ind w:left="2747" w:hanging="180"/>
      </w:pPr>
    </w:lvl>
    <w:lvl w:ilvl="3" w:tplc="0413000F" w:tentative="1">
      <w:start w:val="1"/>
      <w:numFmt w:val="decimal"/>
      <w:lvlText w:val="%4."/>
      <w:lvlJc w:val="left"/>
      <w:pPr>
        <w:ind w:left="3467" w:hanging="360"/>
      </w:pPr>
    </w:lvl>
    <w:lvl w:ilvl="4" w:tplc="04130019" w:tentative="1">
      <w:start w:val="1"/>
      <w:numFmt w:val="lowerLetter"/>
      <w:lvlText w:val="%5."/>
      <w:lvlJc w:val="left"/>
      <w:pPr>
        <w:ind w:left="4187" w:hanging="360"/>
      </w:pPr>
    </w:lvl>
    <w:lvl w:ilvl="5" w:tplc="0413001B" w:tentative="1">
      <w:start w:val="1"/>
      <w:numFmt w:val="lowerRoman"/>
      <w:lvlText w:val="%6."/>
      <w:lvlJc w:val="right"/>
      <w:pPr>
        <w:ind w:left="4907" w:hanging="180"/>
      </w:pPr>
    </w:lvl>
    <w:lvl w:ilvl="6" w:tplc="0413000F" w:tentative="1">
      <w:start w:val="1"/>
      <w:numFmt w:val="decimal"/>
      <w:lvlText w:val="%7."/>
      <w:lvlJc w:val="left"/>
      <w:pPr>
        <w:ind w:left="5627" w:hanging="360"/>
      </w:pPr>
    </w:lvl>
    <w:lvl w:ilvl="7" w:tplc="04130019" w:tentative="1">
      <w:start w:val="1"/>
      <w:numFmt w:val="lowerLetter"/>
      <w:lvlText w:val="%8."/>
      <w:lvlJc w:val="left"/>
      <w:pPr>
        <w:ind w:left="6347" w:hanging="360"/>
      </w:pPr>
    </w:lvl>
    <w:lvl w:ilvl="8" w:tplc="0413001B" w:tentative="1">
      <w:start w:val="1"/>
      <w:numFmt w:val="lowerRoman"/>
      <w:lvlText w:val="%9."/>
      <w:lvlJc w:val="right"/>
      <w:pPr>
        <w:ind w:left="7067" w:hanging="180"/>
      </w:pPr>
    </w:lvl>
  </w:abstractNum>
  <w:abstractNum w:abstractNumId="19" w15:restartNumberingAfterBreak="0">
    <w:nsid w:val="60A3271B"/>
    <w:multiLevelType w:val="hybridMultilevel"/>
    <w:tmpl w:val="1DBE6986"/>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3D7779"/>
    <w:multiLevelType w:val="hybridMultilevel"/>
    <w:tmpl w:val="4A26F40E"/>
    <w:lvl w:ilvl="0" w:tplc="7808447E">
      <w:start w:val="1"/>
      <w:numFmt w:val="bullet"/>
      <w:lvlText w:val=""/>
      <w:lvlJc w:val="left"/>
      <w:pPr>
        <w:ind w:left="920" w:hanging="360"/>
      </w:pPr>
      <w:rPr>
        <w:rFonts w:ascii="Symbol" w:hAnsi="Symbol"/>
      </w:rPr>
    </w:lvl>
    <w:lvl w:ilvl="1" w:tplc="109C86EC">
      <w:start w:val="1"/>
      <w:numFmt w:val="bullet"/>
      <w:lvlText w:val=""/>
      <w:lvlJc w:val="left"/>
      <w:pPr>
        <w:ind w:left="920" w:hanging="360"/>
      </w:pPr>
      <w:rPr>
        <w:rFonts w:ascii="Symbol" w:hAnsi="Symbol"/>
      </w:rPr>
    </w:lvl>
    <w:lvl w:ilvl="2" w:tplc="78224042">
      <w:start w:val="1"/>
      <w:numFmt w:val="bullet"/>
      <w:lvlText w:val=""/>
      <w:lvlJc w:val="left"/>
      <w:pPr>
        <w:ind w:left="920" w:hanging="360"/>
      </w:pPr>
      <w:rPr>
        <w:rFonts w:ascii="Symbol" w:hAnsi="Symbol"/>
      </w:rPr>
    </w:lvl>
    <w:lvl w:ilvl="3" w:tplc="9776063A">
      <w:start w:val="1"/>
      <w:numFmt w:val="bullet"/>
      <w:lvlText w:val=""/>
      <w:lvlJc w:val="left"/>
      <w:pPr>
        <w:ind w:left="920" w:hanging="360"/>
      </w:pPr>
      <w:rPr>
        <w:rFonts w:ascii="Symbol" w:hAnsi="Symbol"/>
      </w:rPr>
    </w:lvl>
    <w:lvl w:ilvl="4" w:tplc="3C76DF3C">
      <w:start w:val="1"/>
      <w:numFmt w:val="bullet"/>
      <w:lvlText w:val=""/>
      <w:lvlJc w:val="left"/>
      <w:pPr>
        <w:ind w:left="920" w:hanging="360"/>
      </w:pPr>
      <w:rPr>
        <w:rFonts w:ascii="Symbol" w:hAnsi="Symbol"/>
      </w:rPr>
    </w:lvl>
    <w:lvl w:ilvl="5" w:tplc="7D3618AA">
      <w:start w:val="1"/>
      <w:numFmt w:val="bullet"/>
      <w:lvlText w:val=""/>
      <w:lvlJc w:val="left"/>
      <w:pPr>
        <w:ind w:left="920" w:hanging="360"/>
      </w:pPr>
      <w:rPr>
        <w:rFonts w:ascii="Symbol" w:hAnsi="Symbol"/>
      </w:rPr>
    </w:lvl>
    <w:lvl w:ilvl="6" w:tplc="775A2458">
      <w:start w:val="1"/>
      <w:numFmt w:val="bullet"/>
      <w:lvlText w:val=""/>
      <w:lvlJc w:val="left"/>
      <w:pPr>
        <w:ind w:left="920" w:hanging="360"/>
      </w:pPr>
      <w:rPr>
        <w:rFonts w:ascii="Symbol" w:hAnsi="Symbol"/>
      </w:rPr>
    </w:lvl>
    <w:lvl w:ilvl="7" w:tplc="A904B3B4">
      <w:start w:val="1"/>
      <w:numFmt w:val="bullet"/>
      <w:lvlText w:val=""/>
      <w:lvlJc w:val="left"/>
      <w:pPr>
        <w:ind w:left="920" w:hanging="360"/>
      </w:pPr>
      <w:rPr>
        <w:rFonts w:ascii="Symbol" w:hAnsi="Symbol"/>
      </w:rPr>
    </w:lvl>
    <w:lvl w:ilvl="8" w:tplc="795C5716">
      <w:start w:val="1"/>
      <w:numFmt w:val="bullet"/>
      <w:lvlText w:val=""/>
      <w:lvlJc w:val="left"/>
      <w:pPr>
        <w:ind w:left="920" w:hanging="360"/>
      </w:pPr>
      <w:rPr>
        <w:rFonts w:ascii="Symbol" w:hAnsi="Symbol"/>
      </w:rPr>
    </w:lvl>
  </w:abstractNum>
  <w:abstractNum w:abstractNumId="21" w15:restartNumberingAfterBreak="0">
    <w:nsid w:val="66076875"/>
    <w:multiLevelType w:val="hybridMultilevel"/>
    <w:tmpl w:val="BE9A966C"/>
    <w:lvl w:ilvl="0" w:tplc="679AEA5E">
      <w:start w:val="14"/>
      <w:numFmt w:val="bullet"/>
      <w:lvlText w:val="-"/>
      <w:lvlJc w:val="left"/>
      <w:pPr>
        <w:ind w:left="927" w:hanging="360"/>
      </w:pPr>
      <w:rPr>
        <w:rFonts w:ascii="Verdana" w:eastAsia="Calibri" w:hAnsi="Verdana"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2" w15:restartNumberingAfterBreak="0">
    <w:nsid w:val="68C64B1A"/>
    <w:multiLevelType w:val="hybridMultilevel"/>
    <w:tmpl w:val="EE28361E"/>
    <w:lvl w:ilvl="0" w:tplc="5A12BFD0">
      <w:start w:val="2"/>
      <w:numFmt w:val="bullet"/>
      <w:lvlText w:val="-"/>
      <w:lvlJc w:val="left"/>
      <w:pPr>
        <w:ind w:left="720" w:hanging="360"/>
      </w:pPr>
      <w:rPr>
        <w:rFonts w:ascii="Helvetica" w:eastAsia="Times New Roman" w:hAnsi="Helvetica"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9E3487"/>
    <w:multiLevelType w:val="multilevel"/>
    <w:tmpl w:val="EC52A0E4"/>
    <w:lvl w:ilvl="0">
      <w:start w:val="14"/>
      <w:numFmt w:val="bullet"/>
      <w:lvlText w:val="-"/>
      <w:lvlJc w:val="left"/>
      <w:pPr>
        <w:ind w:left="360" w:hanging="360"/>
      </w:pPr>
      <w:rPr>
        <w:rFonts w:ascii="Verdana" w:eastAsia="Calibri" w:hAnsi="Verdana" w:cs="Times New Roman"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A22605"/>
    <w:multiLevelType w:val="hybridMultilevel"/>
    <w:tmpl w:val="31945D92"/>
    <w:lvl w:ilvl="0" w:tplc="0004E2C6">
      <w:start w:val="1"/>
      <w:numFmt w:val="upperRoman"/>
      <w:lvlText w:val="%1."/>
      <w:lvlJc w:val="left"/>
      <w:pPr>
        <w:ind w:left="947" w:hanging="720"/>
      </w:pPr>
      <w:rPr>
        <w:rFonts w:hint="default"/>
        <w:b w:val="0"/>
        <w:bCs w:val="0"/>
      </w:rPr>
    </w:lvl>
    <w:lvl w:ilvl="1" w:tplc="04130019">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25" w15:restartNumberingAfterBreak="0">
    <w:nsid w:val="7A055F94"/>
    <w:multiLevelType w:val="hybridMultilevel"/>
    <w:tmpl w:val="6BB0DC90"/>
    <w:lvl w:ilvl="0" w:tplc="412EF746">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72578178">
    <w:abstractNumId w:val="20"/>
  </w:num>
  <w:num w:numId="2" w16cid:durableId="1502164875">
    <w:abstractNumId w:val="14"/>
  </w:num>
  <w:num w:numId="3" w16cid:durableId="845099791">
    <w:abstractNumId w:val="0"/>
  </w:num>
  <w:num w:numId="4" w16cid:durableId="399716734">
    <w:abstractNumId w:val="9"/>
  </w:num>
  <w:num w:numId="5" w16cid:durableId="2037464768">
    <w:abstractNumId w:val="5"/>
  </w:num>
  <w:num w:numId="6" w16cid:durableId="1940137236">
    <w:abstractNumId w:val="8"/>
  </w:num>
  <w:num w:numId="7" w16cid:durableId="985207034">
    <w:abstractNumId w:val="22"/>
  </w:num>
  <w:num w:numId="8" w16cid:durableId="1990747571">
    <w:abstractNumId w:val="17"/>
  </w:num>
  <w:num w:numId="9" w16cid:durableId="1930695290">
    <w:abstractNumId w:val="19"/>
  </w:num>
  <w:num w:numId="10" w16cid:durableId="652947164">
    <w:abstractNumId w:val="10"/>
  </w:num>
  <w:num w:numId="11" w16cid:durableId="235476287">
    <w:abstractNumId w:val="21"/>
  </w:num>
  <w:num w:numId="12" w16cid:durableId="1750035859">
    <w:abstractNumId w:val="23"/>
  </w:num>
  <w:num w:numId="13" w16cid:durableId="627861467">
    <w:abstractNumId w:val="6"/>
  </w:num>
  <w:num w:numId="14" w16cid:durableId="1856263901">
    <w:abstractNumId w:val="15"/>
  </w:num>
  <w:num w:numId="15" w16cid:durableId="1755740107">
    <w:abstractNumId w:val="25"/>
  </w:num>
  <w:num w:numId="16" w16cid:durableId="238754771">
    <w:abstractNumId w:val="13"/>
  </w:num>
  <w:num w:numId="17" w16cid:durableId="1713532550">
    <w:abstractNumId w:val="16"/>
  </w:num>
  <w:num w:numId="18" w16cid:durableId="1766266761">
    <w:abstractNumId w:val="3"/>
  </w:num>
  <w:num w:numId="19" w16cid:durableId="1301689174">
    <w:abstractNumId w:val="11"/>
  </w:num>
  <w:num w:numId="20" w16cid:durableId="1489634931">
    <w:abstractNumId w:val="7"/>
  </w:num>
  <w:num w:numId="21" w16cid:durableId="820737770">
    <w:abstractNumId w:val="1"/>
  </w:num>
  <w:num w:numId="22" w16cid:durableId="1869446796">
    <w:abstractNumId w:val="12"/>
  </w:num>
  <w:num w:numId="23" w16cid:durableId="1471708919">
    <w:abstractNumId w:val="2"/>
  </w:num>
  <w:num w:numId="24" w16cid:durableId="14457354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6469405">
    <w:abstractNumId w:val="24"/>
  </w:num>
  <w:num w:numId="26" w16cid:durableId="976498042">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5B4"/>
    <w:rsid w:val="00000C75"/>
    <w:rsid w:val="000011F1"/>
    <w:rsid w:val="00001510"/>
    <w:rsid w:val="00002175"/>
    <w:rsid w:val="00003ED0"/>
    <w:rsid w:val="0000426E"/>
    <w:rsid w:val="00004A19"/>
    <w:rsid w:val="00004BA3"/>
    <w:rsid w:val="00004E1B"/>
    <w:rsid w:val="00004EA3"/>
    <w:rsid w:val="000055B9"/>
    <w:rsid w:val="000113DB"/>
    <w:rsid w:val="0002038C"/>
    <w:rsid w:val="00021553"/>
    <w:rsid w:val="00023C38"/>
    <w:rsid w:val="00024751"/>
    <w:rsid w:val="00025400"/>
    <w:rsid w:val="0003164A"/>
    <w:rsid w:val="00032184"/>
    <w:rsid w:val="0003277E"/>
    <w:rsid w:val="00037D49"/>
    <w:rsid w:val="000403AF"/>
    <w:rsid w:val="00041169"/>
    <w:rsid w:val="0004286F"/>
    <w:rsid w:val="0005007A"/>
    <w:rsid w:val="00050259"/>
    <w:rsid w:val="000506A4"/>
    <w:rsid w:val="000509BE"/>
    <w:rsid w:val="00050C94"/>
    <w:rsid w:val="00051314"/>
    <w:rsid w:val="000519C4"/>
    <w:rsid w:val="00054B33"/>
    <w:rsid w:val="00060E6B"/>
    <w:rsid w:val="0006249A"/>
    <w:rsid w:val="00065172"/>
    <w:rsid w:val="00065827"/>
    <w:rsid w:val="00065C8F"/>
    <w:rsid w:val="000708DE"/>
    <w:rsid w:val="000712E7"/>
    <w:rsid w:val="000725BE"/>
    <w:rsid w:val="000738AE"/>
    <w:rsid w:val="00075BB1"/>
    <w:rsid w:val="0007682D"/>
    <w:rsid w:val="000776C9"/>
    <w:rsid w:val="000831BD"/>
    <w:rsid w:val="0008342F"/>
    <w:rsid w:val="00083ABD"/>
    <w:rsid w:val="00085E0D"/>
    <w:rsid w:val="00090E9E"/>
    <w:rsid w:val="000919AB"/>
    <w:rsid w:val="000925CA"/>
    <w:rsid w:val="000938F4"/>
    <w:rsid w:val="00094CE0"/>
    <w:rsid w:val="0009794D"/>
    <w:rsid w:val="000A32F2"/>
    <w:rsid w:val="000B18E3"/>
    <w:rsid w:val="000B3D20"/>
    <w:rsid w:val="000B4F00"/>
    <w:rsid w:val="000B528A"/>
    <w:rsid w:val="000C11F2"/>
    <w:rsid w:val="000C1D70"/>
    <w:rsid w:val="000C3313"/>
    <w:rsid w:val="000C4649"/>
    <w:rsid w:val="000C47D6"/>
    <w:rsid w:val="000C4F41"/>
    <w:rsid w:val="000C6D50"/>
    <w:rsid w:val="000C7944"/>
    <w:rsid w:val="000D260C"/>
    <w:rsid w:val="000D3858"/>
    <w:rsid w:val="000D4CF6"/>
    <w:rsid w:val="000D7E08"/>
    <w:rsid w:val="000D7FAF"/>
    <w:rsid w:val="000E00C9"/>
    <w:rsid w:val="000E1F08"/>
    <w:rsid w:val="000E28BF"/>
    <w:rsid w:val="000E2914"/>
    <w:rsid w:val="000E43AA"/>
    <w:rsid w:val="000E66BB"/>
    <w:rsid w:val="000F1780"/>
    <w:rsid w:val="000F4A30"/>
    <w:rsid w:val="000F7B4C"/>
    <w:rsid w:val="001007FE"/>
    <w:rsid w:val="001031FD"/>
    <w:rsid w:val="001062AC"/>
    <w:rsid w:val="00113CD0"/>
    <w:rsid w:val="00122BC9"/>
    <w:rsid w:val="001256E3"/>
    <w:rsid w:val="00125AB0"/>
    <w:rsid w:val="00126045"/>
    <w:rsid w:val="001267F3"/>
    <w:rsid w:val="001272BA"/>
    <w:rsid w:val="001315CD"/>
    <w:rsid w:val="001324F1"/>
    <w:rsid w:val="00132858"/>
    <w:rsid w:val="00135768"/>
    <w:rsid w:val="00135E19"/>
    <w:rsid w:val="00136A80"/>
    <w:rsid w:val="00137715"/>
    <w:rsid w:val="001400EB"/>
    <w:rsid w:val="00143147"/>
    <w:rsid w:val="0014675F"/>
    <w:rsid w:val="00146CCB"/>
    <w:rsid w:val="00150BB1"/>
    <w:rsid w:val="001600E4"/>
    <w:rsid w:val="00161F8B"/>
    <w:rsid w:val="00162345"/>
    <w:rsid w:val="00162A6C"/>
    <w:rsid w:val="00162F13"/>
    <w:rsid w:val="00163933"/>
    <w:rsid w:val="00164741"/>
    <w:rsid w:val="001667CF"/>
    <w:rsid w:val="00166BB3"/>
    <w:rsid w:val="00166CA9"/>
    <w:rsid w:val="00170805"/>
    <w:rsid w:val="0017345D"/>
    <w:rsid w:val="0017474C"/>
    <w:rsid w:val="00177575"/>
    <w:rsid w:val="00177768"/>
    <w:rsid w:val="00180647"/>
    <w:rsid w:val="00181E17"/>
    <w:rsid w:val="001836D4"/>
    <w:rsid w:val="00187356"/>
    <w:rsid w:val="0019020A"/>
    <w:rsid w:val="0019139D"/>
    <w:rsid w:val="00192D2D"/>
    <w:rsid w:val="00192E2C"/>
    <w:rsid w:val="00195945"/>
    <w:rsid w:val="0019729A"/>
    <w:rsid w:val="001A14E5"/>
    <w:rsid w:val="001A3B39"/>
    <w:rsid w:val="001A4863"/>
    <w:rsid w:val="001A5745"/>
    <w:rsid w:val="001A6D0D"/>
    <w:rsid w:val="001A6E64"/>
    <w:rsid w:val="001A71A2"/>
    <w:rsid w:val="001A7B90"/>
    <w:rsid w:val="001B0513"/>
    <w:rsid w:val="001B1123"/>
    <w:rsid w:val="001B53DC"/>
    <w:rsid w:val="001B6D89"/>
    <w:rsid w:val="001B700C"/>
    <w:rsid w:val="001C212B"/>
    <w:rsid w:val="001C3F7B"/>
    <w:rsid w:val="001C437F"/>
    <w:rsid w:val="001C4751"/>
    <w:rsid w:val="001D0FA8"/>
    <w:rsid w:val="001D3C6B"/>
    <w:rsid w:val="001D4F30"/>
    <w:rsid w:val="001D572A"/>
    <w:rsid w:val="001E12A1"/>
    <w:rsid w:val="001E2ABE"/>
    <w:rsid w:val="001E4574"/>
    <w:rsid w:val="001E4D6B"/>
    <w:rsid w:val="001E5A4A"/>
    <w:rsid w:val="001F0C82"/>
    <w:rsid w:val="001F1EAA"/>
    <w:rsid w:val="001F5047"/>
    <w:rsid w:val="001F608F"/>
    <w:rsid w:val="00204E4A"/>
    <w:rsid w:val="002052A8"/>
    <w:rsid w:val="002052FA"/>
    <w:rsid w:val="00207DD4"/>
    <w:rsid w:val="00211E50"/>
    <w:rsid w:val="002137B7"/>
    <w:rsid w:val="002147D0"/>
    <w:rsid w:val="00214F72"/>
    <w:rsid w:val="0021799C"/>
    <w:rsid w:val="00223DCC"/>
    <w:rsid w:val="0022422E"/>
    <w:rsid w:val="00230E4D"/>
    <w:rsid w:val="00233123"/>
    <w:rsid w:val="00233A7D"/>
    <w:rsid w:val="00234DB5"/>
    <w:rsid w:val="002361C3"/>
    <w:rsid w:val="00236E0D"/>
    <w:rsid w:val="002430F6"/>
    <w:rsid w:val="00243573"/>
    <w:rsid w:val="00245CC8"/>
    <w:rsid w:val="00246BB2"/>
    <w:rsid w:val="00247244"/>
    <w:rsid w:val="00247590"/>
    <w:rsid w:val="00251728"/>
    <w:rsid w:val="00252ABA"/>
    <w:rsid w:val="00253C83"/>
    <w:rsid w:val="002560BB"/>
    <w:rsid w:val="00256149"/>
    <w:rsid w:val="00257041"/>
    <w:rsid w:val="002575F3"/>
    <w:rsid w:val="00260C5C"/>
    <w:rsid w:val="00262CF4"/>
    <w:rsid w:val="002639BC"/>
    <w:rsid w:val="0026433E"/>
    <w:rsid w:val="00266C61"/>
    <w:rsid w:val="0026785F"/>
    <w:rsid w:val="00271DD6"/>
    <w:rsid w:val="00283A10"/>
    <w:rsid w:val="00284C7D"/>
    <w:rsid w:val="002864C1"/>
    <w:rsid w:val="00287F3F"/>
    <w:rsid w:val="0029147B"/>
    <w:rsid w:val="00294F5C"/>
    <w:rsid w:val="00295A49"/>
    <w:rsid w:val="00295BB3"/>
    <w:rsid w:val="0029639C"/>
    <w:rsid w:val="002968C9"/>
    <w:rsid w:val="00297DFA"/>
    <w:rsid w:val="002A083F"/>
    <w:rsid w:val="002A1801"/>
    <w:rsid w:val="002A323C"/>
    <w:rsid w:val="002A32C2"/>
    <w:rsid w:val="002A52F2"/>
    <w:rsid w:val="002A57E1"/>
    <w:rsid w:val="002B0D4C"/>
    <w:rsid w:val="002B2721"/>
    <w:rsid w:val="002B7444"/>
    <w:rsid w:val="002C0119"/>
    <w:rsid w:val="002C0990"/>
    <w:rsid w:val="002C46F1"/>
    <w:rsid w:val="002C72FA"/>
    <w:rsid w:val="002C7B87"/>
    <w:rsid w:val="002D0A0C"/>
    <w:rsid w:val="002D3272"/>
    <w:rsid w:val="002D46C3"/>
    <w:rsid w:val="002D56BB"/>
    <w:rsid w:val="002D5CB0"/>
    <w:rsid w:val="002E03DE"/>
    <w:rsid w:val="002E2DEF"/>
    <w:rsid w:val="002E6DF2"/>
    <w:rsid w:val="002F16F6"/>
    <w:rsid w:val="002F328E"/>
    <w:rsid w:val="002F3995"/>
    <w:rsid w:val="002F50F3"/>
    <w:rsid w:val="002F7558"/>
    <w:rsid w:val="003020B6"/>
    <w:rsid w:val="003039C5"/>
    <w:rsid w:val="003058AF"/>
    <w:rsid w:val="003105F8"/>
    <w:rsid w:val="003121D5"/>
    <w:rsid w:val="003126B9"/>
    <w:rsid w:val="00313108"/>
    <w:rsid w:val="00316DFB"/>
    <w:rsid w:val="00317A7A"/>
    <w:rsid w:val="00323AFE"/>
    <w:rsid w:val="003246DC"/>
    <w:rsid w:val="0032700E"/>
    <w:rsid w:val="003320B1"/>
    <w:rsid w:val="00332F53"/>
    <w:rsid w:val="00334EC2"/>
    <w:rsid w:val="00346E15"/>
    <w:rsid w:val="003573CF"/>
    <w:rsid w:val="0036477C"/>
    <w:rsid w:val="0036591F"/>
    <w:rsid w:val="00367A24"/>
    <w:rsid w:val="003726BC"/>
    <w:rsid w:val="00374EF5"/>
    <w:rsid w:val="00377814"/>
    <w:rsid w:val="00381C73"/>
    <w:rsid w:val="00382864"/>
    <w:rsid w:val="00382D14"/>
    <w:rsid w:val="0038528E"/>
    <w:rsid w:val="003856B7"/>
    <w:rsid w:val="00392781"/>
    <w:rsid w:val="003930E6"/>
    <w:rsid w:val="00394B62"/>
    <w:rsid w:val="003959FD"/>
    <w:rsid w:val="003A0333"/>
    <w:rsid w:val="003A1C89"/>
    <w:rsid w:val="003A2DAA"/>
    <w:rsid w:val="003B271D"/>
    <w:rsid w:val="003B2F3F"/>
    <w:rsid w:val="003B3D28"/>
    <w:rsid w:val="003B4D36"/>
    <w:rsid w:val="003B539B"/>
    <w:rsid w:val="003C05C4"/>
    <w:rsid w:val="003C39DF"/>
    <w:rsid w:val="003C4301"/>
    <w:rsid w:val="003C4F35"/>
    <w:rsid w:val="003C5CF0"/>
    <w:rsid w:val="003C7826"/>
    <w:rsid w:val="003D00C4"/>
    <w:rsid w:val="003D1435"/>
    <w:rsid w:val="003D21D1"/>
    <w:rsid w:val="003D2CBA"/>
    <w:rsid w:val="003D5822"/>
    <w:rsid w:val="003E197D"/>
    <w:rsid w:val="003E2956"/>
    <w:rsid w:val="003E6345"/>
    <w:rsid w:val="003F1D94"/>
    <w:rsid w:val="003F27F3"/>
    <w:rsid w:val="003F3797"/>
    <w:rsid w:val="003F3A33"/>
    <w:rsid w:val="003F3E62"/>
    <w:rsid w:val="003F6A15"/>
    <w:rsid w:val="00402A2F"/>
    <w:rsid w:val="004040F3"/>
    <w:rsid w:val="004076FD"/>
    <w:rsid w:val="00407EC0"/>
    <w:rsid w:val="00407FA5"/>
    <w:rsid w:val="00411864"/>
    <w:rsid w:val="00411E4F"/>
    <w:rsid w:val="00412826"/>
    <w:rsid w:val="00412B1E"/>
    <w:rsid w:val="004143F4"/>
    <w:rsid w:val="004237C5"/>
    <w:rsid w:val="00424740"/>
    <w:rsid w:val="00426028"/>
    <w:rsid w:val="0042725E"/>
    <w:rsid w:val="00430341"/>
    <w:rsid w:val="004309AC"/>
    <w:rsid w:val="004312BC"/>
    <w:rsid w:val="00431877"/>
    <w:rsid w:val="0043279F"/>
    <w:rsid w:val="0043380A"/>
    <w:rsid w:val="00433C28"/>
    <w:rsid w:val="0044167A"/>
    <w:rsid w:val="0044381D"/>
    <w:rsid w:val="00447842"/>
    <w:rsid w:val="00447B3C"/>
    <w:rsid w:val="00450CF0"/>
    <w:rsid w:val="00450ECD"/>
    <w:rsid w:val="00451290"/>
    <w:rsid w:val="0045682E"/>
    <w:rsid w:val="004647EB"/>
    <w:rsid w:val="0046508D"/>
    <w:rsid w:val="00471ED1"/>
    <w:rsid w:val="004746B3"/>
    <w:rsid w:val="00474F76"/>
    <w:rsid w:val="00475C04"/>
    <w:rsid w:val="0047620D"/>
    <w:rsid w:val="00477BF4"/>
    <w:rsid w:val="00484408"/>
    <w:rsid w:val="00484C88"/>
    <w:rsid w:val="00486C2E"/>
    <w:rsid w:val="00493197"/>
    <w:rsid w:val="004933DF"/>
    <w:rsid w:val="00493578"/>
    <w:rsid w:val="004953C6"/>
    <w:rsid w:val="004962AF"/>
    <w:rsid w:val="00497B77"/>
    <w:rsid w:val="004A0DC8"/>
    <w:rsid w:val="004A29E1"/>
    <w:rsid w:val="004A36FC"/>
    <w:rsid w:val="004A424B"/>
    <w:rsid w:val="004A4DD8"/>
    <w:rsid w:val="004A6949"/>
    <w:rsid w:val="004A6B3D"/>
    <w:rsid w:val="004A7064"/>
    <w:rsid w:val="004B2BD4"/>
    <w:rsid w:val="004B50D4"/>
    <w:rsid w:val="004B5E03"/>
    <w:rsid w:val="004C0351"/>
    <w:rsid w:val="004C2D2E"/>
    <w:rsid w:val="004D0546"/>
    <w:rsid w:val="004D1A84"/>
    <w:rsid w:val="004D1DD0"/>
    <w:rsid w:val="004D4CAD"/>
    <w:rsid w:val="004E1B30"/>
    <w:rsid w:val="004E3B7C"/>
    <w:rsid w:val="004E472F"/>
    <w:rsid w:val="004E76C2"/>
    <w:rsid w:val="004F0C6F"/>
    <w:rsid w:val="004F1D13"/>
    <w:rsid w:val="004F5BEC"/>
    <w:rsid w:val="004F5DF9"/>
    <w:rsid w:val="004F6EF8"/>
    <w:rsid w:val="004F7ED5"/>
    <w:rsid w:val="0050042E"/>
    <w:rsid w:val="005032BA"/>
    <w:rsid w:val="005062B9"/>
    <w:rsid w:val="00510807"/>
    <w:rsid w:val="00511CA0"/>
    <w:rsid w:val="00511F6C"/>
    <w:rsid w:val="00513007"/>
    <w:rsid w:val="00514059"/>
    <w:rsid w:val="00515E92"/>
    <w:rsid w:val="005202B1"/>
    <w:rsid w:val="005215D3"/>
    <w:rsid w:val="00522AE9"/>
    <w:rsid w:val="00525C8D"/>
    <w:rsid w:val="00525EEB"/>
    <w:rsid w:val="005308D5"/>
    <w:rsid w:val="00531FF8"/>
    <w:rsid w:val="00533846"/>
    <w:rsid w:val="005355CC"/>
    <w:rsid w:val="00544567"/>
    <w:rsid w:val="00545703"/>
    <w:rsid w:val="0054692C"/>
    <w:rsid w:val="00546C90"/>
    <w:rsid w:val="005526EE"/>
    <w:rsid w:val="005554AF"/>
    <w:rsid w:val="00555562"/>
    <w:rsid w:val="005560E1"/>
    <w:rsid w:val="00556C39"/>
    <w:rsid w:val="00561215"/>
    <w:rsid w:val="00561C20"/>
    <w:rsid w:val="00562DE6"/>
    <w:rsid w:val="00563C30"/>
    <w:rsid w:val="0056743E"/>
    <w:rsid w:val="00567D0E"/>
    <w:rsid w:val="00571A6E"/>
    <w:rsid w:val="00573E4E"/>
    <w:rsid w:val="0057702C"/>
    <w:rsid w:val="00577CAA"/>
    <w:rsid w:val="0058612D"/>
    <w:rsid w:val="00590B7D"/>
    <w:rsid w:val="00594A1B"/>
    <w:rsid w:val="00597204"/>
    <w:rsid w:val="005A1C19"/>
    <w:rsid w:val="005A31D3"/>
    <w:rsid w:val="005A436F"/>
    <w:rsid w:val="005A5571"/>
    <w:rsid w:val="005A7E95"/>
    <w:rsid w:val="005B00C0"/>
    <w:rsid w:val="005B35DC"/>
    <w:rsid w:val="005B44D8"/>
    <w:rsid w:val="005B7A99"/>
    <w:rsid w:val="005B7AB3"/>
    <w:rsid w:val="005C2121"/>
    <w:rsid w:val="005C2CEC"/>
    <w:rsid w:val="005C50AE"/>
    <w:rsid w:val="005C757A"/>
    <w:rsid w:val="005D10C1"/>
    <w:rsid w:val="005D12D9"/>
    <w:rsid w:val="005D3615"/>
    <w:rsid w:val="005D3C2E"/>
    <w:rsid w:val="005D458E"/>
    <w:rsid w:val="005E3780"/>
    <w:rsid w:val="005E65D6"/>
    <w:rsid w:val="005E6F9D"/>
    <w:rsid w:val="005F02E3"/>
    <w:rsid w:val="005F1165"/>
    <w:rsid w:val="005F2CB4"/>
    <w:rsid w:val="00600A16"/>
    <w:rsid w:val="00604DB0"/>
    <w:rsid w:val="0060523A"/>
    <w:rsid w:val="006063E3"/>
    <w:rsid w:val="0060685E"/>
    <w:rsid w:val="00607142"/>
    <w:rsid w:val="00610CC8"/>
    <w:rsid w:val="00611701"/>
    <w:rsid w:val="006117CF"/>
    <w:rsid w:val="00612434"/>
    <w:rsid w:val="00612F59"/>
    <w:rsid w:val="006150FB"/>
    <w:rsid w:val="00620F3B"/>
    <w:rsid w:val="0062112E"/>
    <w:rsid w:val="00627211"/>
    <w:rsid w:val="006303C0"/>
    <w:rsid w:val="00631117"/>
    <w:rsid w:val="0063257A"/>
    <w:rsid w:val="00632988"/>
    <w:rsid w:val="00633594"/>
    <w:rsid w:val="00637286"/>
    <w:rsid w:val="006412C9"/>
    <w:rsid w:val="00643F23"/>
    <w:rsid w:val="0064681C"/>
    <w:rsid w:val="00650FD8"/>
    <w:rsid w:val="00657600"/>
    <w:rsid w:val="006579E7"/>
    <w:rsid w:val="00657B46"/>
    <w:rsid w:val="00660C0F"/>
    <w:rsid w:val="006639BA"/>
    <w:rsid w:val="006641C3"/>
    <w:rsid w:val="00665165"/>
    <w:rsid w:val="00670A51"/>
    <w:rsid w:val="00670A6B"/>
    <w:rsid w:val="00670B0A"/>
    <w:rsid w:val="00672586"/>
    <w:rsid w:val="00672E1B"/>
    <w:rsid w:val="0067370A"/>
    <w:rsid w:val="006762B2"/>
    <w:rsid w:val="006764C7"/>
    <w:rsid w:val="00683166"/>
    <w:rsid w:val="00685A07"/>
    <w:rsid w:val="0068603D"/>
    <w:rsid w:val="00691FB6"/>
    <w:rsid w:val="006945E7"/>
    <w:rsid w:val="0069795B"/>
    <w:rsid w:val="006A0304"/>
    <w:rsid w:val="006A7AEA"/>
    <w:rsid w:val="006B1B1B"/>
    <w:rsid w:val="006B5071"/>
    <w:rsid w:val="006B5721"/>
    <w:rsid w:val="006B5E5B"/>
    <w:rsid w:val="006B6452"/>
    <w:rsid w:val="006B6A55"/>
    <w:rsid w:val="006C16E8"/>
    <w:rsid w:val="006C29B9"/>
    <w:rsid w:val="006C4257"/>
    <w:rsid w:val="006C58E4"/>
    <w:rsid w:val="006C6FE2"/>
    <w:rsid w:val="006D20E0"/>
    <w:rsid w:val="006D222A"/>
    <w:rsid w:val="006D31C9"/>
    <w:rsid w:val="006D6A96"/>
    <w:rsid w:val="006D75B4"/>
    <w:rsid w:val="006D774D"/>
    <w:rsid w:val="006D776D"/>
    <w:rsid w:val="006D7FFE"/>
    <w:rsid w:val="006E207A"/>
    <w:rsid w:val="006E2FDC"/>
    <w:rsid w:val="006E431A"/>
    <w:rsid w:val="006E5534"/>
    <w:rsid w:val="006E6D71"/>
    <w:rsid w:val="006E723A"/>
    <w:rsid w:val="006E7B91"/>
    <w:rsid w:val="006F1083"/>
    <w:rsid w:val="006F1A2D"/>
    <w:rsid w:val="006F565C"/>
    <w:rsid w:val="006F7B0E"/>
    <w:rsid w:val="0070074A"/>
    <w:rsid w:val="007065C2"/>
    <w:rsid w:val="00706AD7"/>
    <w:rsid w:val="00710183"/>
    <w:rsid w:val="00710D3E"/>
    <w:rsid w:val="007112E0"/>
    <w:rsid w:val="00715D69"/>
    <w:rsid w:val="00716192"/>
    <w:rsid w:val="00722AE5"/>
    <w:rsid w:val="00724DBD"/>
    <w:rsid w:val="00726C70"/>
    <w:rsid w:val="0073135E"/>
    <w:rsid w:val="007313C3"/>
    <w:rsid w:val="007319D4"/>
    <w:rsid w:val="00731A3D"/>
    <w:rsid w:val="00731B00"/>
    <w:rsid w:val="00732AA1"/>
    <w:rsid w:val="007370E5"/>
    <w:rsid w:val="00737867"/>
    <w:rsid w:val="00741B11"/>
    <w:rsid w:val="0074200B"/>
    <w:rsid w:val="00744D32"/>
    <w:rsid w:val="00747EB8"/>
    <w:rsid w:val="00751174"/>
    <w:rsid w:val="00753226"/>
    <w:rsid w:val="0075386C"/>
    <w:rsid w:val="0075660B"/>
    <w:rsid w:val="00757C85"/>
    <w:rsid w:val="00757DAF"/>
    <w:rsid w:val="007600B4"/>
    <w:rsid w:val="00764F3B"/>
    <w:rsid w:val="00765556"/>
    <w:rsid w:val="007660C4"/>
    <w:rsid w:val="007676F3"/>
    <w:rsid w:val="0076792F"/>
    <w:rsid w:val="00771DE6"/>
    <w:rsid w:val="007750B4"/>
    <w:rsid w:val="00776500"/>
    <w:rsid w:val="0078119B"/>
    <w:rsid w:val="007831B5"/>
    <w:rsid w:val="00783E67"/>
    <w:rsid w:val="00784332"/>
    <w:rsid w:val="007876E9"/>
    <w:rsid w:val="0079550B"/>
    <w:rsid w:val="007966BB"/>
    <w:rsid w:val="00796F79"/>
    <w:rsid w:val="007A0A1B"/>
    <w:rsid w:val="007A2460"/>
    <w:rsid w:val="007A4543"/>
    <w:rsid w:val="007B320D"/>
    <w:rsid w:val="007B5216"/>
    <w:rsid w:val="007B7068"/>
    <w:rsid w:val="007C08EB"/>
    <w:rsid w:val="007C1269"/>
    <w:rsid w:val="007C1AAC"/>
    <w:rsid w:val="007C1E39"/>
    <w:rsid w:val="007C1FD3"/>
    <w:rsid w:val="007C4D7C"/>
    <w:rsid w:val="007C5C8F"/>
    <w:rsid w:val="007D0AF3"/>
    <w:rsid w:val="007D2EBF"/>
    <w:rsid w:val="007D2F66"/>
    <w:rsid w:val="007D5EBD"/>
    <w:rsid w:val="007D7480"/>
    <w:rsid w:val="007E033C"/>
    <w:rsid w:val="007E562C"/>
    <w:rsid w:val="007F2A0E"/>
    <w:rsid w:val="007F3F06"/>
    <w:rsid w:val="007F4924"/>
    <w:rsid w:val="0080044B"/>
    <w:rsid w:val="00800B93"/>
    <w:rsid w:val="008035EA"/>
    <w:rsid w:val="00804770"/>
    <w:rsid w:val="008047B1"/>
    <w:rsid w:val="0080554C"/>
    <w:rsid w:val="008061C2"/>
    <w:rsid w:val="00806DB4"/>
    <w:rsid w:val="0080758A"/>
    <w:rsid w:val="00807D44"/>
    <w:rsid w:val="00810729"/>
    <w:rsid w:val="00810F5A"/>
    <w:rsid w:val="00812427"/>
    <w:rsid w:val="00817928"/>
    <w:rsid w:val="0081799B"/>
    <w:rsid w:val="00821556"/>
    <w:rsid w:val="008243B7"/>
    <w:rsid w:val="00825D86"/>
    <w:rsid w:val="00832745"/>
    <w:rsid w:val="00836008"/>
    <w:rsid w:val="00836AC7"/>
    <w:rsid w:val="00837147"/>
    <w:rsid w:val="00837F8B"/>
    <w:rsid w:val="00840454"/>
    <w:rsid w:val="00843CBD"/>
    <w:rsid w:val="00845819"/>
    <w:rsid w:val="0084761F"/>
    <w:rsid w:val="00847E39"/>
    <w:rsid w:val="008507D8"/>
    <w:rsid w:val="00852AC3"/>
    <w:rsid w:val="00855FFD"/>
    <w:rsid w:val="00856AFA"/>
    <w:rsid w:val="00856F38"/>
    <w:rsid w:val="00860D2D"/>
    <w:rsid w:val="0086141A"/>
    <w:rsid w:val="008614EB"/>
    <w:rsid w:val="00861C31"/>
    <w:rsid w:val="00861DD6"/>
    <w:rsid w:val="008624CB"/>
    <w:rsid w:val="00862758"/>
    <w:rsid w:val="00863BC3"/>
    <w:rsid w:val="00864112"/>
    <w:rsid w:val="008663A4"/>
    <w:rsid w:val="008676CC"/>
    <w:rsid w:val="00871249"/>
    <w:rsid w:val="00873FB8"/>
    <w:rsid w:val="008763F3"/>
    <w:rsid w:val="00876C96"/>
    <w:rsid w:val="00877E0C"/>
    <w:rsid w:val="00880679"/>
    <w:rsid w:val="0088170E"/>
    <w:rsid w:val="008864EC"/>
    <w:rsid w:val="008878E6"/>
    <w:rsid w:val="00890D09"/>
    <w:rsid w:val="00890D50"/>
    <w:rsid w:val="0089166F"/>
    <w:rsid w:val="00892AF0"/>
    <w:rsid w:val="00896FD0"/>
    <w:rsid w:val="0089737C"/>
    <w:rsid w:val="008A1E03"/>
    <w:rsid w:val="008A2BFA"/>
    <w:rsid w:val="008B0E56"/>
    <w:rsid w:val="008B1A64"/>
    <w:rsid w:val="008B259F"/>
    <w:rsid w:val="008B3978"/>
    <w:rsid w:val="008B3A8E"/>
    <w:rsid w:val="008B62D5"/>
    <w:rsid w:val="008C2672"/>
    <w:rsid w:val="008C2939"/>
    <w:rsid w:val="008C39C5"/>
    <w:rsid w:val="008C3DB3"/>
    <w:rsid w:val="008C5015"/>
    <w:rsid w:val="008D11A6"/>
    <w:rsid w:val="008D18AC"/>
    <w:rsid w:val="008D5195"/>
    <w:rsid w:val="008D7AD9"/>
    <w:rsid w:val="008D7BC8"/>
    <w:rsid w:val="008E12C1"/>
    <w:rsid w:val="008E2019"/>
    <w:rsid w:val="008E2A5D"/>
    <w:rsid w:val="008E33DE"/>
    <w:rsid w:val="008E342A"/>
    <w:rsid w:val="008E5682"/>
    <w:rsid w:val="008F0DEB"/>
    <w:rsid w:val="008F10DC"/>
    <w:rsid w:val="008F624E"/>
    <w:rsid w:val="008F6AFF"/>
    <w:rsid w:val="009010F4"/>
    <w:rsid w:val="00901EC6"/>
    <w:rsid w:val="009028FE"/>
    <w:rsid w:val="00907713"/>
    <w:rsid w:val="00907A48"/>
    <w:rsid w:val="00911141"/>
    <w:rsid w:val="009130E8"/>
    <w:rsid w:val="00917457"/>
    <w:rsid w:val="00922CA6"/>
    <w:rsid w:val="009237FD"/>
    <w:rsid w:val="00927814"/>
    <w:rsid w:val="00936D3B"/>
    <w:rsid w:val="00941A24"/>
    <w:rsid w:val="00942113"/>
    <w:rsid w:val="009421D4"/>
    <w:rsid w:val="009428B9"/>
    <w:rsid w:val="00944459"/>
    <w:rsid w:val="00946420"/>
    <w:rsid w:val="009504A6"/>
    <w:rsid w:val="00967045"/>
    <w:rsid w:val="009715F6"/>
    <w:rsid w:val="009718E1"/>
    <w:rsid w:val="00972F73"/>
    <w:rsid w:val="009739B1"/>
    <w:rsid w:val="00976512"/>
    <w:rsid w:val="00976B97"/>
    <w:rsid w:val="0097704B"/>
    <w:rsid w:val="00977B6D"/>
    <w:rsid w:val="009802B5"/>
    <w:rsid w:val="009807F5"/>
    <w:rsid w:val="00980909"/>
    <w:rsid w:val="00981184"/>
    <w:rsid w:val="0098244A"/>
    <w:rsid w:val="00983015"/>
    <w:rsid w:val="00986E7C"/>
    <w:rsid w:val="0098709D"/>
    <w:rsid w:val="00991655"/>
    <w:rsid w:val="00994EC4"/>
    <w:rsid w:val="00995011"/>
    <w:rsid w:val="00997A97"/>
    <w:rsid w:val="009A0EA7"/>
    <w:rsid w:val="009A2CCE"/>
    <w:rsid w:val="009A3094"/>
    <w:rsid w:val="009A43CA"/>
    <w:rsid w:val="009A469A"/>
    <w:rsid w:val="009A5EED"/>
    <w:rsid w:val="009A6966"/>
    <w:rsid w:val="009A6FDE"/>
    <w:rsid w:val="009B0C67"/>
    <w:rsid w:val="009B10FC"/>
    <w:rsid w:val="009B3E00"/>
    <w:rsid w:val="009B6AB2"/>
    <w:rsid w:val="009C0223"/>
    <w:rsid w:val="009C2558"/>
    <w:rsid w:val="009C2A22"/>
    <w:rsid w:val="009C2F8A"/>
    <w:rsid w:val="009C3D90"/>
    <w:rsid w:val="009C4295"/>
    <w:rsid w:val="009C4CD8"/>
    <w:rsid w:val="009C6220"/>
    <w:rsid w:val="009D1118"/>
    <w:rsid w:val="009D2C84"/>
    <w:rsid w:val="009D3F08"/>
    <w:rsid w:val="009D5591"/>
    <w:rsid w:val="009D5A8B"/>
    <w:rsid w:val="009E070B"/>
    <w:rsid w:val="009E3188"/>
    <w:rsid w:val="009F10F9"/>
    <w:rsid w:val="009F1B94"/>
    <w:rsid w:val="009F41A5"/>
    <w:rsid w:val="00A01354"/>
    <w:rsid w:val="00A03E2D"/>
    <w:rsid w:val="00A05F21"/>
    <w:rsid w:val="00A064C6"/>
    <w:rsid w:val="00A06770"/>
    <w:rsid w:val="00A10C86"/>
    <w:rsid w:val="00A12F03"/>
    <w:rsid w:val="00A1339D"/>
    <w:rsid w:val="00A14272"/>
    <w:rsid w:val="00A144FF"/>
    <w:rsid w:val="00A15F4B"/>
    <w:rsid w:val="00A161F3"/>
    <w:rsid w:val="00A21639"/>
    <w:rsid w:val="00A23CF7"/>
    <w:rsid w:val="00A24F82"/>
    <w:rsid w:val="00A25005"/>
    <w:rsid w:val="00A26BE7"/>
    <w:rsid w:val="00A2765C"/>
    <w:rsid w:val="00A307E6"/>
    <w:rsid w:val="00A30A5C"/>
    <w:rsid w:val="00A30CB2"/>
    <w:rsid w:val="00A30FFD"/>
    <w:rsid w:val="00A311B7"/>
    <w:rsid w:val="00A31EDF"/>
    <w:rsid w:val="00A33A8D"/>
    <w:rsid w:val="00A33B25"/>
    <w:rsid w:val="00A37193"/>
    <w:rsid w:val="00A375BC"/>
    <w:rsid w:val="00A400DE"/>
    <w:rsid w:val="00A40F41"/>
    <w:rsid w:val="00A45544"/>
    <w:rsid w:val="00A46F2F"/>
    <w:rsid w:val="00A50B4A"/>
    <w:rsid w:val="00A50C2A"/>
    <w:rsid w:val="00A531F0"/>
    <w:rsid w:val="00A5323D"/>
    <w:rsid w:val="00A5401D"/>
    <w:rsid w:val="00A564C9"/>
    <w:rsid w:val="00A5762D"/>
    <w:rsid w:val="00A577BA"/>
    <w:rsid w:val="00A60FA2"/>
    <w:rsid w:val="00A66774"/>
    <w:rsid w:val="00A66F39"/>
    <w:rsid w:val="00A70D4D"/>
    <w:rsid w:val="00A84A36"/>
    <w:rsid w:val="00A85A53"/>
    <w:rsid w:val="00A85EEE"/>
    <w:rsid w:val="00A931E5"/>
    <w:rsid w:val="00A964BD"/>
    <w:rsid w:val="00AA0B27"/>
    <w:rsid w:val="00AA0C50"/>
    <w:rsid w:val="00AA3889"/>
    <w:rsid w:val="00AA4344"/>
    <w:rsid w:val="00AA697E"/>
    <w:rsid w:val="00AB040C"/>
    <w:rsid w:val="00AB09BF"/>
    <w:rsid w:val="00AB443A"/>
    <w:rsid w:val="00AB4FDB"/>
    <w:rsid w:val="00AB5300"/>
    <w:rsid w:val="00AB5F10"/>
    <w:rsid w:val="00AB71E2"/>
    <w:rsid w:val="00AB78EF"/>
    <w:rsid w:val="00AB7E89"/>
    <w:rsid w:val="00AC21C2"/>
    <w:rsid w:val="00AC30C8"/>
    <w:rsid w:val="00AC3FEA"/>
    <w:rsid w:val="00AC6EE6"/>
    <w:rsid w:val="00AD338F"/>
    <w:rsid w:val="00AD3FEC"/>
    <w:rsid w:val="00AD4C76"/>
    <w:rsid w:val="00AD56A7"/>
    <w:rsid w:val="00AE1A4F"/>
    <w:rsid w:val="00AE3D42"/>
    <w:rsid w:val="00AE43A7"/>
    <w:rsid w:val="00AE43CE"/>
    <w:rsid w:val="00AE657C"/>
    <w:rsid w:val="00AE704A"/>
    <w:rsid w:val="00AE7508"/>
    <w:rsid w:val="00AE7AA4"/>
    <w:rsid w:val="00AF03CB"/>
    <w:rsid w:val="00AF340D"/>
    <w:rsid w:val="00AF4CAB"/>
    <w:rsid w:val="00AF6780"/>
    <w:rsid w:val="00B00AF0"/>
    <w:rsid w:val="00B01616"/>
    <w:rsid w:val="00B01E51"/>
    <w:rsid w:val="00B03E38"/>
    <w:rsid w:val="00B0463A"/>
    <w:rsid w:val="00B06387"/>
    <w:rsid w:val="00B06923"/>
    <w:rsid w:val="00B1212A"/>
    <w:rsid w:val="00B146E1"/>
    <w:rsid w:val="00B172D2"/>
    <w:rsid w:val="00B220A7"/>
    <w:rsid w:val="00B23245"/>
    <w:rsid w:val="00B237F4"/>
    <w:rsid w:val="00B251F6"/>
    <w:rsid w:val="00B25D78"/>
    <w:rsid w:val="00B2622D"/>
    <w:rsid w:val="00B27B60"/>
    <w:rsid w:val="00B32BDA"/>
    <w:rsid w:val="00B33D7D"/>
    <w:rsid w:val="00B37E4A"/>
    <w:rsid w:val="00B41270"/>
    <w:rsid w:val="00B42B8D"/>
    <w:rsid w:val="00B4329B"/>
    <w:rsid w:val="00B44346"/>
    <w:rsid w:val="00B447B4"/>
    <w:rsid w:val="00B45CF7"/>
    <w:rsid w:val="00B468E6"/>
    <w:rsid w:val="00B50E33"/>
    <w:rsid w:val="00B521F8"/>
    <w:rsid w:val="00B6092E"/>
    <w:rsid w:val="00B62AF4"/>
    <w:rsid w:val="00B64975"/>
    <w:rsid w:val="00B70B1B"/>
    <w:rsid w:val="00B71E34"/>
    <w:rsid w:val="00B77908"/>
    <w:rsid w:val="00B8062A"/>
    <w:rsid w:val="00B81A02"/>
    <w:rsid w:val="00B822EB"/>
    <w:rsid w:val="00B84A49"/>
    <w:rsid w:val="00B84B2A"/>
    <w:rsid w:val="00B9041A"/>
    <w:rsid w:val="00B935E7"/>
    <w:rsid w:val="00B93D55"/>
    <w:rsid w:val="00B94CC8"/>
    <w:rsid w:val="00B97DAF"/>
    <w:rsid w:val="00BA01BF"/>
    <w:rsid w:val="00BA0A81"/>
    <w:rsid w:val="00BA1642"/>
    <w:rsid w:val="00BA1AF7"/>
    <w:rsid w:val="00BA1FAC"/>
    <w:rsid w:val="00BA66FC"/>
    <w:rsid w:val="00BB043D"/>
    <w:rsid w:val="00BB0BB6"/>
    <w:rsid w:val="00BB1F5C"/>
    <w:rsid w:val="00BB239A"/>
    <w:rsid w:val="00BC023B"/>
    <w:rsid w:val="00BC1C12"/>
    <w:rsid w:val="00BC1F1D"/>
    <w:rsid w:val="00BC2F77"/>
    <w:rsid w:val="00BC3F3E"/>
    <w:rsid w:val="00BC7410"/>
    <w:rsid w:val="00BD389C"/>
    <w:rsid w:val="00BD496D"/>
    <w:rsid w:val="00BD4F1A"/>
    <w:rsid w:val="00BD5954"/>
    <w:rsid w:val="00BD5BD0"/>
    <w:rsid w:val="00BD5BEC"/>
    <w:rsid w:val="00BD6C60"/>
    <w:rsid w:val="00BE1241"/>
    <w:rsid w:val="00BE5CB0"/>
    <w:rsid w:val="00BE7E65"/>
    <w:rsid w:val="00BF0C23"/>
    <w:rsid w:val="00BF2764"/>
    <w:rsid w:val="00BF3E84"/>
    <w:rsid w:val="00BF4048"/>
    <w:rsid w:val="00C06C69"/>
    <w:rsid w:val="00C07E2E"/>
    <w:rsid w:val="00C103A4"/>
    <w:rsid w:val="00C12382"/>
    <w:rsid w:val="00C137E3"/>
    <w:rsid w:val="00C16600"/>
    <w:rsid w:val="00C17B0F"/>
    <w:rsid w:val="00C17E47"/>
    <w:rsid w:val="00C205C6"/>
    <w:rsid w:val="00C20CD6"/>
    <w:rsid w:val="00C2125C"/>
    <w:rsid w:val="00C21CA7"/>
    <w:rsid w:val="00C25638"/>
    <w:rsid w:val="00C257C6"/>
    <w:rsid w:val="00C26327"/>
    <w:rsid w:val="00C3264F"/>
    <w:rsid w:val="00C34A45"/>
    <w:rsid w:val="00C35931"/>
    <w:rsid w:val="00C4042A"/>
    <w:rsid w:val="00C40434"/>
    <w:rsid w:val="00C42012"/>
    <w:rsid w:val="00C4231C"/>
    <w:rsid w:val="00C42A9D"/>
    <w:rsid w:val="00C436C4"/>
    <w:rsid w:val="00C47058"/>
    <w:rsid w:val="00C507FC"/>
    <w:rsid w:val="00C517EC"/>
    <w:rsid w:val="00C547AD"/>
    <w:rsid w:val="00C60E2F"/>
    <w:rsid w:val="00C6168B"/>
    <w:rsid w:val="00C6309A"/>
    <w:rsid w:val="00C65232"/>
    <w:rsid w:val="00C702C2"/>
    <w:rsid w:val="00C719C4"/>
    <w:rsid w:val="00C74A3E"/>
    <w:rsid w:val="00C74D7E"/>
    <w:rsid w:val="00C75533"/>
    <w:rsid w:val="00C76165"/>
    <w:rsid w:val="00C76D67"/>
    <w:rsid w:val="00C77618"/>
    <w:rsid w:val="00C80A3A"/>
    <w:rsid w:val="00C87AEF"/>
    <w:rsid w:val="00C9064F"/>
    <w:rsid w:val="00C90BF9"/>
    <w:rsid w:val="00C9193D"/>
    <w:rsid w:val="00C91F41"/>
    <w:rsid w:val="00C92205"/>
    <w:rsid w:val="00C94E53"/>
    <w:rsid w:val="00CA0A3A"/>
    <w:rsid w:val="00CA0C86"/>
    <w:rsid w:val="00CA102D"/>
    <w:rsid w:val="00CA10DA"/>
    <w:rsid w:val="00CA1838"/>
    <w:rsid w:val="00CA1C92"/>
    <w:rsid w:val="00CA23EB"/>
    <w:rsid w:val="00CA24C2"/>
    <w:rsid w:val="00CA3A0A"/>
    <w:rsid w:val="00CA3FE9"/>
    <w:rsid w:val="00CA66EE"/>
    <w:rsid w:val="00CA683E"/>
    <w:rsid w:val="00CB0D2C"/>
    <w:rsid w:val="00CB1DD4"/>
    <w:rsid w:val="00CB3392"/>
    <w:rsid w:val="00CB44D9"/>
    <w:rsid w:val="00CC4CAC"/>
    <w:rsid w:val="00CC5277"/>
    <w:rsid w:val="00CC5361"/>
    <w:rsid w:val="00CC6441"/>
    <w:rsid w:val="00CC7B3C"/>
    <w:rsid w:val="00CC7F5B"/>
    <w:rsid w:val="00CD1EA4"/>
    <w:rsid w:val="00CD2EE5"/>
    <w:rsid w:val="00CD36FF"/>
    <w:rsid w:val="00CD46C1"/>
    <w:rsid w:val="00CD488C"/>
    <w:rsid w:val="00CD568F"/>
    <w:rsid w:val="00CD58FA"/>
    <w:rsid w:val="00CD6722"/>
    <w:rsid w:val="00CE13EC"/>
    <w:rsid w:val="00CE1477"/>
    <w:rsid w:val="00CE4E16"/>
    <w:rsid w:val="00CE68A8"/>
    <w:rsid w:val="00CE6C48"/>
    <w:rsid w:val="00CE7C77"/>
    <w:rsid w:val="00CF22AA"/>
    <w:rsid w:val="00CF2AC1"/>
    <w:rsid w:val="00CF3178"/>
    <w:rsid w:val="00CF4B58"/>
    <w:rsid w:val="00CF52D1"/>
    <w:rsid w:val="00CF5563"/>
    <w:rsid w:val="00D00036"/>
    <w:rsid w:val="00D00BB2"/>
    <w:rsid w:val="00D02995"/>
    <w:rsid w:val="00D031EE"/>
    <w:rsid w:val="00D1032C"/>
    <w:rsid w:val="00D11543"/>
    <w:rsid w:val="00D116D3"/>
    <w:rsid w:val="00D11C5B"/>
    <w:rsid w:val="00D12540"/>
    <w:rsid w:val="00D12A2B"/>
    <w:rsid w:val="00D1446F"/>
    <w:rsid w:val="00D1491E"/>
    <w:rsid w:val="00D20418"/>
    <w:rsid w:val="00D22FD1"/>
    <w:rsid w:val="00D23EF7"/>
    <w:rsid w:val="00D262D1"/>
    <w:rsid w:val="00D26D88"/>
    <w:rsid w:val="00D27390"/>
    <w:rsid w:val="00D30288"/>
    <w:rsid w:val="00D34AC2"/>
    <w:rsid w:val="00D35673"/>
    <w:rsid w:val="00D360DD"/>
    <w:rsid w:val="00D36F3A"/>
    <w:rsid w:val="00D37F1F"/>
    <w:rsid w:val="00D40203"/>
    <w:rsid w:val="00D40776"/>
    <w:rsid w:val="00D40EF6"/>
    <w:rsid w:val="00D420DA"/>
    <w:rsid w:val="00D4301D"/>
    <w:rsid w:val="00D46086"/>
    <w:rsid w:val="00D474AB"/>
    <w:rsid w:val="00D5463C"/>
    <w:rsid w:val="00D56B85"/>
    <w:rsid w:val="00D57C19"/>
    <w:rsid w:val="00D65A2A"/>
    <w:rsid w:val="00D66428"/>
    <w:rsid w:val="00D67E88"/>
    <w:rsid w:val="00D70572"/>
    <w:rsid w:val="00D7063E"/>
    <w:rsid w:val="00D707C6"/>
    <w:rsid w:val="00D7511D"/>
    <w:rsid w:val="00D75533"/>
    <w:rsid w:val="00D81F48"/>
    <w:rsid w:val="00D90DF2"/>
    <w:rsid w:val="00D9493E"/>
    <w:rsid w:val="00DA044D"/>
    <w:rsid w:val="00DA26A5"/>
    <w:rsid w:val="00DC047C"/>
    <w:rsid w:val="00DC0BB0"/>
    <w:rsid w:val="00DC18D4"/>
    <w:rsid w:val="00DC3E0F"/>
    <w:rsid w:val="00DC506A"/>
    <w:rsid w:val="00DC5ADA"/>
    <w:rsid w:val="00DC6BDB"/>
    <w:rsid w:val="00DD0F56"/>
    <w:rsid w:val="00DD18F2"/>
    <w:rsid w:val="00DD2E2B"/>
    <w:rsid w:val="00DD350A"/>
    <w:rsid w:val="00DD43C3"/>
    <w:rsid w:val="00DD4813"/>
    <w:rsid w:val="00DD4BAE"/>
    <w:rsid w:val="00DD515B"/>
    <w:rsid w:val="00DD590A"/>
    <w:rsid w:val="00DD629A"/>
    <w:rsid w:val="00DD72E9"/>
    <w:rsid w:val="00DD749F"/>
    <w:rsid w:val="00DE0258"/>
    <w:rsid w:val="00DE1BD7"/>
    <w:rsid w:val="00DE1E29"/>
    <w:rsid w:val="00DE4564"/>
    <w:rsid w:val="00DE4FDF"/>
    <w:rsid w:val="00DE5BA2"/>
    <w:rsid w:val="00DE6C1D"/>
    <w:rsid w:val="00DE6E51"/>
    <w:rsid w:val="00DF1E50"/>
    <w:rsid w:val="00DF36B4"/>
    <w:rsid w:val="00DF575C"/>
    <w:rsid w:val="00E010A4"/>
    <w:rsid w:val="00E043E1"/>
    <w:rsid w:val="00E101FF"/>
    <w:rsid w:val="00E10D97"/>
    <w:rsid w:val="00E13E83"/>
    <w:rsid w:val="00E173ED"/>
    <w:rsid w:val="00E22B1E"/>
    <w:rsid w:val="00E23309"/>
    <w:rsid w:val="00E23FCD"/>
    <w:rsid w:val="00E3125F"/>
    <w:rsid w:val="00E320E3"/>
    <w:rsid w:val="00E340CA"/>
    <w:rsid w:val="00E343D2"/>
    <w:rsid w:val="00E35F4A"/>
    <w:rsid w:val="00E43084"/>
    <w:rsid w:val="00E5285A"/>
    <w:rsid w:val="00E5385B"/>
    <w:rsid w:val="00E560BC"/>
    <w:rsid w:val="00E57EA2"/>
    <w:rsid w:val="00E60A6C"/>
    <w:rsid w:val="00E62CC8"/>
    <w:rsid w:val="00E63480"/>
    <w:rsid w:val="00E75DDD"/>
    <w:rsid w:val="00E7626A"/>
    <w:rsid w:val="00E869D8"/>
    <w:rsid w:val="00E91DA2"/>
    <w:rsid w:val="00E94639"/>
    <w:rsid w:val="00E96970"/>
    <w:rsid w:val="00EA13C5"/>
    <w:rsid w:val="00EA26AD"/>
    <w:rsid w:val="00EA2E6F"/>
    <w:rsid w:val="00EA3756"/>
    <w:rsid w:val="00EA4CE0"/>
    <w:rsid w:val="00EA4E03"/>
    <w:rsid w:val="00EA6351"/>
    <w:rsid w:val="00EA6511"/>
    <w:rsid w:val="00EA6FB6"/>
    <w:rsid w:val="00EA7F1B"/>
    <w:rsid w:val="00EB010A"/>
    <w:rsid w:val="00EB527A"/>
    <w:rsid w:val="00EB7A90"/>
    <w:rsid w:val="00EC05E2"/>
    <w:rsid w:val="00EC0BE5"/>
    <w:rsid w:val="00EC1CC2"/>
    <w:rsid w:val="00EC3471"/>
    <w:rsid w:val="00EC58AB"/>
    <w:rsid w:val="00EC7A1D"/>
    <w:rsid w:val="00ED13F6"/>
    <w:rsid w:val="00ED375E"/>
    <w:rsid w:val="00ED403E"/>
    <w:rsid w:val="00ED45B9"/>
    <w:rsid w:val="00EE1CE4"/>
    <w:rsid w:val="00EE50DD"/>
    <w:rsid w:val="00EE542E"/>
    <w:rsid w:val="00EE7B81"/>
    <w:rsid w:val="00EF22E7"/>
    <w:rsid w:val="00EF27B1"/>
    <w:rsid w:val="00EF570E"/>
    <w:rsid w:val="00EF6440"/>
    <w:rsid w:val="00EF7D9E"/>
    <w:rsid w:val="00F02244"/>
    <w:rsid w:val="00F03649"/>
    <w:rsid w:val="00F03870"/>
    <w:rsid w:val="00F03D8F"/>
    <w:rsid w:val="00F05801"/>
    <w:rsid w:val="00F06E5C"/>
    <w:rsid w:val="00F140E5"/>
    <w:rsid w:val="00F160D7"/>
    <w:rsid w:val="00F172D3"/>
    <w:rsid w:val="00F21DEF"/>
    <w:rsid w:val="00F230D4"/>
    <w:rsid w:val="00F23761"/>
    <w:rsid w:val="00F247DC"/>
    <w:rsid w:val="00F275BB"/>
    <w:rsid w:val="00F27C1B"/>
    <w:rsid w:val="00F31048"/>
    <w:rsid w:val="00F32633"/>
    <w:rsid w:val="00F4108C"/>
    <w:rsid w:val="00F4139B"/>
    <w:rsid w:val="00F41B40"/>
    <w:rsid w:val="00F42BC4"/>
    <w:rsid w:val="00F45752"/>
    <w:rsid w:val="00F45C43"/>
    <w:rsid w:val="00F52763"/>
    <w:rsid w:val="00F55E32"/>
    <w:rsid w:val="00F56CB4"/>
    <w:rsid w:val="00F56EC4"/>
    <w:rsid w:val="00F6097B"/>
    <w:rsid w:val="00F60E02"/>
    <w:rsid w:val="00F6159C"/>
    <w:rsid w:val="00F62A5F"/>
    <w:rsid w:val="00F64F5F"/>
    <w:rsid w:val="00F67FA6"/>
    <w:rsid w:val="00F776CD"/>
    <w:rsid w:val="00F80359"/>
    <w:rsid w:val="00F82E79"/>
    <w:rsid w:val="00F83561"/>
    <w:rsid w:val="00F83719"/>
    <w:rsid w:val="00F83BE5"/>
    <w:rsid w:val="00F86918"/>
    <w:rsid w:val="00F87AD3"/>
    <w:rsid w:val="00F91712"/>
    <w:rsid w:val="00F91EF8"/>
    <w:rsid w:val="00F93AFA"/>
    <w:rsid w:val="00F96245"/>
    <w:rsid w:val="00F96EBA"/>
    <w:rsid w:val="00F97ED7"/>
    <w:rsid w:val="00FA1185"/>
    <w:rsid w:val="00FA33E7"/>
    <w:rsid w:val="00FA43B2"/>
    <w:rsid w:val="00FA5913"/>
    <w:rsid w:val="00FB0D6C"/>
    <w:rsid w:val="00FB37A4"/>
    <w:rsid w:val="00FB5310"/>
    <w:rsid w:val="00FB7DDE"/>
    <w:rsid w:val="00FC11BF"/>
    <w:rsid w:val="00FC175E"/>
    <w:rsid w:val="00FC2431"/>
    <w:rsid w:val="00FC28F3"/>
    <w:rsid w:val="00FD0587"/>
    <w:rsid w:val="00FD3C37"/>
    <w:rsid w:val="00FD3E57"/>
    <w:rsid w:val="00FD508E"/>
    <w:rsid w:val="00FD7BB1"/>
    <w:rsid w:val="00FE617C"/>
    <w:rsid w:val="00FE7A10"/>
    <w:rsid w:val="00FF032F"/>
    <w:rsid w:val="00FF040F"/>
    <w:rsid w:val="00FF2184"/>
    <w:rsid w:val="00FF39BD"/>
    <w:rsid w:val="00FF4662"/>
    <w:rsid w:val="12EB19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3D5D5"/>
  <w15:chartTrackingRefBased/>
  <w15:docId w15:val="{BC13A5F5-90F3-4E23-A87F-F974856D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249A"/>
    <w:pPr>
      <w:overflowPunct w:val="0"/>
      <w:autoSpaceDE w:val="0"/>
      <w:autoSpaceDN w:val="0"/>
      <w:adjustRightInd w:val="0"/>
      <w:textAlignment w:val="baseline"/>
    </w:pPr>
    <w:rPr>
      <w:rFonts w:ascii="Verdana" w:hAnsi="Verdana" w:cs="Courier New"/>
      <w:sz w:val="18"/>
    </w:rPr>
  </w:style>
  <w:style w:type="paragraph" w:styleId="Kop1">
    <w:name w:val="heading 1"/>
    <w:basedOn w:val="Standaard"/>
    <w:next w:val="Standaard"/>
    <w:link w:val="Kop1Char"/>
    <w:uiPriority w:val="9"/>
    <w:qFormat/>
    <w:rsid w:val="0054692C"/>
    <w:pPr>
      <w:suppressAutoHyphens/>
      <w:ind w:left="700" w:right="-1" w:hanging="700"/>
      <w:outlineLvl w:val="0"/>
    </w:pPr>
    <w:rPr>
      <w:rFonts w:cs="Arial"/>
      <w:b/>
      <w:bCs/>
      <w:szCs w:val="18"/>
      <w:lang w:val="nl"/>
    </w:rPr>
  </w:style>
  <w:style w:type="paragraph" w:styleId="Kop3">
    <w:name w:val="heading 3"/>
    <w:basedOn w:val="Standaard"/>
    <w:next w:val="Standaard"/>
    <w:link w:val="Kop3Char"/>
    <w:uiPriority w:val="9"/>
    <w:semiHidden/>
    <w:unhideWhenUsed/>
    <w:qFormat/>
    <w:rsid w:val="009504A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unhideWhenUsed/>
    <w:rsid w:val="00837147"/>
    <w:rPr>
      <w:sz w:val="16"/>
      <w:szCs w:val="16"/>
    </w:rPr>
  </w:style>
  <w:style w:type="paragraph" w:styleId="Onderwerpvanopmerking">
    <w:name w:val="annotation subject"/>
    <w:basedOn w:val="Standaard"/>
    <w:next w:val="Standaard"/>
    <w:link w:val="OnderwerpvanopmerkingChar"/>
    <w:uiPriority w:val="99"/>
    <w:semiHidden/>
    <w:unhideWhenUsed/>
    <w:rsid w:val="003020B6"/>
    <w:rPr>
      <w:rFonts w:cs="Times New Roman"/>
      <w:b/>
      <w:bCs/>
      <w:lang w:val="x-none" w:eastAsia="x-none"/>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1Char">
    <w:name w:val="Kop 1 Char"/>
    <w:basedOn w:val="Standaardalinea-lettertype"/>
    <w:link w:val="Kop1"/>
    <w:uiPriority w:val="9"/>
    <w:rsid w:val="0054692C"/>
    <w:rPr>
      <w:rFonts w:ascii="Verdana" w:hAnsi="Verdana" w:cs="Arial"/>
      <w:b/>
      <w:bCs/>
      <w:sz w:val="18"/>
      <w:szCs w:val="18"/>
      <w:lang w:val="nl"/>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sé"/>
    <w:basedOn w:val="Standaard"/>
    <w:link w:val="LijstalineaChar"/>
    <w:uiPriority w:val="34"/>
    <w:qFormat/>
    <w:rsid w:val="0054692C"/>
    <w:pPr>
      <w:overflowPunct/>
      <w:autoSpaceDE/>
      <w:autoSpaceDN/>
      <w:adjustRightInd/>
      <w:spacing w:after="200" w:line="276" w:lineRule="auto"/>
      <w:ind w:left="720"/>
      <w:contextualSpacing/>
      <w:textAlignment w:val="auto"/>
    </w:pPr>
    <w:rPr>
      <w:rFonts w:eastAsia="Calibri" w:cs="Times New Roman"/>
      <w:szCs w:val="22"/>
      <w:lang w:eastAsia="en-US"/>
    </w:rPr>
  </w:style>
  <w:style w:type="paragraph" w:styleId="Revisie">
    <w:name w:val="Revision"/>
    <w:hidden/>
    <w:uiPriority w:val="99"/>
    <w:semiHidden/>
    <w:rsid w:val="0054692C"/>
    <w:rPr>
      <w:rFonts w:ascii="Courier New" w:hAnsi="Courier New" w:cs="Courier New"/>
    </w:rPr>
  </w:style>
  <w:style w:type="paragraph" w:styleId="Inhopg4">
    <w:name w:val="toc 4"/>
    <w:basedOn w:val="Standaard"/>
    <w:next w:val="Standaard"/>
    <w:semiHidden/>
    <w:rsid w:val="000919AB"/>
    <w:pPr>
      <w:tabs>
        <w:tab w:val="right" w:leader="dot" w:pos="9360"/>
      </w:tabs>
      <w:suppressAutoHyphens/>
      <w:ind w:left="2880" w:right="720" w:hanging="720"/>
    </w:pPr>
    <w:rPr>
      <w:rFonts w:cs="Times New Roman"/>
      <w:lang w:val="en-US"/>
    </w:rPr>
  </w:style>
  <w:style w:type="character" w:styleId="GevolgdeHyperlink">
    <w:name w:val="FollowedHyperlink"/>
    <w:basedOn w:val="Standaardalinea-lettertype"/>
    <w:uiPriority w:val="99"/>
    <w:semiHidden/>
    <w:unhideWhenUsed/>
    <w:rsid w:val="003A2DAA"/>
    <w:rPr>
      <w:color w:val="954F72" w:themeColor="followedHyperlink"/>
      <w:u w:val="single"/>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sé Char"/>
    <w:basedOn w:val="Standaardalinea-lettertype"/>
    <w:link w:val="Lijstalinea"/>
    <w:uiPriority w:val="34"/>
    <w:qFormat/>
    <w:locked/>
    <w:rsid w:val="00F42BC4"/>
    <w:rPr>
      <w:rFonts w:ascii="Verdana" w:eastAsia="Calibri" w:hAnsi="Verdana"/>
      <w:sz w:val="18"/>
      <w:szCs w:val="22"/>
      <w:lang w:eastAsia="en-US"/>
    </w:rPr>
  </w:style>
  <w:style w:type="table" w:styleId="Tabelraster">
    <w:name w:val="Table Grid"/>
    <w:basedOn w:val="Standaardtabel"/>
    <w:uiPriority w:val="59"/>
    <w:rsid w:val="00A40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EC0BE5"/>
    <w:rPr>
      <w:color w:val="605E5C"/>
      <w:shd w:val="clear" w:color="auto" w:fill="E1DFDD"/>
    </w:rPr>
  </w:style>
  <w:style w:type="paragraph" w:styleId="Inhopg5">
    <w:name w:val="toc 5"/>
    <w:basedOn w:val="Standaard"/>
    <w:next w:val="Standaard"/>
    <w:autoRedefine/>
    <w:uiPriority w:val="39"/>
    <w:semiHidden/>
    <w:unhideWhenUsed/>
    <w:rsid w:val="00D02995"/>
    <w:pPr>
      <w:spacing w:after="100"/>
      <w:ind w:left="800"/>
    </w:pPr>
  </w:style>
  <w:style w:type="paragraph" w:styleId="Eindnoottekst">
    <w:name w:val="endnote text"/>
    <w:basedOn w:val="Standaard"/>
    <w:link w:val="EindnoottekstChar"/>
    <w:uiPriority w:val="99"/>
    <w:semiHidden/>
    <w:unhideWhenUsed/>
    <w:rsid w:val="00983015"/>
  </w:style>
  <w:style w:type="character" w:customStyle="1" w:styleId="EindnoottekstChar">
    <w:name w:val="Eindnoottekst Char"/>
    <w:basedOn w:val="Standaardalinea-lettertype"/>
    <w:link w:val="Eindnoottekst"/>
    <w:uiPriority w:val="99"/>
    <w:semiHidden/>
    <w:rsid w:val="00983015"/>
    <w:rPr>
      <w:rFonts w:ascii="Courier New" w:hAnsi="Courier New" w:cs="Courier New"/>
    </w:rPr>
  </w:style>
  <w:style w:type="character" w:styleId="Eindnootmarkering">
    <w:name w:val="endnote reference"/>
    <w:basedOn w:val="Standaardalinea-lettertype"/>
    <w:uiPriority w:val="99"/>
    <w:semiHidden/>
    <w:unhideWhenUsed/>
    <w:rsid w:val="00983015"/>
    <w:rPr>
      <w:vertAlign w:val="superscript"/>
    </w:rPr>
  </w:style>
  <w:style w:type="character" w:customStyle="1" w:styleId="Kop3Char">
    <w:name w:val="Kop 3 Char"/>
    <w:basedOn w:val="Standaardalinea-lettertype"/>
    <w:link w:val="Kop3"/>
    <w:uiPriority w:val="9"/>
    <w:rsid w:val="009504A6"/>
    <w:rPr>
      <w:rFonts w:asciiTheme="majorHAnsi" w:eastAsiaTheme="majorEastAsia" w:hAnsiTheme="majorHAnsi" w:cstheme="majorBidi"/>
      <w:color w:val="1F4D78" w:themeColor="accent1" w:themeShade="7F"/>
      <w:sz w:val="24"/>
      <w:szCs w:val="24"/>
    </w:rPr>
  </w:style>
  <w:style w:type="paragraph" w:styleId="Tekstopmerking">
    <w:name w:val="annotation text"/>
    <w:basedOn w:val="Standaard"/>
    <w:link w:val="TekstopmerkingChar"/>
    <w:uiPriority w:val="99"/>
    <w:unhideWhenUsed/>
    <w:rsid w:val="002C72FA"/>
    <w:rPr>
      <w:sz w:val="20"/>
    </w:rPr>
  </w:style>
  <w:style w:type="character" w:customStyle="1" w:styleId="TekstopmerkingChar">
    <w:name w:val="Tekst opmerking Char"/>
    <w:basedOn w:val="Standaardalinea-lettertype"/>
    <w:link w:val="Tekstopmerking"/>
    <w:uiPriority w:val="99"/>
    <w:rsid w:val="002C72FA"/>
    <w:rPr>
      <w:rFonts w:ascii="Verdana" w:hAnsi="Verdana" w:cs="Courier New"/>
    </w:rPr>
  </w:style>
  <w:style w:type="paragraph" w:customStyle="1" w:styleId="Voorpaginaovk">
    <w:name w:val="Voorpagina ovk"/>
    <w:basedOn w:val="Standaard"/>
    <w:rsid w:val="00EA4E03"/>
    <w:pPr>
      <w:jc w:val="center"/>
    </w:pPr>
    <w:rPr>
      <w:rFonts w:cs="Times New Roman"/>
      <w:b/>
      <w:bCs/>
      <w:sz w:val="32"/>
    </w:rPr>
  </w:style>
  <w:style w:type="paragraph" w:customStyle="1" w:styleId="Voorpaginaovkconcepttekst">
    <w:name w:val="Voorpagina ovk concept tekst"/>
    <w:basedOn w:val="Kop1"/>
    <w:rsid w:val="00EA4E03"/>
    <w:pPr>
      <w:jc w:val="center"/>
    </w:pPr>
    <w:rPr>
      <w:rFonts w:cs="Times New Roman"/>
      <w:color w:val="70AD47" w:themeColor="accent6"/>
      <w:sz w:val="32"/>
      <w:szCs w:val="20"/>
    </w:rPr>
  </w:style>
  <w:style w:type="character" w:styleId="Hyperlink">
    <w:name w:val="Hyperlink"/>
    <w:basedOn w:val="Standaardalinea-lettertype"/>
    <w:uiPriority w:val="99"/>
    <w:unhideWhenUsed/>
    <w:rsid w:val="002C72FA"/>
    <w:rPr>
      <w:color w:val="0563C1" w:themeColor="hyperlink"/>
      <w:u w:val="single"/>
    </w:rPr>
  </w:style>
  <w:style w:type="paragraph" w:styleId="Koptekst">
    <w:name w:val="header"/>
    <w:basedOn w:val="Standaard"/>
    <w:link w:val="KoptekstChar"/>
    <w:uiPriority w:val="99"/>
    <w:unhideWhenUsed/>
    <w:rsid w:val="002F7558"/>
    <w:pPr>
      <w:tabs>
        <w:tab w:val="center" w:pos="4536"/>
        <w:tab w:val="right" w:pos="9072"/>
      </w:tabs>
    </w:pPr>
  </w:style>
  <w:style w:type="character" w:customStyle="1" w:styleId="KoptekstChar">
    <w:name w:val="Koptekst Char"/>
    <w:basedOn w:val="Standaardalinea-lettertype"/>
    <w:link w:val="Koptekst"/>
    <w:uiPriority w:val="99"/>
    <w:rsid w:val="002F7558"/>
    <w:rPr>
      <w:rFonts w:ascii="Verdana" w:hAnsi="Verdana" w:cs="Courier New"/>
      <w:sz w:val="18"/>
    </w:rPr>
  </w:style>
  <w:style w:type="paragraph" w:styleId="Voettekst">
    <w:name w:val="footer"/>
    <w:basedOn w:val="Standaard"/>
    <w:link w:val="VoettekstChar"/>
    <w:uiPriority w:val="99"/>
    <w:unhideWhenUsed/>
    <w:rsid w:val="002F7558"/>
    <w:pPr>
      <w:tabs>
        <w:tab w:val="center" w:pos="4536"/>
        <w:tab w:val="right" w:pos="9072"/>
      </w:tabs>
    </w:pPr>
  </w:style>
  <w:style w:type="character" w:customStyle="1" w:styleId="VoettekstChar">
    <w:name w:val="Voettekst Char"/>
    <w:basedOn w:val="Standaardalinea-lettertype"/>
    <w:link w:val="Voettekst"/>
    <w:uiPriority w:val="99"/>
    <w:rsid w:val="002F7558"/>
    <w:rPr>
      <w:rFonts w:ascii="Verdana" w:hAnsi="Verdana" w:cs="Courier New"/>
      <w:sz w:val="18"/>
    </w:rPr>
  </w:style>
  <w:style w:type="paragraph" w:styleId="Geenafstand">
    <w:name w:val="No Spacing"/>
    <w:basedOn w:val="Standaard"/>
    <w:uiPriority w:val="1"/>
    <w:unhideWhenUsed/>
    <w:qFormat/>
    <w:rsid w:val="00DE1E29"/>
    <w:pPr>
      <w:overflowPunct/>
      <w:autoSpaceDE/>
      <w:autoSpaceDN/>
      <w:adjustRightInd/>
      <w:textAlignment w:val="auto"/>
    </w:pPr>
    <w:rPr>
      <w:rFonts w:eastAsiaTheme="minorHAnsi" w:cstheme="minorBidi"/>
      <w:szCs w:val="18"/>
    </w:rPr>
  </w:style>
  <w:style w:type="paragraph" w:customStyle="1" w:styleId="Lijstalinea1">
    <w:name w:val="Lijstalinea1"/>
    <w:basedOn w:val="Standaard"/>
    <w:semiHidden/>
    <w:rsid w:val="001D0FA8"/>
    <w:pPr>
      <w:numPr>
        <w:numId w:val="22"/>
      </w:numPr>
      <w:overflowPunct/>
      <w:autoSpaceDE/>
      <w:autoSpaceDN/>
      <w:adjustRightInd/>
      <w:textAlignment w:val="auto"/>
    </w:pPr>
    <w:rPr>
      <w:rFonts w:eastAsiaTheme="minorHAnsi" w:cstheme="minorBid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0667">
      <w:bodyDiv w:val="1"/>
      <w:marLeft w:val="0"/>
      <w:marRight w:val="0"/>
      <w:marTop w:val="0"/>
      <w:marBottom w:val="0"/>
      <w:divBdr>
        <w:top w:val="none" w:sz="0" w:space="0" w:color="auto"/>
        <w:left w:val="none" w:sz="0" w:space="0" w:color="auto"/>
        <w:bottom w:val="none" w:sz="0" w:space="0" w:color="auto"/>
        <w:right w:val="none" w:sz="0" w:space="0" w:color="auto"/>
      </w:divBdr>
    </w:div>
    <w:div w:id="289212687">
      <w:bodyDiv w:val="1"/>
      <w:marLeft w:val="0"/>
      <w:marRight w:val="0"/>
      <w:marTop w:val="0"/>
      <w:marBottom w:val="0"/>
      <w:divBdr>
        <w:top w:val="none" w:sz="0" w:space="0" w:color="auto"/>
        <w:left w:val="none" w:sz="0" w:space="0" w:color="auto"/>
        <w:bottom w:val="none" w:sz="0" w:space="0" w:color="auto"/>
        <w:right w:val="none" w:sz="0" w:space="0" w:color="auto"/>
      </w:divBdr>
    </w:div>
    <w:div w:id="317004045">
      <w:bodyDiv w:val="1"/>
      <w:marLeft w:val="0"/>
      <w:marRight w:val="0"/>
      <w:marTop w:val="0"/>
      <w:marBottom w:val="0"/>
      <w:divBdr>
        <w:top w:val="none" w:sz="0" w:space="0" w:color="auto"/>
        <w:left w:val="none" w:sz="0" w:space="0" w:color="auto"/>
        <w:bottom w:val="none" w:sz="0" w:space="0" w:color="auto"/>
        <w:right w:val="none" w:sz="0" w:space="0" w:color="auto"/>
      </w:divBdr>
    </w:div>
    <w:div w:id="354504871">
      <w:bodyDiv w:val="1"/>
      <w:marLeft w:val="0"/>
      <w:marRight w:val="0"/>
      <w:marTop w:val="0"/>
      <w:marBottom w:val="0"/>
      <w:divBdr>
        <w:top w:val="none" w:sz="0" w:space="0" w:color="auto"/>
        <w:left w:val="none" w:sz="0" w:space="0" w:color="auto"/>
        <w:bottom w:val="none" w:sz="0" w:space="0" w:color="auto"/>
        <w:right w:val="none" w:sz="0" w:space="0" w:color="auto"/>
      </w:divBdr>
    </w:div>
    <w:div w:id="542863705">
      <w:bodyDiv w:val="1"/>
      <w:marLeft w:val="0"/>
      <w:marRight w:val="0"/>
      <w:marTop w:val="0"/>
      <w:marBottom w:val="0"/>
      <w:divBdr>
        <w:top w:val="none" w:sz="0" w:space="0" w:color="auto"/>
        <w:left w:val="none" w:sz="0" w:space="0" w:color="auto"/>
        <w:bottom w:val="none" w:sz="0" w:space="0" w:color="auto"/>
        <w:right w:val="none" w:sz="0" w:space="0" w:color="auto"/>
      </w:divBdr>
    </w:div>
    <w:div w:id="588201821">
      <w:bodyDiv w:val="1"/>
      <w:marLeft w:val="0"/>
      <w:marRight w:val="0"/>
      <w:marTop w:val="0"/>
      <w:marBottom w:val="0"/>
      <w:divBdr>
        <w:top w:val="none" w:sz="0" w:space="0" w:color="auto"/>
        <w:left w:val="none" w:sz="0" w:space="0" w:color="auto"/>
        <w:bottom w:val="none" w:sz="0" w:space="0" w:color="auto"/>
        <w:right w:val="none" w:sz="0" w:space="0" w:color="auto"/>
      </w:divBdr>
    </w:div>
    <w:div w:id="636644950">
      <w:bodyDiv w:val="1"/>
      <w:marLeft w:val="0"/>
      <w:marRight w:val="0"/>
      <w:marTop w:val="0"/>
      <w:marBottom w:val="0"/>
      <w:divBdr>
        <w:top w:val="none" w:sz="0" w:space="0" w:color="auto"/>
        <w:left w:val="none" w:sz="0" w:space="0" w:color="auto"/>
        <w:bottom w:val="none" w:sz="0" w:space="0" w:color="auto"/>
        <w:right w:val="none" w:sz="0" w:space="0" w:color="auto"/>
      </w:divBdr>
    </w:div>
    <w:div w:id="675308131">
      <w:bodyDiv w:val="1"/>
      <w:marLeft w:val="0"/>
      <w:marRight w:val="0"/>
      <w:marTop w:val="0"/>
      <w:marBottom w:val="0"/>
      <w:divBdr>
        <w:top w:val="none" w:sz="0" w:space="0" w:color="auto"/>
        <w:left w:val="none" w:sz="0" w:space="0" w:color="auto"/>
        <w:bottom w:val="none" w:sz="0" w:space="0" w:color="auto"/>
        <w:right w:val="none" w:sz="0" w:space="0" w:color="auto"/>
      </w:divBdr>
    </w:div>
    <w:div w:id="839467825">
      <w:bodyDiv w:val="1"/>
      <w:marLeft w:val="0"/>
      <w:marRight w:val="0"/>
      <w:marTop w:val="0"/>
      <w:marBottom w:val="0"/>
      <w:divBdr>
        <w:top w:val="none" w:sz="0" w:space="0" w:color="auto"/>
        <w:left w:val="none" w:sz="0" w:space="0" w:color="auto"/>
        <w:bottom w:val="none" w:sz="0" w:space="0" w:color="auto"/>
        <w:right w:val="none" w:sz="0" w:space="0" w:color="auto"/>
      </w:divBdr>
    </w:div>
    <w:div w:id="926354048">
      <w:bodyDiv w:val="1"/>
      <w:marLeft w:val="0"/>
      <w:marRight w:val="0"/>
      <w:marTop w:val="0"/>
      <w:marBottom w:val="0"/>
      <w:divBdr>
        <w:top w:val="none" w:sz="0" w:space="0" w:color="auto"/>
        <w:left w:val="none" w:sz="0" w:space="0" w:color="auto"/>
        <w:bottom w:val="none" w:sz="0" w:space="0" w:color="auto"/>
        <w:right w:val="none" w:sz="0" w:space="0" w:color="auto"/>
      </w:divBdr>
    </w:div>
    <w:div w:id="931667830">
      <w:bodyDiv w:val="1"/>
      <w:marLeft w:val="0"/>
      <w:marRight w:val="0"/>
      <w:marTop w:val="0"/>
      <w:marBottom w:val="0"/>
      <w:divBdr>
        <w:top w:val="none" w:sz="0" w:space="0" w:color="auto"/>
        <w:left w:val="none" w:sz="0" w:space="0" w:color="auto"/>
        <w:bottom w:val="none" w:sz="0" w:space="0" w:color="auto"/>
        <w:right w:val="none" w:sz="0" w:space="0" w:color="auto"/>
      </w:divBdr>
    </w:div>
    <w:div w:id="1009866667">
      <w:bodyDiv w:val="1"/>
      <w:marLeft w:val="0"/>
      <w:marRight w:val="0"/>
      <w:marTop w:val="0"/>
      <w:marBottom w:val="0"/>
      <w:divBdr>
        <w:top w:val="none" w:sz="0" w:space="0" w:color="auto"/>
        <w:left w:val="none" w:sz="0" w:space="0" w:color="auto"/>
        <w:bottom w:val="none" w:sz="0" w:space="0" w:color="auto"/>
        <w:right w:val="none" w:sz="0" w:space="0" w:color="auto"/>
      </w:divBdr>
    </w:div>
    <w:div w:id="1161387303">
      <w:bodyDiv w:val="1"/>
      <w:marLeft w:val="0"/>
      <w:marRight w:val="0"/>
      <w:marTop w:val="0"/>
      <w:marBottom w:val="0"/>
      <w:divBdr>
        <w:top w:val="none" w:sz="0" w:space="0" w:color="auto"/>
        <w:left w:val="none" w:sz="0" w:space="0" w:color="auto"/>
        <w:bottom w:val="none" w:sz="0" w:space="0" w:color="auto"/>
        <w:right w:val="none" w:sz="0" w:space="0" w:color="auto"/>
      </w:divBdr>
    </w:div>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1508861383">
      <w:bodyDiv w:val="1"/>
      <w:marLeft w:val="0"/>
      <w:marRight w:val="0"/>
      <w:marTop w:val="0"/>
      <w:marBottom w:val="0"/>
      <w:divBdr>
        <w:top w:val="none" w:sz="0" w:space="0" w:color="auto"/>
        <w:left w:val="none" w:sz="0" w:space="0" w:color="auto"/>
        <w:bottom w:val="none" w:sz="0" w:space="0" w:color="auto"/>
        <w:right w:val="none" w:sz="0" w:space="0" w:color="auto"/>
      </w:divBdr>
    </w:div>
    <w:div w:id="1672371423">
      <w:bodyDiv w:val="1"/>
      <w:marLeft w:val="0"/>
      <w:marRight w:val="0"/>
      <w:marTop w:val="0"/>
      <w:marBottom w:val="0"/>
      <w:divBdr>
        <w:top w:val="none" w:sz="0" w:space="0" w:color="auto"/>
        <w:left w:val="none" w:sz="0" w:space="0" w:color="auto"/>
        <w:bottom w:val="none" w:sz="0" w:space="0" w:color="auto"/>
        <w:right w:val="none" w:sz="0" w:space="0" w:color="auto"/>
      </w:divBdr>
    </w:div>
    <w:div w:id="1887179055">
      <w:bodyDiv w:val="1"/>
      <w:marLeft w:val="0"/>
      <w:marRight w:val="0"/>
      <w:marTop w:val="0"/>
      <w:marBottom w:val="0"/>
      <w:divBdr>
        <w:top w:val="none" w:sz="0" w:space="0" w:color="auto"/>
        <w:left w:val="none" w:sz="0" w:space="0" w:color="auto"/>
        <w:bottom w:val="none" w:sz="0" w:space="0" w:color="auto"/>
        <w:right w:val="none" w:sz="0" w:space="0" w:color="auto"/>
      </w:divBdr>
    </w:div>
    <w:div w:id="1896502961">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M.RIS@rijksoverheid.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6073E.43D35B2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6073E.43D35B2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7B61B68B99884FA3AA8320A225AD00" ma:contentTypeVersion="2" ma:contentTypeDescription="Een nieuw document maken." ma:contentTypeScope="" ma:versionID="dabad8f1ba21ca0da6d5d526969dc33c">
  <xsd:schema xmlns:xsd="http://www.w3.org/2001/XMLSchema" xmlns:xs="http://www.w3.org/2001/XMLSchema" xmlns:p="http://schemas.microsoft.com/office/2006/metadata/properties" xmlns:ns2="acfcce3d-7c93-4179-8dfd-64f99889d88d" targetNamespace="http://schemas.microsoft.com/office/2006/metadata/properties" ma:root="true" ma:fieldsID="6a4d8045004f323352e9aa31f3808eac" ns2:_="">
    <xsd:import namespace="acfcce3d-7c93-4179-8dfd-64f99889d88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cce3d-7c93-4179-8dfd-64f99889d88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2F00CD-E765-4765-8038-0BF61CF5D6DF}">
  <ds:schemaRefs>
    <ds:schemaRef ds:uri="http://schemas.openxmlformats.org/officeDocument/2006/bibliography"/>
  </ds:schemaRefs>
</ds:datastoreItem>
</file>

<file path=customXml/itemProps2.xml><?xml version="1.0" encoding="utf-8"?>
<ds:datastoreItem xmlns:ds="http://schemas.openxmlformats.org/officeDocument/2006/customXml" ds:itemID="{3325CD0A-15A2-405E-A991-69E132AC562A}">
  <ds:schemaRefs>
    <ds:schemaRef ds:uri="http://schemas.microsoft.com/sharepoint/v3/contenttype/forms"/>
  </ds:schemaRefs>
</ds:datastoreItem>
</file>

<file path=customXml/itemProps3.xml><?xml version="1.0" encoding="utf-8"?>
<ds:datastoreItem xmlns:ds="http://schemas.openxmlformats.org/officeDocument/2006/customXml" ds:itemID="{F83E9072-F3B8-4227-ADEA-EE8726C4EE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C3D8FA-0F68-4A99-A278-35994D55B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cce3d-7c93-4179-8dfd-64f99889d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3932</Words>
  <Characters>21626</Characters>
  <Application>Microsoft Office Word</Application>
  <DocSecurity>0</DocSecurity>
  <Lines>180</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Instructie: teksten die cursief zijn gedrukt zijn optioneel</vt:lpstr>
    </vt:vector>
  </TitlesOfParts>
  <Company>Min. van BZK</Company>
  <LinksUpToDate>false</LinksUpToDate>
  <CharactersWithSpaces>25507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Meijer, Daphne</dc:creator>
  <cp:keywords/>
  <cp:lastModifiedBy>Kuijsten, Jeroen</cp:lastModifiedBy>
  <cp:revision>47</cp:revision>
  <cp:lastPrinted>2026-03-27T10:29:00Z</cp:lastPrinted>
  <dcterms:created xsi:type="dcterms:W3CDTF">2026-04-17T14:05:00Z</dcterms:created>
  <dcterms:modified xsi:type="dcterms:W3CDTF">2026-05-07T15:17:00Z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0x010100D47B61B68B99884FA3AA8320A225AD00</vt:lpwstr>
  </property>
</Properties>
</file>