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6733B572" w:rsidR="004344FA" w:rsidRPr="002272A4" w:rsidRDefault="003C3573" w:rsidP="0001660C">
            <w:pPr>
              <w:rPr>
                <w:b/>
                <w:bCs/>
              </w:rPr>
            </w:pPr>
            <w:r>
              <w:rPr>
                <w:b/>
                <w:bCs/>
              </w:rPr>
              <w:t>TN 559818 Meubilair</w:t>
            </w:r>
          </w:p>
        </w:tc>
      </w:tr>
    </w:tbl>
    <w:p w14:paraId="4A5CFBE2" w14:textId="77777777" w:rsidR="00F86902" w:rsidRDefault="00F86902" w:rsidP="00F86902"/>
    <w:p w14:paraId="2D784D68" w14:textId="02FAD395" w:rsidR="00F86902" w:rsidRDefault="003C3573" w:rsidP="00F86902">
      <w:r>
        <w:t>Hierbij verklaart Inschrijver</w:t>
      </w:r>
      <w:r w:rsidR="00F86902">
        <w:t>:</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bookmarkStart w:id="0" w:name="_GoBack"/>
      <w:bookmarkEnd w:id="0"/>
    </w:p>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16BFABA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003C3573">
      <w:rPr>
        <w:b/>
        <w:bCs/>
        <w:noProof/>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003C3573">
      <w:rPr>
        <w:b/>
        <w:bCs/>
        <w:noProof/>
        <w:color w:val="808080" w:themeColor="background1" w:themeShade="80"/>
        <w:sz w:val="18"/>
        <w:szCs w:val="18"/>
      </w:rPr>
      <w:t>1</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C3573"/>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2025-11-28T15:35:00Z</dcterms:created>
  <dcterms:modified xsi:type="dcterms:W3CDTF">2025-11-28T15:35:00Z</dcterms:modified>
  <cp:contentStatus/>
</cp:coreProperties>
</file>