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B2AB" w14:textId="77777777" w:rsidR="00BD0F6C" w:rsidRDefault="00BD0F6C" w:rsidP="00BD0F6C">
      <w:pPr>
        <w:spacing w:after="240"/>
        <w:jc w:val="center"/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</w:pPr>
    </w:p>
    <w:p w14:paraId="21B489C0" w14:textId="594B5A9A" w:rsidR="00990E50" w:rsidRPr="00842FD7" w:rsidRDefault="00990E50" w:rsidP="0087609E">
      <w:pPr>
        <w:spacing w:before="240" w:after="240"/>
        <w:jc w:val="center"/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</w:pPr>
      <w:r w:rsidRPr="00842FD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Annex </w:t>
      </w:r>
      <w:r w:rsidR="00BD0F6C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>4</w:t>
      </w:r>
      <w:r w:rsidRPr="00842FD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: </w:t>
      </w:r>
      <w:r w:rsidR="00BD0F6C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Plan van aanpak </w:t>
      </w:r>
      <w:r w:rsidR="00BD0F6C" w:rsidRPr="00BD0F6C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>Projectmanager SEB-controles op de Bouwplaats</w:t>
      </w:r>
    </w:p>
    <w:p w14:paraId="1A962B00" w14:textId="77777777" w:rsidR="00990E50" w:rsidRPr="0087609E" w:rsidRDefault="00990E50" w:rsidP="00DB0E57">
      <w:pPr>
        <w:spacing w:before="240" w:after="240"/>
        <w:rPr>
          <w:rFonts w:asciiTheme="majorHAnsi" w:eastAsia="Verdana" w:hAnsiTheme="majorHAnsi" w:cs="Verdana"/>
          <w:b/>
          <w:bCs/>
        </w:rPr>
      </w:pPr>
    </w:p>
    <w:p w14:paraId="18C192A6" w14:textId="77777777" w:rsidR="00842FD7" w:rsidRDefault="00DB0E57" w:rsidP="00842FD7">
      <w:pPr>
        <w:spacing w:before="240" w:after="240"/>
        <w:jc w:val="center"/>
        <w:rPr>
          <w:rFonts w:asciiTheme="majorHAnsi" w:eastAsia="Verdana" w:hAnsiTheme="majorHAnsi" w:cs="Verdana"/>
          <w:b/>
          <w:bCs/>
          <w:sz w:val="24"/>
          <w:szCs w:val="24"/>
        </w:rPr>
      </w:pPr>
      <w:r w:rsidRPr="00842FD7">
        <w:rPr>
          <w:rFonts w:asciiTheme="majorHAnsi" w:eastAsia="Verdana" w:hAnsiTheme="majorHAnsi" w:cs="Verdana"/>
          <w:b/>
          <w:bCs/>
          <w:sz w:val="24"/>
          <w:szCs w:val="24"/>
        </w:rPr>
        <w:t>Doel van de casus</w:t>
      </w:r>
    </w:p>
    <w:p w14:paraId="687DCB96" w14:textId="77777777" w:rsidR="001C1CAD" w:rsidRDefault="001C1CAD" w:rsidP="001C1CAD">
      <w:pPr>
        <w:spacing w:before="240" w:after="240"/>
        <w:jc w:val="both"/>
        <w:rPr>
          <w:rFonts w:asciiTheme="majorHAnsi" w:eastAsia="Verdana" w:hAnsiTheme="majorHAnsi" w:cs="Verdana"/>
        </w:rPr>
      </w:pPr>
      <w:r w:rsidRPr="001C1CAD">
        <w:rPr>
          <w:rFonts w:asciiTheme="majorHAnsi" w:eastAsia="Verdana" w:hAnsiTheme="majorHAnsi" w:cs="Verdana"/>
        </w:rPr>
        <w:t xml:space="preserve">Inschrijver dient in het Plan van Aanpak te beschrijven op welke wijze de kandidaat invulling geeft aan de rol van projectmanager ‘SEB-controles op de bouwplaats’. Het Plan van Aanpak dient inzicht te geven in de wijze waarop de kandidaat de opdracht aanstuurt, samenwerkt met betrokken stakeholders, toezicht en controle op SEB-afspraken ondersteunt en de voortgang, kwaliteit en resultaten van de opdracht borgt. </w:t>
      </w:r>
    </w:p>
    <w:p w14:paraId="6180CB58" w14:textId="20F16A0A" w:rsidR="00842FD7" w:rsidRDefault="00DB0E57" w:rsidP="001C1CAD">
      <w:pPr>
        <w:spacing w:before="240" w:after="240"/>
        <w:jc w:val="center"/>
        <w:rPr>
          <w:rFonts w:asciiTheme="majorHAnsi" w:eastAsia="Verdana" w:hAnsiTheme="majorHAnsi" w:cs="Verdana"/>
          <w:b/>
          <w:bCs/>
          <w:sz w:val="24"/>
          <w:szCs w:val="24"/>
        </w:rPr>
      </w:pPr>
      <w:r w:rsidRPr="00842FD7">
        <w:rPr>
          <w:rFonts w:asciiTheme="majorHAnsi" w:eastAsia="Verdana" w:hAnsiTheme="majorHAnsi" w:cs="Verdana"/>
          <w:b/>
          <w:bCs/>
          <w:sz w:val="24"/>
          <w:szCs w:val="24"/>
        </w:rPr>
        <w:t>Opdracht aan de inschrijver</w:t>
      </w:r>
    </w:p>
    <w:p w14:paraId="2EF95CFF" w14:textId="53DAB094" w:rsidR="00DB0E57" w:rsidRPr="0087609E" w:rsidRDefault="00DB0E57" w:rsidP="00BC285D">
      <w:pPr>
        <w:spacing w:before="240" w:after="240"/>
        <w:jc w:val="both"/>
        <w:rPr>
          <w:rFonts w:asciiTheme="majorHAnsi" w:hAnsiTheme="majorHAnsi"/>
          <w:sz w:val="28"/>
          <w:szCs w:val="28"/>
        </w:rPr>
      </w:pPr>
      <w:r w:rsidRPr="0087609E">
        <w:rPr>
          <w:rFonts w:asciiTheme="majorHAnsi" w:eastAsia="Verdana" w:hAnsiTheme="majorHAnsi" w:cs="Verdana"/>
        </w:rPr>
        <w:t xml:space="preserve">Beschrijf hoe u als </w:t>
      </w:r>
      <w:r w:rsidR="00BB6CE6" w:rsidRPr="00BB6CE6">
        <w:rPr>
          <w:rFonts w:asciiTheme="majorHAnsi" w:eastAsia="Verdana" w:hAnsiTheme="majorHAnsi" w:cs="Verdana"/>
          <w:i/>
          <w:iCs/>
        </w:rPr>
        <w:t xml:space="preserve"> ROVK Projectmanager SEB-controles op de Bouwplaats</w:t>
      </w:r>
      <w:r w:rsidRPr="0087609E">
        <w:rPr>
          <w:rFonts w:asciiTheme="majorHAnsi" w:eastAsia="Verdana" w:hAnsiTheme="majorHAnsi" w:cs="Verdana"/>
        </w:rPr>
        <w:t xml:space="preserve"> in deze situatie zou handelen.</w:t>
      </w:r>
      <w:r w:rsidR="00BB6CE6">
        <w:rPr>
          <w:rFonts w:asciiTheme="majorHAnsi" w:eastAsia="Verdana" w:hAnsiTheme="majorHAnsi" w:cs="Verdana"/>
        </w:rPr>
        <w:t xml:space="preserve"> </w:t>
      </w:r>
      <w:r w:rsidRPr="0087609E">
        <w:rPr>
          <w:rFonts w:asciiTheme="majorHAnsi" w:eastAsia="Verdana" w:hAnsiTheme="majorHAnsi" w:cs="Verdana"/>
        </w:rPr>
        <w:t>In de beschrijving wordt</w:t>
      </w:r>
      <w:r w:rsidR="00BB6CE6">
        <w:rPr>
          <w:rFonts w:asciiTheme="majorHAnsi" w:eastAsia="Verdana" w:hAnsiTheme="majorHAnsi" w:cs="Verdana"/>
        </w:rPr>
        <w:t xml:space="preserve"> </w:t>
      </w:r>
      <w:r w:rsidRPr="0087609E">
        <w:rPr>
          <w:rFonts w:asciiTheme="majorHAnsi" w:eastAsia="Verdana" w:hAnsiTheme="majorHAnsi" w:cs="Verdana"/>
        </w:rPr>
        <w:t>ingegaan op:</w:t>
      </w:r>
    </w:p>
    <w:tbl>
      <w:tblPr>
        <w:tblStyle w:val="Rastertabel4-Accent51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2B07DB" w:rsidRPr="002B07DB" w14:paraId="3361DF1B" w14:textId="77777777" w:rsidTr="00AA4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418566B" w14:textId="77777777" w:rsidR="002B07DB" w:rsidRPr="002B07DB" w:rsidRDefault="002B07DB" w:rsidP="002B07DB">
            <w:pPr>
              <w:spacing w:after="160" w:line="259" w:lineRule="auto"/>
              <w:jc w:val="center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Beoordelingsaspect</w:t>
            </w:r>
          </w:p>
        </w:tc>
        <w:tc>
          <w:tcPr>
            <w:tcW w:w="1559" w:type="dxa"/>
          </w:tcPr>
          <w:p w14:paraId="54B809EE" w14:textId="77777777" w:rsidR="002B07DB" w:rsidRPr="002B07DB" w:rsidRDefault="002B07DB" w:rsidP="002B07D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Maximaal aantal punten</w:t>
            </w:r>
          </w:p>
        </w:tc>
      </w:tr>
      <w:tr w:rsidR="002B07DB" w:rsidRPr="002B07DB" w14:paraId="02907D1D" w14:textId="77777777" w:rsidTr="00AA4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CB8DB03" w14:textId="77777777" w:rsidR="002B07DB" w:rsidRPr="002B07DB" w:rsidRDefault="002B07DB" w:rsidP="002B07DB">
            <w:pPr>
              <w:spacing w:after="0" w:line="259" w:lineRule="auto"/>
              <w:jc w:val="both"/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  <w:t>Inzicht in de opgave en rolinvulling van de projectmanager SEB-controles op de bouwplaats, inclusief de positionering binnen het programma MWB, het SEB-ondersteuningsprogramma en de samenwerking met betrokken medeoverheden en marktpartijen.</w:t>
            </w:r>
          </w:p>
        </w:tc>
        <w:tc>
          <w:tcPr>
            <w:tcW w:w="1559" w:type="dxa"/>
          </w:tcPr>
          <w:p w14:paraId="6AB6D183" w14:textId="77777777" w:rsidR="002B07DB" w:rsidRPr="002B07DB" w:rsidRDefault="002B07DB" w:rsidP="002B07DB">
            <w:pPr>
              <w:spacing w:after="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60 punten</w:t>
            </w:r>
          </w:p>
        </w:tc>
      </w:tr>
      <w:tr w:rsidR="002B07DB" w:rsidRPr="002B07DB" w14:paraId="7D85C4B6" w14:textId="77777777" w:rsidTr="00AA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C1C71EF" w14:textId="77777777" w:rsidR="002B07DB" w:rsidRPr="002B07DB" w:rsidRDefault="002B07DB" w:rsidP="002B07DB">
            <w:pPr>
              <w:spacing w:after="0" w:line="259" w:lineRule="auto"/>
              <w:jc w:val="both"/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  <w:t>Projectmanagementaanpak en sturing van de opdracht, inclusief de wijze waarop planning, voortgang, kwaliteit en resultaten worden bewaakt en geborgd gedurende de uitvoering van de opdracht.</w:t>
            </w:r>
          </w:p>
        </w:tc>
        <w:tc>
          <w:tcPr>
            <w:tcW w:w="1559" w:type="dxa"/>
          </w:tcPr>
          <w:p w14:paraId="6A4BEB10" w14:textId="77777777" w:rsidR="002B07DB" w:rsidRPr="002B07DB" w:rsidRDefault="002B07DB" w:rsidP="002B07DB">
            <w:pPr>
              <w:spacing w:after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90 punten</w:t>
            </w:r>
          </w:p>
        </w:tc>
      </w:tr>
      <w:tr w:rsidR="002B07DB" w:rsidRPr="002B07DB" w14:paraId="50D5B39C" w14:textId="77777777" w:rsidTr="00AA4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FD87CA5" w14:textId="77777777" w:rsidR="002B07DB" w:rsidRPr="002B07DB" w:rsidRDefault="002B07DB" w:rsidP="002B07DB">
            <w:pPr>
              <w:spacing w:after="0" w:line="259" w:lineRule="auto"/>
              <w:jc w:val="both"/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  <w:t>Samenwerking en stakeholdermanagement, inclusief de wijze waarop wordt samengewerkt met gemeenten, aannemers, ministeries, programmaorganisaties en andere betrokken stakeholders.</w:t>
            </w:r>
          </w:p>
        </w:tc>
        <w:tc>
          <w:tcPr>
            <w:tcW w:w="1559" w:type="dxa"/>
          </w:tcPr>
          <w:p w14:paraId="7F328999" w14:textId="77777777" w:rsidR="002B07DB" w:rsidRPr="002B07DB" w:rsidRDefault="002B07DB" w:rsidP="002B07DB">
            <w:pPr>
              <w:spacing w:after="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80 punten</w:t>
            </w:r>
          </w:p>
        </w:tc>
      </w:tr>
      <w:tr w:rsidR="002B07DB" w:rsidRPr="002B07DB" w14:paraId="2686078A" w14:textId="77777777" w:rsidTr="00AA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158396B" w14:textId="77777777" w:rsidR="002B07DB" w:rsidRPr="002B07DB" w:rsidRDefault="002B07DB" w:rsidP="002B07DB">
            <w:pPr>
              <w:spacing w:after="0" w:line="259" w:lineRule="auto"/>
              <w:jc w:val="both"/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  <w:t>Aanpak voor toezicht, controle en monitoring van SEB-afspraken, inclusief de inzet van richtlijnen, implementatiekaders en de toepassing van emissiemetingen en sensortechnologie in de uitvoeringspraktijk.</w:t>
            </w:r>
          </w:p>
        </w:tc>
        <w:tc>
          <w:tcPr>
            <w:tcW w:w="1559" w:type="dxa"/>
          </w:tcPr>
          <w:p w14:paraId="209F9E3B" w14:textId="77777777" w:rsidR="002B07DB" w:rsidRPr="002B07DB" w:rsidRDefault="002B07DB" w:rsidP="002B07DB">
            <w:pPr>
              <w:spacing w:after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90 punten</w:t>
            </w:r>
          </w:p>
        </w:tc>
      </w:tr>
      <w:tr w:rsidR="002B07DB" w:rsidRPr="002B07DB" w14:paraId="1B129577" w14:textId="77777777" w:rsidTr="00AA4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EDC0542" w14:textId="77777777" w:rsidR="002B07DB" w:rsidRPr="002B07DB" w:rsidRDefault="002B07DB" w:rsidP="002B07DB">
            <w:pPr>
              <w:spacing w:after="0" w:line="259" w:lineRule="auto"/>
              <w:jc w:val="both"/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b w:val="0"/>
                <w:bCs w:val="0"/>
                <w:sz w:val="20"/>
                <w:szCs w:val="20"/>
              </w:rPr>
              <w:t>Risico- en knelpuntenmanagement, rapportage en kennisdeling, inclusief de wijze waarop kansen, risico’s en knelpunten tijdig worden gesignaleerd, gemitigeerd en gerapporteerd richting de programmaorganisatie.</w:t>
            </w:r>
          </w:p>
        </w:tc>
        <w:tc>
          <w:tcPr>
            <w:tcW w:w="1559" w:type="dxa"/>
          </w:tcPr>
          <w:p w14:paraId="59C2A3CB" w14:textId="77777777" w:rsidR="002B07DB" w:rsidRPr="002B07DB" w:rsidRDefault="002B07DB" w:rsidP="002B07DB">
            <w:pPr>
              <w:spacing w:after="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 xml:space="preserve">80 punten </w:t>
            </w:r>
          </w:p>
        </w:tc>
      </w:tr>
      <w:tr w:rsidR="002B07DB" w:rsidRPr="002B07DB" w14:paraId="4D78DDD9" w14:textId="77777777" w:rsidTr="00AA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2FCAD3B" w14:textId="77777777" w:rsidR="002B07DB" w:rsidRPr="002B07DB" w:rsidRDefault="002B07DB" w:rsidP="002B07DB">
            <w:pPr>
              <w:spacing w:after="160" w:line="259" w:lineRule="auto"/>
              <w:jc w:val="both"/>
              <w:rPr>
                <w:rFonts w:ascii="Aptos Display" w:eastAsia="Times New Roman" w:hAnsi="Aptos Display" w:cs="Arial"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sz w:val="20"/>
                <w:szCs w:val="20"/>
              </w:rPr>
              <w:t>Totaal</w:t>
            </w:r>
          </w:p>
        </w:tc>
        <w:tc>
          <w:tcPr>
            <w:tcW w:w="1559" w:type="dxa"/>
          </w:tcPr>
          <w:p w14:paraId="228E7059" w14:textId="77777777" w:rsidR="002B07DB" w:rsidRPr="002B07DB" w:rsidRDefault="002B07DB" w:rsidP="002B07DB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b/>
                <w:bCs/>
                <w:sz w:val="20"/>
                <w:szCs w:val="20"/>
              </w:rPr>
            </w:pPr>
            <w:r w:rsidRPr="002B07DB">
              <w:rPr>
                <w:rFonts w:ascii="Aptos Display" w:eastAsia="Times New Roman" w:hAnsi="Aptos Display" w:cs="Arial"/>
                <w:b/>
                <w:bCs/>
                <w:sz w:val="20"/>
                <w:szCs w:val="20"/>
              </w:rPr>
              <w:t>400 punten</w:t>
            </w:r>
          </w:p>
        </w:tc>
      </w:tr>
    </w:tbl>
    <w:p w14:paraId="2CB289C1" w14:textId="77777777" w:rsidR="002B07DB" w:rsidRDefault="002B07DB" w:rsidP="00063930">
      <w:pPr>
        <w:autoSpaceDE w:val="0"/>
        <w:autoSpaceDN w:val="0"/>
        <w:adjustRightInd w:val="0"/>
        <w:spacing w:after="0"/>
        <w:jc w:val="both"/>
        <w:rPr>
          <w:rFonts w:ascii="Aptos Display" w:eastAsiaTheme="minorHAnsi" w:hAnsi="Aptos Display" w:cstheme="minorHAnsi"/>
          <w:color w:val="000000"/>
        </w:rPr>
      </w:pPr>
    </w:p>
    <w:p w14:paraId="478A6B5E" w14:textId="77777777" w:rsidR="002B07DB" w:rsidRDefault="002B07DB" w:rsidP="00063930">
      <w:pPr>
        <w:autoSpaceDE w:val="0"/>
        <w:autoSpaceDN w:val="0"/>
        <w:adjustRightInd w:val="0"/>
        <w:spacing w:after="0"/>
        <w:jc w:val="both"/>
        <w:rPr>
          <w:rFonts w:ascii="Aptos Display" w:eastAsiaTheme="minorHAnsi" w:hAnsi="Aptos Display" w:cstheme="minorHAnsi"/>
          <w:color w:val="000000"/>
        </w:rPr>
      </w:pPr>
    </w:p>
    <w:p w14:paraId="1B83391D" w14:textId="585B7453" w:rsidR="00063930" w:rsidRPr="00063930" w:rsidRDefault="00063930" w:rsidP="00063930">
      <w:pPr>
        <w:autoSpaceDE w:val="0"/>
        <w:autoSpaceDN w:val="0"/>
        <w:adjustRightInd w:val="0"/>
        <w:spacing w:after="0"/>
        <w:jc w:val="both"/>
        <w:rPr>
          <w:rFonts w:ascii="Aptos Display" w:eastAsiaTheme="minorHAnsi" w:hAnsi="Aptos Display" w:cstheme="minorHAnsi"/>
          <w:color w:val="000000"/>
        </w:rPr>
      </w:pPr>
      <w:r w:rsidRPr="00063930">
        <w:rPr>
          <w:rFonts w:ascii="Aptos Display" w:eastAsiaTheme="minorHAnsi" w:hAnsi="Aptos Display" w:cstheme="minorHAnsi"/>
          <w:color w:val="000000"/>
        </w:rPr>
        <w:t xml:space="preserve">De casusbeschrijving mag niet meer dan 2 pagina A4 beslaan, lettertype </w:t>
      </w:r>
      <w:proofErr w:type="spellStart"/>
      <w:r w:rsidRPr="00063930">
        <w:rPr>
          <w:rFonts w:ascii="Aptos Display" w:eastAsiaTheme="minorHAnsi" w:hAnsi="Aptos Display" w:cstheme="minorHAnsi"/>
          <w:color w:val="000000"/>
        </w:rPr>
        <w:t>Arial</w:t>
      </w:r>
      <w:proofErr w:type="spellEnd"/>
      <w:r w:rsidRPr="00063930">
        <w:rPr>
          <w:rFonts w:ascii="Aptos Display" w:eastAsiaTheme="minorHAnsi" w:hAnsi="Aptos Display" w:cstheme="minorHAnsi"/>
          <w:color w:val="000000"/>
        </w:rPr>
        <w:t>, minimaal lettergrootte 10 en maximaal 1200 woorden.</w:t>
      </w:r>
    </w:p>
    <w:p w14:paraId="473335C5" w14:textId="77777777" w:rsidR="00BC285D" w:rsidRDefault="00BC285D" w:rsidP="00BC285D">
      <w:pPr>
        <w:autoSpaceDE w:val="0"/>
        <w:autoSpaceDN w:val="0"/>
        <w:adjustRightInd w:val="0"/>
        <w:spacing w:after="0"/>
        <w:jc w:val="both"/>
        <w:rPr>
          <w:rFonts w:ascii="Aptos Display" w:eastAsiaTheme="minorHAnsi" w:hAnsi="Aptos Display" w:cstheme="minorHAnsi"/>
          <w:color w:val="000000"/>
        </w:rPr>
      </w:pPr>
    </w:p>
    <w:p w14:paraId="283FCFCA" w14:textId="22FC6173" w:rsidR="00BC285D" w:rsidRPr="00BC285D" w:rsidRDefault="00BC285D" w:rsidP="00BC285D">
      <w:pPr>
        <w:autoSpaceDE w:val="0"/>
        <w:autoSpaceDN w:val="0"/>
        <w:adjustRightInd w:val="0"/>
        <w:spacing w:after="0"/>
        <w:jc w:val="both"/>
        <w:rPr>
          <w:rFonts w:ascii="Aptos Display" w:eastAsiaTheme="minorHAnsi" w:hAnsi="Aptos Display" w:cstheme="minorHAnsi"/>
          <w:color w:val="000000"/>
        </w:rPr>
      </w:pPr>
      <w:r w:rsidRPr="00BC285D">
        <w:rPr>
          <w:rFonts w:ascii="Aptos Display" w:eastAsiaTheme="minorHAnsi" w:hAnsi="Aptos Display" w:cstheme="minorHAnsi"/>
          <w:color w:val="000000"/>
        </w:rPr>
        <w:t>De beoordeling vindt plaats op basis van de absolute beoordelingsschaal zoals opgenomen in paragraaf 6.5.4.</w:t>
      </w:r>
    </w:p>
    <w:sectPr w:rsidR="00BC285D" w:rsidRPr="00BC285D" w:rsidSect="00C250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7175" w14:textId="77777777" w:rsidR="00D82655" w:rsidRDefault="00D82655" w:rsidP="0087609E">
      <w:pPr>
        <w:spacing w:after="0"/>
      </w:pPr>
      <w:r>
        <w:separator/>
      </w:r>
    </w:p>
  </w:endnote>
  <w:endnote w:type="continuationSeparator" w:id="0">
    <w:p w14:paraId="5F9AD0E8" w14:textId="77777777" w:rsidR="00D82655" w:rsidRDefault="00D82655" w:rsidP="008760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BE9B" w14:textId="77777777" w:rsidR="00D82655" w:rsidRDefault="00D82655" w:rsidP="0087609E">
      <w:pPr>
        <w:spacing w:after="0"/>
      </w:pPr>
      <w:r>
        <w:separator/>
      </w:r>
    </w:p>
  </w:footnote>
  <w:footnote w:type="continuationSeparator" w:id="0">
    <w:p w14:paraId="3C3A8BC9" w14:textId="77777777" w:rsidR="00D82655" w:rsidRDefault="00D82655" w:rsidP="00876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42EF" w14:textId="2A798CBE" w:rsidR="0087609E" w:rsidRDefault="0087609E">
    <w:pPr>
      <w:pStyle w:val="Koptekst"/>
    </w:pPr>
    <w:r>
      <w:rPr>
        <w:rFonts w:asciiTheme="minorHAnsi" w:hAnsiTheme="minorHAnsi"/>
        <w:noProof/>
        <w:color w:val="2C7FCE" w:themeColor="text2" w:themeTint="99"/>
        <w:sz w:val="24"/>
        <w:szCs w:val="28"/>
        <w:lang w:eastAsia="nl-NL"/>
      </w:rPr>
      <w:drawing>
        <wp:anchor distT="0" distB="0" distL="114300" distR="114300" simplePos="0" relativeHeight="251659264" behindDoc="0" locked="0" layoutInCell="1" allowOverlap="1" wp14:anchorId="141910E5" wp14:editId="6CDCA142">
          <wp:simplePos x="0" y="0"/>
          <wp:positionH relativeFrom="margin">
            <wp:align>right</wp:align>
          </wp:positionH>
          <wp:positionV relativeFrom="paragraph">
            <wp:posOffset>212725</wp:posOffset>
          </wp:positionV>
          <wp:extent cx="1159902" cy="488869"/>
          <wp:effectExtent l="0" t="0" r="2540" b="6985"/>
          <wp:wrapNone/>
          <wp:docPr id="1198899909" name="Afbeelding 1198899909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02" cy="488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D775"/>
    <w:multiLevelType w:val="hybridMultilevel"/>
    <w:tmpl w:val="F7B80F8C"/>
    <w:lvl w:ilvl="0" w:tplc="BE403048">
      <w:start w:val="1"/>
      <w:numFmt w:val="decimal"/>
      <w:lvlText w:val="%1."/>
      <w:lvlJc w:val="left"/>
      <w:pPr>
        <w:ind w:left="720" w:hanging="360"/>
      </w:pPr>
    </w:lvl>
    <w:lvl w:ilvl="1" w:tplc="C0A88056">
      <w:start w:val="1"/>
      <w:numFmt w:val="lowerLetter"/>
      <w:lvlText w:val="%2."/>
      <w:lvlJc w:val="left"/>
      <w:pPr>
        <w:ind w:left="1440" w:hanging="360"/>
      </w:pPr>
    </w:lvl>
    <w:lvl w:ilvl="2" w:tplc="C3680FA0">
      <w:start w:val="1"/>
      <w:numFmt w:val="lowerRoman"/>
      <w:lvlText w:val="%3."/>
      <w:lvlJc w:val="right"/>
      <w:pPr>
        <w:ind w:left="2160" w:hanging="180"/>
      </w:pPr>
    </w:lvl>
    <w:lvl w:ilvl="3" w:tplc="C2829722">
      <w:start w:val="1"/>
      <w:numFmt w:val="decimal"/>
      <w:lvlText w:val="%4."/>
      <w:lvlJc w:val="left"/>
      <w:pPr>
        <w:ind w:left="2880" w:hanging="360"/>
      </w:pPr>
    </w:lvl>
    <w:lvl w:ilvl="4" w:tplc="7A3012B4">
      <w:start w:val="1"/>
      <w:numFmt w:val="lowerLetter"/>
      <w:lvlText w:val="%5."/>
      <w:lvlJc w:val="left"/>
      <w:pPr>
        <w:ind w:left="3600" w:hanging="360"/>
      </w:pPr>
    </w:lvl>
    <w:lvl w:ilvl="5" w:tplc="ECFE8C0E">
      <w:start w:val="1"/>
      <w:numFmt w:val="lowerRoman"/>
      <w:lvlText w:val="%6."/>
      <w:lvlJc w:val="right"/>
      <w:pPr>
        <w:ind w:left="4320" w:hanging="180"/>
      </w:pPr>
    </w:lvl>
    <w:lvl w:ilvl="6" w:tplc="78408EAE">
      <w:start w:val="1"/>
      <w:numFmt w:val="decimal"/>
      <w:lvlText w:val="%7."/>
      <w:lvlJc w:val="left"/>
      <w:pPr>
        <w:ind w:left="5040" w:hanging="360"/>
      </w:pPr>
    </w:lvl>
    <w:lvl w:ilvl="7" w:tplc="4FB8D788">
      <w:start w:val="1"/>
      <w:numFmt w:val="lowerLetter"/>
      <w:lvlText w:val="%8."/>
      <w:lvlJc w:val="left"/>
      <w:pPr>
        <w:ind w:left="5760" w:hanging="360"/>
      </w:pPr>
    </w:lvl>
    <w:lvl w:ilvl="8" w:tplc="338A7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5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57"/>
    <w:rsid w:val="00063930"/>
    <w:rsid w:val="000A039E"/>
    <w:rsid w:val="001C1CAD"/>
    <w:rsid w:val="002B07DB"/>
    <w:rsid w:val="003B232B"/>
    <w:rsid w:val="00842FD7"/>
    <w:rsid w:val="0087609E"/>
    <w:rsid w:val="00990E50"/>
    <w:rsid w:val="00A20EF1"/>
    <w:rsid w:val="00A2536D"/>
    <w:rsid w:val="00AD0B51"/>
    <w:rsid w:val="00BB6CE6"/>
    <w:rsid w:val="00BC285D"/>
    <w:rsid w:val="00BD0F6C"/>
    <w:rsid w:val="00BE35AE"/>
    <w:rsid w:val="00C2507E"/>
    <w:rsid w:val="00D82655"/>
    <w:rsid w:val="00DB0E57"/>
    <w:rsid w:val="00E841C3"/>
    <w:rsid w:val="0907DEEF"/>
    <w:rsid w:val="3E35F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04BB"/>
  <w15:chartTrackingRefBased/>
  <w15:docId w15:val="{B0D95D7A-EB96-4F0F-B963-CFB95676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0E57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E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E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E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E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E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E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E5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DB0E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E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E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E57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B0E57"/>
  </w:style>
  <w:style w:type="paragraph" w:styleId="Koptekst">
    <w:name w:val="header"/>
    <w:basedOn w:val="Standaard"/>
    <w:link w:val="KoptekstChar"/>
    <w:uiPriority w:val="99"/>
    <w:unhideWhenUsed/>
    <w:rsid w:val="0087609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7609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7609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609E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Rastertabel4-Accent51">
    <w:name w:val="Rastertabel 4 - Accent 51"/>
    <w:basedOn w:val="Standaardtabel"/>
    <w:next w:val="Rastertabel4-Accent5"/>
    <w:uiPriority w:val="49"/>
    <w:rsid w:val="002B07D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4-Accent5">
    <w:name w:val="Grid Table 4 Accent 5"/>
    <w:basedOn w:val="Standaardtabel"/>
    <w:uiPriority w:val="49"/>
    <w:rsid w:val="002B07D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4" ma:contentTypeDescription="Een nieuw document maken." ma:contentTypeScope="" ma:versionID="64c39c68dde9dca924d79e34c07add9c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39b2672868c77843857db3b01556c892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5E884-4B79-4793-802B-FEC3C5C62C2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2.xml><?xml version="1.0" encoding="utf-8"?>
<ds:datastoreItem xmlns:ds="http://schemas.openxmlformats.org/officeDocument/2006/customXml" ds:itemID="{E9CA2E03-768C-46AE-9013-09A450CFB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3733-23DA-4D94-B8D6-A51A0318D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Wagter | Topsector Logistiek</dc:creator>
  <cp:keywords/>
  <dc:description/>
  <cp:lastModifiedBy>Aarti Paragh | Connekt</cp:lastModifiedBy>
  <cp:revision>7</cp:revision>
  <dcterms:created xsi:type="dcterms:W3CDTF">2026-03-16T09:34:00Z</dcterms:created>
  <dcterms:modified xsi:type="dcterms:W3CDTF">2026-03-16T09:40:00Z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