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AD3E" w14:textId="77777777" w:rsidR="009D7AEA" w:rsidRPr="00CE3913" w:rsidRDefault="009D7AEA" w:rsidP="009D7AEA">
      <w:pPr>
        <w:keepNext/>
        <w:spacing w:before="240" w:after="60" w:line="288" w:lineRule="auto"/>
        <w:outlineLvl w:val="1"/>
        <w:rPr>
          <w:rFonts w:ascii="AZGCaspariT" w:eastAsia="Calibri" w:hAnsi="AZGCaspariT" w:cs="Arial"/>
          <w:b/>
          <w:bCs/>
          <w:kern w:val="0"/>
          <w14:ligatures w14:val="none"/>
        </w:rPr>
      </w:pPr>
      <w:bookmarkStart w:id="0" w:name="_Toc32934431"/>
      <w:bookmarkStart w:id="1" w:name="_Toc220573438"/>
      <w:r w:rsidRPr="00CE3913">
        <w:rPr>
          <w:rFonts w:ascii="AZGCaspariT" w:eastAsia="Calibri" w:hAnsi="AZGCaspariT" w:cs="Arial"/>
          <w:b/>
          <w:bCs/>
          <w:kern w:val="0"/>
          <w14:ligatures w14:val="none"/>
        </w:rPr>
        <w:t>Bijlage G: Beroep financiële en economische draagkracht</w:t>
      </w:r>
      <w:bookmarkEnd w:id="0"/>
      <w:bookmarkEnd w:id="1"/>
      <w:r w:rsidRPr="00CE3913">
        <w:rPr>
          <w:rFonts w:ascii="AZGCaspariT" w:eastAsia="Calibri" w:hAnsi="AZGCaspariT" w:cs="Arial"/>
          <w:b/>
          <w:bCs/>
          <w:kern w:val="0"/>
          <w14:ligatures w14:val="none"/>
        </w:rPr>
        <w:t xml:space="preserve"> </w:t>
      </w:r>
    </w:p>
    <w:p w14:paraId="5B84DB92" w14:textId="77777777" w:rsidR="009D7AEA" w:rsidRPr="00CE3913" w:rsidRDefault="009D7AEA" w:rsidP="009D7AEA">
      <w:pPr>
        <w:spacing w:after="0" w:line="240" w:lineRule="auto"/>
        <w:rPr>
          <w:rFonts w:ascii="AZGCaspariT" w:eastAsia="Times New Roman" w:hAnsi="AZGCaspariT" w:cs="Arial"/>
          <w:bCs/>
          <w:kern w:val="0"/>
          <w:sz w:val="18"/>
          <w:szCs w:val="22"/>
          <w:lang w:eastAsia="nl-NL"/>
          <w14:ligatures w14:val="none"/>
        </w:rPr>
      </w:pPr>
    </w:p>
    <w:p w14:paraId="12E844C9" w14:textId="77777777" w:rsidR="009D7AEA" w:rsidRPr="00CE3913" w:rsidRDefault="009D7AEA" w:rsidP="009D7AEA">
      <w:pPr>
        <w:spacing w:after="120" w:line="240" w:lineRule="auto"/>
        <w:rPr>
          <w:rFonts w:ascii="AZGCaspariT" w:eastAsia="Times New Roman" w:hAnsi="AZGCaspariT" w:cs="Arial"/>
          <w:bCs/>
          <w:kern w:val="0"/>
          <w:sz w:val="18"/>
          <w:szCs w:val="22"/>
          <w:lang w:eastAsia="nl-NL"/>
          <w14:ligatures w14:val="none"/>
        </w:rPr>
      </w:pPr>
      <w:r w:rsidRPr="00CE3913">
        <w:rPr>
          <w:rFonts w:ascii="AZGCaspariT" w:eastAsia="Times New Roman" w:hAnsi="AZGCaspariT" w:cs="Arial"/>
          <w:bCs/>
          <w:kern w:val="0"/>
          <w:sz w:val="18"/>
          <w:szCs w:val="22"/>
          <w:lang w:eastAsia="nl-NL"/>
          <w14:ligatures w14:val="none"/>
        </w:rPr>
        <w:t>De hieronder vermelde partijen verklaren het volgende:</w:t>
      </w:r>
    </w:p>
    <w:p w14:paraId="73A39734" w14:textId="77777777" w:rsidR="009D7AEA" w:rsidRPr="00CE3913" w:rsidRDefault="009D7AEA" w:rsidP="009D7AEA">
      <w:pPr>
        <w:spacing w:after="0" w:line="240" w:lineRule="auto"/>
        <w:rPr>
          <w:rFonts w:ascii="AZGCaspariT" w:eastAsia="Times New Roman" w:hAnsi="AZGCaspariT" w:cs="Arial"/>
          <w:bCs/>
          <w:kern w:val="0"/>
          <w:sz w:val="18"/>
          <w:szCs w:val="22"/>
          <w:lang w:eastAsia="nl-NL"/>
          <w14:ligatures w14:val="none"/>
        </w:rPr>
      </w:pPr>
    </w:p>
    <w:p w14:paraId="65EC8AF8" w14:textId="77777777" w:rsidR="009D7AEA" w:rsidRPr="00CE3913" w:rsidRDefault="009D7AEA" w:rsidP="009D7AEA">
      <w:pPr>
        <w:numPr>
          <w:ilvl w:val="0"/>
          <w:numId w:val="1"/>
        </w:numPr>
        <w:spacing w:after="120" w:line="240" w:lineRule="auto"/>
        <w:ind w:left="357"/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</w:pPr>
      <w:r w:rsidRPr="00CE391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CE391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instrText xml:space="preserve"> FORMTEXT </w:instrText>
      </w:r>
      <w:r w:rsidRPr="00CE391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</w:r>
      <w:r w:rsidRPr="00CE391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separate"/>
      </w:r>
      <w:r w:rsidRPr="00CE3913">
        <w:rPr>
          <w:rFonts w:ascii="AZGCaspariT" w:eastAsia="Times New Roman" w:hAnsi="AZGCaspariT" w:cs="Arial"/>
          <w:noProof/>
          <w:kern w:val="0"/>
          <w:sz w:val="18"/>
          <w:szCs w:val="18"/>
          <w:highlight w:val="darkGray"/>
          <w:lang w:eastAsia="nl-NL"/>
          <w14:ligatures w14:val="none"/>
        </w:rPr>
        <w:t>[Naam inschrijver]</w:t>
      </w:r>
      <w:r w:rsidRPr="00CE391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end"/>
      </w:r>
      <w:r w:rsidRPr="00CE391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 xml:space="preserve"> (hierna: de Inschrijver) </w:t>
      </w:r>
      <w:r w:rsidRPr="00CE391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beroept </w:t>
      </w:r>
      <w:r w:rsidRPr="00CE391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>zic</w:t>
      </w:r>
      <w:r w:rsidRPr="00CE391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h met betrekking tot de Geschiktheidseis </w:t>
      </w:r>
      <w:r w:rsidRPr="00CE391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 w:rsidRPr="00CE391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instrText xml:space="preserve"> FORMTEXT </w:instrText>
      </w:r>
      <w:r w:rsidRPr="00CE391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</w:r>
      <w:r w:rsidRPr="00CE391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separate"/>
      </w:r>
      <w:r w:rsidRPr="00CE3913">
        <w:rPr>
          <w:rFonts w:ascii="AZGCaspariT" w:eastAsia="Times New Roman" w:hAnsi="AZGCaspariT" w:cs="Arial"/>
          <w:noProof/>
          <w:kern w:val="0"/>
          <w:sz w:val="18"/>
          <w:szCs w:val="18"/>
          <w:highlight w:val="darkGray"/>
          <w:lang w:eastAsia="nl-NL"/>
          <w14:ligatures w14:val="none"/>
        </w:rPr>
        <w:t>[omschrijving geschiktheidseis]</w:t>
      </w:r>
      <w:r w:rsidRPr="00CE391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end"/>
      </w:r>
      <w:r w:rsidRPr="00CE391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 xml:space="preserve"> </w:t>
      </w:r>
      <w:r w:rsidRPr="00CE391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zoals genoemd in hoofdstuk 4 van het Beschrijvend document op de middelen van </w:t>
      </w:r>
      <w:r w:rsidRPr="00CE391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 w:rsidRPr="00CE391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instrText xml:space="preserve"> FORMTEXT </w:instrText>
      </w:r>
      <w:r w:rsidRPr="00CE391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</w:r>
      <w:r w:rsidRPr="00CE391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separate"/>
      </w:r>
      <w:r w:rsidRPr="00CE3913">
        <w:rPr>
          <w:rFonts w:ascii="AZGCaspariT" w:eastAsia="Times New Roman" w:hAnsi="AZGCaspariT" w:cs="Arial"/>
          <w:noProof/>
          <w:kern w:val="0"/>
          <w:sz w:val="18"/>
          <w:szCs w:val="18"/>
          <w:highlight w:val="darkGray"/>
          <w:lang w:eastAsia="nl-NL"/>
          <w14:ligatures w14:val="none"/>
        </w:rPr>
        <w:t>[naam derde]</w:t>
      </w:r>
      <w:r w:rsidRPr="00CE391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end"/>
      </w:r>
      <w:r w:rsidRPr="00CE391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 xml:space="preserve"> (hierna: de Derde); </w:t>
      </w:r>
    </w:p>
    <w:p w14:paraId="3E9C2748" w14:textId="77777777" w:rsidR="009D7AEA" w:rsidRPr="00CE3913" w:rsidRDefault="009D7AEA" w:rsidP="009D7AEA">
      <w:pPr>
        <w:numPr>
          <w:ilvl w:val="0"/>
          <w:numId w:val="1"/>
        </w:numPr>
        <w:spacing w:after="120" w:line="240" w:lineRule="auto"/>
        <w:ind w:left="357"/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</w:pPr>
      <w:r w:rsidRPr="00CE391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Zoals blijkt uit het </w:t>
      </w:r>
      <w:r w:rsidRPr="00CE3913">
        <w:rPr>
          <w:rFonts w:ascii="AZGCaspariT" w:eastAsia="Times New Roman" w:hAnsi="AZGCaspariT" w:cs="Arial"/>
          <w:bCs/>
          <w:kern w:val="0"/>
          <w:sz w:val="18"/>
          <w:szCs w:val="18"/>
          <w:u w:val="single"/>
          <w:lang w:eastAsia="nl-NL"/>
          <w14:ligatures w14:val="none"/>
        </w:rPr>
        <w:t>bijgevoegde bewijsstuk</w:t>
      </w:r>
      <w:r w:rsidRPr="00CE391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 voldoet </w:t>
      </w:r>
      <w:r w:rsidRPr="00CE391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>de Derde</w:t>
      </w:r>
      <w:r w:rsidRPr="00CE391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 alleen of gezamenlijk met </w:t>
      </w:r>
      <w:r w:rsidRPr="00CE391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>de Inschrijver</w:t>
      </w:r>
      <w:r w:rsidRPr="00CE391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 aan deze eis;</w:t>
      </w:r>
    </w:p>
    <w:p w14:paraId="079BD12C" w14:textId="77777777" w:rsidR="009D7AEA" w:rsidRPr="00CE3913" w:rsidRDefault="009D7AEA" w:rsidP="009D7AEA">
      <w:pPr>
        <w:numPr>
          <w:ilvl w:val="0"/>
          <w:numId w:val="1"/>
        </w:numPr>
        <w:spacing w:after="120" w:line="240" w:lineRule="auto"/>
        <w:ind w:left="357"/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</w:pPr>
      <w:r w:rsidRPr="00CE391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Bij gunning van de </w:t>
      </w:r>
      <w:r w:rsidRPr="00CE391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 xml:space="preserve">Overeenkomst </w:t>
      </w:r>
      <w:r w:rsidRPr="00CE391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aan </w:t>
      </w:r>
      <w:r w:rsidRPr="00CE391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 xml:space="preserve">de Inschrijver </w:t>
      </w:r>
      <w:r w:rsidRPr="00CE391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kan </w:t>
      </w:r>
      <w:r w:rsidRPr="00CE391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 xml:space="preserve">hij </w:t>
      </w:r>
      <w:r w:rsidRPr="00CE391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gedurende de gehele looptijd van de </w:t>
      </w:r>
      <w:r w:rsidRPr="00CE391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>Overeenkomst</w:t>
      </w:r>
      <w:r w:rsidRPr="00CE391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 op eerste verzoek vrijelijk beschikken over de voor de uitvoering van de </w:t>
      </w:r>
      <w:r w:rsidRPr="00CE391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>Overeenkomst</w:t>
      </w:r>
      <w:r w:rsidRPr="00CE391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 noodzakelijke middelen van </w:t>
      </w:r>
      <w:r w:rsidRPr="00CE391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>de Derde;</w:t>
      </w:r>
    </w:p>
    <w:p w14:paraId="7FB43A8E" w14:textId="77777777" w:rsidR="009D7AEA" w:rsidRPr="00CE3913" w:rsidRDefault="009D7AEA" w:rsidP="009D7AEA">
      <w:pPr>
        <w:numPr>
          <w:ilvl w:val="0"/>
          <w:numId w:val="1"/>
        </w:numPr>
        <w:spacing w:after="120" w:line="240" w:lineRule="auto"/>
        <w:ind w:left="357"/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</w:pPr>
      <w:r w:rsidRPr="00CE391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Bij gunning van de </w:t>
      </w:r>
      <w:r w:rsidRPr="00CE391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 xml:space="preserve">Overeenkomst </w:t>
      </w:r>
      <w:r w:rsidRPr="00CE391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aan </w:t>
      </w:r>
      <w:r w:rsidRPr="00CE391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 xml:space="preserve">de Inschrijver </w:t>
      </w:r>
      <w:r w:rsidRPr="00CE391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stelt de </w:t>
      </w:r>
      <w:r w:rsidRPr="00CE391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 xml:space="preserve">Derde </w:t>
      </w:r>
      <w:r w:rsidRPr="00CE391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zich jegens de Opdrachtgever volledig en onvoorwaardelijk garant voor de nakoming van de verplichtingen die voortvloeien uit de </w:t>
      </w:r>
      <w:r w:rsidRPr="00CE391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>Overeenkomst</w:t>
      </w:r>
      <w:r w:rsidRPr="00CE391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. In het geval een beroep wordt gedaan op de gegevens van de holding- of moedermaatschappij en een zogenaamde 2:403-verklaring beschikbaar is, dient deze bij deze Bijlage te worden gevoegd. </w:t>
      </w:r>
    </w:p>
    <w:p w14:paraId="403754EB" w14:textId="77777777" w:rsidR="009D7AEA" w:rsidRPr="00CE3913" w:rsidRDefault="009D7AEA" w:rsidP="009D7AEA">
      <w:pPr>
        <w:spacing w:after="0" w:line="240" w:lineRule="auto"/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</w:pPr>
    </w:p>
    <w:p w14:paraId="25C1949D" w14:textId="77777777" w:rsidR="009D7AEA" w:rsidRPr="00CE3913" w:rsidRDefault="009D7AEA" w:rsidP="009D7AEA">
      <w:pPr>
        <w:spacing w:after="120" w:line="240" w:lineRule="auto"/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</w:pPr>
      <w:r w:rsidRPr="00CE391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De Inschrijver en de Derde verklaren door ondertekening van het Uniform Europees Aanbestedingsdocument (UEA) dat zij deze verklaring naar waarheid hebben ingevuld. </w:t>
      </w:r>
    </w:p>
    <w:p w14:paraId="0E6F0B54" w14:textId="77777777" w:rsidR="009D7AEA" w:rsidRPr="00CE3913" w:rsidRDefault="009D7AEA" w:rsidP="009D7AEA">
      <w:pPr>
        <w:spacing w:after="0" w:line="240" w:lineRule="auto"/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</w:pPr>
    </w:p>
    <w:p w14:paraId="55124325" w14:textId="77777777" w:rsidR="009D7AEA" w:rsidRPr="00CE3913" w:rsidRDefault="009D7AEA" w:rsidP="009D7AEA">
      <w:pPr>
        <w:spacing w:after="120" w:line="240" w:lineRule="auto"/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</w:pPr>
      <w:r w:rsidRPr="00CE391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De Aanbestedende dienst behoudt zich het recht voor om overeenkomstig artikel 2.102 van de Aanbestedingswet 2012 aanvullende documentatie en inlichtingen op te vragen. </w:t>
      </w:r>
    </w:p>
    <w:p w14:paraId="38A6D409" w14:textId="77777777" w:rsidR="009D7AEA" w:rsidRPr="00CE3913" w:rsidRDefault="009D7AEA" w:rsidP="009D7AEA">
      <w:pPr>
        <w:spacing w:after="0" w:line="288" w:lineRule="auto"/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7AEA" w:rsidRPr="00CE3913" w14:paraId="18656D32" w14:textId="77777777" w:rsidTr="00C06162">
        <w:tc>
          <w:tcPr>
            <w:tcW w:w="9062" w:type="dxa"/>
          </w:tcPr>
          <w:p w14:paraId="73211ED4" w14:textId="77777777" w:rsidR="009D7AEA" w:rsidRPr="00CE3913" w:rsidRDefault="009D7AEA" w:rsidP="009D7AEA">
            <w:pPr>
              <w:rPr>
                <w:rFonts w:ascii="AZGCaspariT" w:eastAsia="Times New Roman" w:hAnsi="AZGCaspariT" w:cs="Arial"/>
                <w:b/>
                <w:sz w:val="18"/>
                <w:szCs w:val="18"/>
              </w:rPr>
            </w:pPr>
            <w:r w:rsidRPr="00CE3913">
              <w:rPr>
                <w:rFonts w:ascii="AZGCaspariT" w:eastAsia="Times New Roman" w:hAnsi="AZGCaspariT" w:cs="Arial"/>
                <w:b/>
                <w:sz w:val="18"/>
                <w:szCs w:val="18"/>
              </w:rPr>
              <w:t xml:space="preserve">Informatie voor de Inschrijver: </w:t>
            </w:r>
          </w:p>
          <w:p w14:paraId="58A8A8BE" w14:textId="77777777" w:rsidR="009D7AEA" w:rsidRPr="00CE3913" w:rsidRDefault="009D7AEA" w:rsidP="009D7AEA">
            <w:pPr>
              <w:numPr>
                <w:ilvl w:val="0"/>
                <w:numId w:val="2"/>
              </w:numPr>
              <w:rPr>
                <w:rFonts w:ascii="AZGCaspariT" w:eastAsia="Times New Roman" w:hAnsi="AZGCaspariT" w:cs="Arial"/>
                <w:bCs/>
                <w:sz w:val="18"/>
                <w:szCs w:val="18"/>
              </w:rPr>
            </w:pPr>
            <w:r w:rsidRPr="00CE3913">
              <w:rPr>
                <w:rFonts w:ascii="AZGCaspariT" w:eastAsia="Times New Roman" w:hAnsi="AZGCaspariT" w:cs="Arial"/>
                <w:bCs/>
                <w:sz w:val="18"/>
                <w:szCs w:val="18"/>
              </w:rPr>
              <w:t xml:space="preserve">Indien de Inschrijver een beroep doet op (een) Derde(n) om op die manier te kunnen voldoen aan de Geschiktheidseisen, dan dient de Inschrijver in Deel II C van het UEA hiervan melding te maken. </w:t>
            </w:r>
          </w:p>
          <w:p w14:paraId="595E796F" w14:textId="77777777" w:rsidR="009D7AEA" w:rsidRPr="00CE3913" w:rsidRDefault="009D7AEA" w:rsidP="009D7AEA">
            <w:pPr>
              <w:numPr>
                <w:ilvl w:val="0"/>
                <w:numId w:val="2"/>
              </w:numPr>
              <w:rPr>
                <w:rFonts w:ascii="AZGCaspariT" w:eastAsia="Times New Roman" w:hAnsi="AZGCaspariT" w:cs="Arial"/>
                <w:bCs/>
                <w:sz w:val="18"/>
                <w:szCs w:val="18"/>
              </w:rPr>
            </w:pPr>
            <w:r w:rsidRPr="00CE3913">
              <w:rPr>
                <w:rFonts w:ascii="AZGCaspariT" w:eastAsia="Times New Roman" w:hAnsi="AZGCaspariT" w:cs="Arial"/>
                <w:bCs/>
                <w:sz w:val="18"/>
                <w:szCs w:val="18"/>
              </w:rPr>
              <w:t>Elke betreffende Derde dient tevens een eigen UEA in te vullen (Deel II A en B en Deel III) en rechtsgeldig te ondertekenen.</w:t>
            </w:r>
          </w:p>
        </w:tc>
      </w:tr>
    </w:tbl>
    <w:p w14:paraId="061AD0CA" w14:textId="77777777" w:rsidR="009D7AEA" w:rsidRPr="00CE3913" w:rsidRDefault="009D7AEA" w:rsidP="009D7AEA">
      <w:pPr>
        <w:spacing w:after="200" w:line="240" w:lineRule="atLeast"/>
        <w:rPr>
          <w:rFonts w:ascii="AZGCaspariT" w:eastAsia="Calibri" w:hAnsi="AZGCaspariT" w:cs="Arial"/>
          <w:bCs/>
          <w:iCs/>
          <w:color w:val="3366FF"/>
          <w:kern w:val="0"/>
          <w:sz w:val="16"/>
          <w:szCs w:val="16"/>
          <w14:ligatures w14:val="none"/>
        </w:rPr>
      </w:pPr>
    </w:p>
    <w:p w14:paraId="3505ADAC" w14:textId="45B69112" w:rsidR="009D7AEA" w:rsidRPr="00CE3913" w:rsidRDefault="009D7AEA" w:rsidP="00CE3913">
      <w:pPr>
        <w:spacing w:after="200" w:line="276" w:lineRule="auto"/>
        <w:rPr>
          <w:rFonts w:ascii="AZGCaspariT" w:eastAsia="Calibri" w:hAnsi="AZGCaspariT" w:cs="Arial"/>
          <w:bCs/>
          <w:iCs/>
          <w:color w:val="3366FF"/>
          <w:kern w:val="0"/>
          <w:sz w:val="16"/>
          <w:szCs w:val="16"/>
          <w14:ligatures w14:val="none"/>
        </w:rPr>
      </w:pPr>
    </w:p>
    <w:sectPr w:rsidR="009D7AEA" w:rsidRPr="00CE3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ZGCaspariT">
    <w:panose1 w:val="02000503040000020003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A61C6"/>
    <w:multiLevelType w:val="hybridMultilevel"/>
    <w:tmpl w:val="6A06C5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291619">
    <w:abstractNumId w:val="1"/>
  </w:num>
  <w:num w:numId="2" w16cid:durableId="82177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EA"/>
    <w:rsid w:val="00467C1B"/>
    <w:rsid w:val="009D7AEA"/>
    <w:rsid w:val="009F54E1"/>
    <w:rsid w:val="00C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397C"/>
  <w15:chartTrackingRefBased/>
  <w15:docId w15:val="{BBBFC99C-3C03-4C5C-A4D5-C50BEEC3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7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7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7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7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7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7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7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7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7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7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7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7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7AE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7AE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7A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7A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7A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7A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7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7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7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7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7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7A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7A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7AE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7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7AE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7AE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rsid w:val="009D7AEA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Gringhuis, BHJ</dc:creator>
  <cp:keywords/>
  <dc:description/>
  <cp:lastModifiedBy>Gringhuis, BHJ</cp:lastModifiedBy>
  <cp:revision>2</cp:revision>
  <dcterms:created xsi:type="dcterms:W3CDTF">2026-03-12T10:36:00Z</dcterms:created>
  <dcterms:modified xsi:type="dcterms:W3CDTF">2026-03-12T10:36:00Z</dcterms:modified>
</cp:coreProperties>
</file>