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74F4" w14:textId="77777777" w:rsidR="00834335" w:rsidRPr="005D420F" w:rsidRDefault="00834335" w:rsidP="005D420F">
      <w:pPr>
        <w:spacing w:after="0"/>
        <w:rPr>
          <w:b/>
          <w:bCs/>
        </w:rPr>
      </w:pPr>
      <w:r w:rsidRPr="005D420F">
        <w:rPr>
          <w:b/>
          <w:bCs/>
        </w:rPr>
        <w:t>ONDERGETEKENDEN:</w:t>
      </w:r>
    </w:p>
    <w:p w14:paraId="7B712464" w14:textId="77777777" w:rsidR="005D420F" w:rsidRDefault="005D420F" w:rsidP="005D420F">
      <w:pPr>
        <w:spacing w:after="0"/>
      </w:pPr>
    </w:p>
    <w:p w14:paraId="03FD6FF3" w14:textId="163B4921" w:rsidR="00834335" w:rsidRDefault="00834335" w:rsidP="005D420F">
      <w:pPr>
        <w:spacing w:after="0"/>
      </w:pPr>
      <w:r>
        <w:t xml:space="preserve">Opdrachtgever </w:t>
      </w:r>
      <w:proofErr w:type="gramStart"/>
      <w:r>
        <w:t>gemeente ,</w:t>
      </w:r>
      <w:proofErr w:type="gramEnd"/>
      <w:r>
        <w:t xml:space="preserve"> hierna verder te noemen: 'Opdrachtgever'</w:t>
      </w:r>
    </w:p>
    <w:p w14:paraId="2CBC7B0F" w14:textId="77777777" w:rsidR="00834335" w:rsidRDefault="00834335" w:rsidP="005D420F">
      <w:pPr>
        <w:spacing w:after="0"/>
      </w:pPr>
      <w:proofErr w:type="gramStart"/>
      <w:r>
        <w:t>en</w:t>
      </w:r>
      <w:proofErr w:type="gramEnd"/>
    </w:p>
    <w:p w14:paraId="55C9AC00" w14:textId="77777777" w:rsidR="00834335" w:rsidRDefault="00834335" w:rsidP="005D420F">
      <w:pPr>
        <w:spacing w:after="0"/>
      </w:pPr>
      <w:r>
        <w:t>[</w:t>
      </w:r>
      <w:proofErr w:type="gramStart"/>
      <w:r>
        <w:t>naam</w:t>
      </w:r>
      <w:proofErr w:type="gramEnd"/>
      <w:r>
        <w:t xml:space="preserve"> Opdrachtnemer</w:t>
      </w:r>
      <w:proofErr w:type="gramStart"/>
      <w:r>
        <w:t>] ,</w:t>
      </w:r>
      <w:proofErr w:type="gramEnd"/>
      <w:r>
        <w:t xml:space="preserve"> hierna verder te noemen: 'Opdrachtnemer'</w:t>
      </w:r>
    </w:p>
    <w:p w14:paraId="178F2070" w14:textId="77777777" w:rsidR="00834335" w:rsidRDefault="00834335" w:rsidP="005D420F">
      <w:pPr>
        <w:spacing w:after="0"/>
      </w:pPr>
      <w:r>
        <w:t>[...],</w:t>
      </w:r>
    </w:p>
    <w:p w14:paraId="68DC3856" w14:textId="77777777" w:rsidR="00834335" w:rsidRDefault="00834335" w:rsidP="005D420F">
      <w:pPr>
        <w:spacing w:after="0"/>
      </w:pPr>
      <w:proofErr w:type="gramStart"/>
      <w:r>
        <w:t>hierna</w:t>
      </w:r>
      <w:proofErr w:type="gramEnd"/>
      <w:r>
        <w:t xml:space="preserve"> verder gezamenlijk te noemen: 'Opdrachtnemer'</w:t>
      </w:r>
    </w:p>
    <w:p w14:paraId="11B648E1" w14:textId="77777777" w:rsidR="00834335" w:rsidRDefault="00834335" w:rsidP="005D420F">
      <w:pPr>
        <w:spacing w:after="0"/>
      </w:pPr>
    </w:p>
    <w:p w14:paraId="636A184D" w14:textId="60AE1707" w:rsidR="00834335" w:rsidRDefault="00834335" w:rsidP="005D420F">
      <w:pPr>
        <w:spacing w:after="0"/>
      </w:pPr>
      <w:r>
        <w:t>Opdrachtgever en Opdrachtnemer gezamenlijk hierna ook te noemen: ‘Partijen’, en ieder afzonderlijk: ‘Partij’,</w:t>
      </w:r>
    </w:p>
    <w:p w14:paraId="783332BD" w14:textId="77777777" w:rsidR="00834335" w:rsidRDefault="00834335" w:rsidP="005D420F">
      <w:pPr>
        <w:spacing w:after="0"/>
      </w:pPr>
      <w:r>
        <w:t>Verklaren het volgende te zijn overeengekomen:</w:t>
      </w:r>
    </w:p>
    <w:p w14:paraId="2543E8E0" w14:textId="77777777" w:rsidR="005D420F" w:rsidRDefault="005D420F" w:rsidP="005D420F">
      <w:pPr>
        <w:spacing w:after="0"/>
      </w:pPr>
    </w:p>
    <w:p w14:paraId="5F2E64A9" w14:textId="6F22CDF3" w:rsidR="00834335" w:rsidRPr="005D420F" w:rsidRDefault="00834335" w:rsidP="005D420F">
      <w:pPr>
        <w:spacing w:after="0"/>
        <w:rPr>
          <w:b/>
          <w:bCs/>
        </w:rPr>
      </w:pPr>
      <w:r w:rsidRPr="005D420F">
        <w:rPr>
          <w:b/>
          <w:bCs/>
        </w:rPr>
        <w:t>OVERWEGENDE DAT:</w:t>
      </w:r>
    </w:p>
    <w:p w14:paraId="11D885BB" w14:textId="6ACD617D" w:rsidR="00834335" w:rsidRDefault="00834335" w:rsidP="005D420F">
      <w:pPr>
        <w:pStyle w:val="Lijstalinea"/>
        <w:numPr>
          <w:ilvl w:val="0"/>
          <w:numId w:val="3"/>
        </w:numPr>
        <w:spacing w:after="0"/>
      </w:pPr>
      <w:r>
        <w:t xml:space="preserve">Opdrachtgever heeft aan Opdrachtnemer de Opdracht gegund </w:t>
      </w:r>
      <w:proofErr w:type="gramStart"/>
      <w:r>
        <w:t>inzake</w:t>
      </w:r>
      <w:proofErr w:type="gramEnd"/>
      <w:r>
        <w:t xml:space="preserve"> accountantsdiensten.</w:t>
      </w:r>
    </w:p>
    <w:p w14:paraId="3A8F24B6" w14:textId="6623A26D" w:rsidR="00834335" w:rsidRDefault="00834335" w:rsidP="005D420F">
      <w:pPr>
        <w:pStyle w:val="Lijstalinea"/>
        <w:numPr>
          <w:ilvl w:val="0"/>
          <w:numId w:val="3"/>
        </w:numPr>
        <w:spacing w:after="0"/>
      </w:pPr>
      <w:r>
        <w:t xml:space="preserve">Ter zake een Aanbestedingsleidraad geldt die als </w:t>
      </w:r>
      <w:proofErr w:type="gramStart"/>
      <w:r>
        <w:t>Bijlage  (</w:t>
      </w:r>
      <w:proofErr w:type="gramEnd"/>
      <w:r>
        <w:t>Aanbestedingsleidraad, inclusief alle bijlagen) bij de Overeenkomst is gevoegd.</w:t>
      </w:r>
    </w:p>
    <w:p w14:paraId="2080226D" w14:textId="612C4BC1" w:rsidR="00834335" w:rsidRDefault="00834335" w:rsidP="005D420F">
      <w:pPr>
        <w:pStyle w:val="Lijstalinea"/>
        <w:numPr>
          <w:ilvl w:val="0"/>
          <w:numId w:val="3"/>
        </w:numPr>
        <w:spacing w:after="0"/>
      </w:pPr>
      <w:r>
        <w:t xml:space="preserve">Opdrachtnemer heeft ingeschreven op de Opdracht en Opdrachtgever heeft de Opdracht aan Opdrachtnemer gegund, hieromtrent overeenstemming bereikt en </w:t>
      </w:r>
      <w:proofErr w:type="gramStart"/>
      <w:r>
        <w:t>thans</w:t>
      </w:r>
      <w:proofErr w:type="gramEnd"/>
      <w:r>
        <w:t xml:space="preserve"> wordt door partijen deze Overeenkomst aangegaan.</w:t>
      </w:r>
    </w:p>
    <w:p w14:paraId="37805112" w14:textId="77777777" w:rsidR="00834335" w:rsidRDefault="00834335" w:rsidP="005D420F">
      <w:pPr>
        <w:spacing w:after="0"/>
      </w:pPr>
    </w:p>
    <w:p w14:paraId="6EB56DEF" w14:textId="763056D6" w:rsidR="00834335" w:rsidRPr="005D420F" w:rsidRDefault="00834335" w:rsidP="005D420F">
      <w:pPr>
        <w:spacing w:after="0"/>
        <w:rPr>
          <w:b/>
          <w:bCs/>
        </w:rPr>
      </w:pPr>
      <w:r w:rsidRPr="005D420F">
        <w:rPr>
          <w:b/>
          <w:bCs/>
        </w:rPr>
        <w:t>KOMEN OVEREEN:</w:t>
      </w:r>
    </w:p>
    <w:p w14:paraId="41476ED2" w14:textId="77777777" w:rsidR="00834335" w:rsidRDefault="00834335" w:rsidP="005D420F">
      <w:pPr>
        <w:spacing w:after="0"/>
      </w:pPr>
      <w:r>
        <w:t>1.</w:t>
      </w:r>
      <w:r>
        <w:tab/>
        <w:t>Opdracht</w:t>
      </w:r>
    </w:p>
    <w:p w14:paraId="6C735803" w14:textId="77777777" w:rsidR="00834335" w:rsidRDefault="00834335" w:rsidP="005D420F">
      <w:pPr>
        <w:spacing w:after="0"/>
      </w:pPr>
      <w:r>
        <w:t>1.1.</w:t>
      </w:r>
      <w:r>
        <w:tab/>
        <w:t>Definities</w:t>
      </w:r>
    </w:p>
    <w:p w14:paraId="2004503F" w14:textId="77777777" w:rsidR="00834335" w:rsidRDefault="00834335" w:rsidP="005D420F">
      <w:pPr>
        <w:spacing w:after="0"/>
      </w:pPr>
      <w:r>
        <w:t>1.</w:t>
      </w:r>
      <w:r>
        <w:tab/>
        <w:t xml:space="preserve">Aanbestedingsleidraad: </w:t>
      </w:r>
      <w:proofErr w:type="gramStart"/>
      <w:r>
        <w:t>Bijlage  bij</w:t>
      </w:r>
      <w:proofErr w:type="gramEnd"/>
      <w:r>
        <w:t xml:space="preserve"> de Overeenkomst</w:t>
      </w:r>
    </w:p>
    <w:p w14:paraId="60873CC1" w14:textId="77777777" w:rsidR="00834335" w:rsidRDefault="00834335" w:rsidP="005D420F">
      <w:pPr>
        <w:spacing w:after="0"/>
      </w:pPr>
      <w:r>
        <w:t>2.</w:t>
      </w:r>
      <w:r>
        <w:tab/>
        <w:t>Bijlagen: alle bijlagen bij de Overeenkomst</w:t>
      </w:r>
    </w:p>
    <w:p w14:paraId="3F3296F9" w14:textId="77777777" w:rsidR="00834335" w:rsidRDefault="00834335" w:rsidP="005D420F">
      <w:pPr>
        <w:spacing w:after="0"/>
      </w:pPr>
      <w:r>
        <w:t>3.</w:t>
      </w:r>
      <w:r>
        <w:tab/>
        <w:t xml:space="preserve">Opdracht: de opdracht bedoeld in artikel 1.3. </w:t>
      </w:r>
      <w:proofErr w:type="gramStart"/>
      <w:r>
        <w:t>lid</w:t>
      </w:r>
      <w:proofErr w:type="gramEnd"/>
      <w:r>
        <w:t xml:space="preserve"> 1 van de Overeenkomst</w:t>
      </w:r>
    </w:p>
    <w:p w14:paraId="12D6A6A7" w14:textId="1818F2C4" w:rsidR="00834335" w:rsidRDefault="00834335" w:rsidP="009C3950">
      <w:pPr>
        <w:tabs>
          <w:tab w:val="left" w:pos="708"/>
          <w:tab w:val="left" w:pos="1416"/>
          <w:tab w:val="left" w:pos="2124"/>
          <w:tab w:val="left" w:pos="2832"/>
          <w:tab w:val="left" w:pos="3540"/>
          <w:tab w:val="left" w:pos="5403"/>
        </w:tabs>
        <w:spacing w:after="0"/>
      </w:pPr>
      <w:r>
        <w:t>4.</w:t>
      </w:r>
      <w:r>
        <w:tab/>
        <w:t>Overeenkomst: deze overeenkomst</w:t>
      </w:r>
      <w:r w:rsidR="009C3950">
        <w:tab/>
      </w:r>
    </w:p>
    <w:p w14:paraId="4FC40020" w14:textId="77777777" w:rsidR="00834335" w:rsidRDefault="00834335" w:rsidP="005D420F">
      <w:pPr>
        <w:spacing w:after="0"/>
      </w:pPr>
      <w:r>
        <w:t xml:space="preserve"> </w:t>
      </w:r>
    </w:p>
    <w:p w14:paraId="2D45B2F4" w14:textId="77777777" w:rsidR="00834335" w:rsidRDefault="00834335" w:rsidP="005D420F">
      <w:pPr>
        <w:spacing w:after="0"/>
      </w:pPr>
      <w:r>
        <w:t>1.2.</w:t>
      </w:r>
      <w:r>
        <w:tab/>
        <w:t>Bijlagen</w:t>
      </w:r>
    </w:p>
    <w:p w14:paraId="65EF009F" w14:textId="77777777" w:rsidR="00834335" w:rsidRDefault="00834335" w:rsidP="005D420F">
      <w:pPr>
        <w:spacing w:after="0"/>
      </w:pPr>
      <w:r>
        <w:t>1.</w:t>
      </w:r>
      <w:r>
        <w:tab/>
        <w:t>(Eventuele) Nota(s) van inlichtingen;</w:t>
      </w:r>
    </w:p>
    <w:p w14:paraId="1CF7C6A1" w14:textId="77777777" w:rsidR="00834335" w:rsidRDefault="00834335" w:rsidP="005D420F">
      <w:pPr>
        <w:spacing w:after="0"/>
      </w:pPr>
      <w:r>
        <w:t>2.</w:t>
      </w:r>
      <w:r>
        <w:tab/>
        <w:t>Aanbestedingsleidraad, inclusief alle bijlagen;</w:t>
      </w:r>
    </w:p>
    <w:p w14:paraId="688BD36C" w14:textId="77777777" w:rsidR="00834335" w:rsidRDefault="00834335" w:rsidP="005D420F">
      <w:pPr>
        <w:spacing w:after="0"/>
      </w:pPr>
      <w:r>
        <w:t>3.</w:t>
      </w:r>
      <w:r>
        <w:tab/>
        <w:t>Algemene inkoopvoorwaarden;</w:t>
      </w:r>
    </w:p>
    <w:p w14:paraId="573AB445" w14:textId="77777777" w:rsidR="00834335" w:rsidRDefault="00834335" w:rsidP="005D420F">
      <w:pPr>
        <w:spacing w:after="0"/>
      </w:pPr>
      <w:r>
        <w:t>4.</w:t>
      </w:r>
      <w:r>
        <w:tab/>
        <w:t>Inschrijving Opdrachtnemer;</w:t>
      </w:r>
    </w:p>
    <w:p w14:paraId="02229356" w14:textId="77777777" w:rsidR="00834335" w:rsidRDefault="00834335" w:rsidP="005D420F">
      <w:pPr>
        <w:spacing w:after="0"/>
      </w:pPr>
      <w:r>
        <w:t>1.3.</w:t>
      </w:r>
      <w:r>
        <w:tab/>
        <w:t>Scope Opdracht</w:t>
      </w:r>
    </w:p>
    <w:p w14:paraId="7A4CEFFB" w14:textId="77777777" w:rsidR="00834335" w:rsidRDefault="00834335" w:rsidP="005D420F">
      <w:pPr>
        <w:spacing w:after="0"/>
      </w:pPr>
    </w:p>
    <w:p w14:paraId="037AFCAC" w14:textId="50B2E6CC" w:rsidR="00834335" w:rsidRDefault="00834335" w:rsidP="00870F79">
      <w:pPr>
        <w:spacing w:after="0"/>
        <w:ind w:left="703" w:hanging="703"/>
      </w:pPr>
      <w:r>
        <w:t>1.</w:t>
      </w:r>
      <w:r>
        <w:tab/>
        <w:t xml:space="preserve">Opdrachtgever geeft Opdrachtnemer opdracht, welke deze Opdracht aanvaardt, tot het verrichten van accountantsdiensten ten behoeve van de </w:t>
      </w:r>
      <w:proofErr w:type="gramStart"/>
      <w:r>
        <w:t>gemeente .</w:t>
      </w:r>
      <w:proofErr w:type="gramEnd"/>
      <w:r>
        <w:t xml:space="preserve"> De scope van deze dienstverlening blijkt uit de Aanbestedingsleidraad, inclusief alle bijlagen.</w:t>
      </w:r>
    </w:p>
    <w:p w14:paraId="203C0F55" w14:textId="77777777" w:rsidR="00834335" w:rsidRDefault="00834335" w:rsidP="00870F79">
      <w:pPr>
        <w:spacing w:after="0"/>
        <w:ind w:left="703" w:hanging="703"/>
      </w:pPr>
      <w:r>
        <w:t>2.</w:t>
      </w:r>
      <w:r>
        <w:tab/>
        <w:t xml:space="preserve">De voorwaarden van deze Overeenkomst zijn van toepassing op alle werkzaamheden die tijdens de looptijd van deze Overeenkomst door Opdrachtnemer worden uitgevoerd met betrekking tot het verrichten van accountantsdiensten. Deze Overeenkomst is </w:t>
      </w:r>
      <w:proofErr w:type="gramStart"/>
      <w:r>
        <w:t>tevens</w:t>
      </w:r>
      <w:proofErr w:type="gramEnd"/>
      <w:r>
        <w:t xml:space="preserve"> van toepassing op incidentele opdrachten die tijdens de looptijd van deze Overeenkomst tussen partijen worden overeengekomen.</w:t>
      </w:r>
    </w:p>
    <w:p w14:paraId="3B24E6DE" w14:textId="796C252E" w:rsidR="00834335" w:rsidRDefault="00834335" w:rsidP="00FB418B">
      <w:pPr>
        <w:spacing w:after="0"/>
        <w:ind w:left="703" w:hanging="703"/>
      </w:pPr>
      <w:r>
        <w:t xml:space="preserve">2.3. </w:t>
      </w:r>
      <w:r w:rsidR="00FB418B">
        <w:tab/>
      </w:r>
      <w:r>
        <w:t xml:space="preserve">Opdrachtgever kan advieswerkzaamheden aan Opdrachtnemer verstrekken. Opdrachtnemer kan een adviesdienst weigeren in geval Opdrachtnemer aan de adviesdienst geen gevolg wil of kan geven, omdat de adviesdienst een bedreiging vormt voor de onafhankelijkheid, </w:t>
      </w:r>
      <w:proofErr w:type="gramStart"/>
      <w:r>
        <w:t>zoals  omschreven</w:t>
      </w:r>
      <w:proofErr w:type="gramEnd"/>
      <w:r>
        <w:t xml:space="preserve"> in de Vio, bij de uitvoering van de auditdiensten. Er zal te allen tijde </w:t>
      </w:r>
      <w:proofErr w:type="gramStart"/>
      <w:r>
        <w:t>een  constructieve</w:t>
      </w:r>
      <w:proofErr w:type="gramEnd"/>
      <w:r>
        <w:t xml:space="preserve"> dialoog plaatsvinden tussen partijen over een duidelijke afbakening van </w:t>
      </w:r>
      <w:proofErr w:type="gramStart"/>
      <w:r>
        <w:t>de  werkzaamheden</w:t>
      </w:r>
      <w:proofErr w:type="gramEnd"/>
      <w:r>
        <w:t xml:space="preserve"> </w:t>
      </w:r>
      <w:proofErr w:type="gramStart"/>
      <w:r>
        <w:t>teneinde</w:t>
      </w:r>
      <w:proofErr w:type="gramEnd"/>
      <w:r>
        <w:t xml:space="preserve"> zoveel mogelijk te voorkomen dat adviesopdrachten </w:t>
      </w:r>
      <w:proofErr w:type="gramStart"/>
      <w:r>
        <w:t>worden  geweigerd</w:t>
      </w:r>
      <w:proofErr w:type="gramEnd"/>
      <w:r>
        <w:t xml:space="preserve">. </w:t>
      </w:r>
    </w:p>
    <w:p w14:paraId="11B9A9AE" w14:textId="4A1A98FE" w:rsidR="00834335" w:rsidRDefault="00834335" w:rsidP="00FB418B">
      <w:pPr>
        <w:spacing w:after="0"/>
        <w:ind w:left="703" w:hanging="703"/>
      </w:pPr>
      <w:r>
        <w:t xml:space="preserve">3.  </w:t>
      </w:r>
      <w:r w:rsidR="00FB418B">
        <w:tab/>
      </w:r>
      <w:r>
        <w:t xml:space="preserve">De bepalingen van deze Overeenkomst hebben volledige gelding, </w:t>
      </w:r>
      <w:proofErr w:type="gramStart"/>
      <w:r>
        <w:t>behoudens</w:t>
      </w:r>
      <w:proofErr w:type="gramEnd"/>
      <w:r>
        <w:t xml:space="preserve"> en voor zover in een door beide partijen te ondertekenen addendum uitdrukkelijk op grond van bijzondere omstandigheden schriftelijk van deze Overeenkomst wordt afgeweken.</w:t>
      </w:r>
    </w:p>
    <w:p w14:paraId="1AAF3DE6" w14:textId="2706C75A" w:rsidR="00834335" w:rsidRDefault="00834335" w:rsidP="005D420F">
      <w:pPr>
        <w:spacing w:after="0"/>
      </w:pPr>
      <w:r>
        <w:t xml:space="preserve">4.  </w:t>
      </w:r>
      <w:r w:rsidR="00FB418B">
        <w:tab/>
      </w:r>
      <w:r>
        <w:t>De Overeenkomst zal door Opdrachtnemer worden uitgevoerd met inachtneming van:</w:t>
      </w:r>
    </w:p>
    <w:p w14:paraId="4FE6512F" w14:textId="77777777" w:rsidR="00834335" w:rsidRDefault="00834335" w:rsidP="00FB418B">
      <w:pPr>
        <w:spacing w:after="0"/>
        <w:ind w:left="703"/>
      </w:pPr>
      <w:r>
        <w:t>(a)</w:t>
      </w:r>
      <w:r>
        <w:tab/>
        <w:t xml:space="preserve">de voor Opdrachtnemer als accountantsorganisatie als bedoeld in de </w:t>
      </w:r>
      <w:proofErr w:type="spellStart"/>
      <w:r>
        <w:t>Wta</w:t>
      </w:r>
      <w:proofErr w:type="spellEnd"/>
      <w:r>
        <w:t xml:space="preserve"> geldende </w:t>
      </w:r>
      <w:proofErr w:type="spellStart"/>
      <w:r>
        <w:t>wet-en</w:t>
      </w:r>
      <w:proofErr w:type="spellEnd"/>
      <w:r>
        <w:t xml:space="preserve"> regelgeving, en/of</w:t>
      </w:r>
    </w:p>
    <w:p w14:paraId="51C54D7E" w14:textId="77777777" w:rsidR="00834335" w:rsidRDefault="00834335" w:rsidP="00FB418B">
      <w:pPr>
        <w:spacing w:after="0"/>
        <w:ind w:left="703" w:hanging="703"/>
      </w:pPr>
      <w:r>
        <w:lastRenderedPageBreak/>
        <w:t>(b)</w:t>
      </w:r>
      <w:r>
        <w:tab/>
        <w:t>de voor de bij de uitvoering van de Opdracht betrokken beroepsbeoefenaren geldende wet- en regelgeving, daaronder begrepen de voor hen geldende gedrags- en beroepsregels. Opdrachtnemer is nimmer gehouden tot enig handelen of nalaten dat met de hiervoor bedoelde wet- en regelgeving strijdig of onverenigbaar is</w:t>
      </w:r>
    </w:p>
    <w:p w14:paraId="193AB750" w14:textId="77777777" w:rsidR="00834335" w:rsidRDefault="00834335" w:rsidP="00FB418B">
      <w:pPr>
        <w:spacing w:after="0"/>
        <w:ind w:left="703" w:hanging="703"/>
      </w:pPr>
      <w:r>
        <w:t>6.</w:t>
      </w:r>
      <w:r>
        <w:tab/>
        <w:t xml:space="preserve">Op de uitvoering van de Opdracht zijn de Algemene inkoopvoorwaarden 2022 van </w:t>
      </w:r>
      <w:proofErr w:type="gramStart"/>
      <w:r>
        <w:t>gemeente  voor</w:t>
      </w:r>
      <w:proofErr w:type="gramEnd"/>
      <w:r>
        <w:t xml:space="preserve"> leveringen en diensten van toepassing. De algemene verkoopvoorwaarden, branchevoorwaarden of enige andere set van voorwaarden van de Opdrachtnemer worden geacht door de Opdrachtgever uitdrukkelijk van de hand gewezen te zijn en deze kunnen </w:t>
      </w:r>
      <w:proofErr w:type="gramStart"/>
      <w:r>
        <w:t>behoudens</w:t>
      </w:r>
      <w:proofErr w:type="gramEnd"/>
      <w:r>
        <w:t xml:space="preserve"> uitdrukkelijke schriftelijke aanvaarding door de Opdrachtgever niet tijdens de uitvoering van de Overeenkomst alsnog van toepassing worden. De algemene inkoopvoorwaarden 2022 van </w:t>
      </w:r>
      <w:proofErr w:type="gramStart"/>
      <w:r>
        <w:t>gemeente  voor</w:t>
      </w:r>
      <w:proofErr w:type="gramEnd"/>
      <w:r>
        <w:t xml:space="preserve"> leveringen en diensten zijn bijgevoegd als Bijlage C.</w:t>
      </w:r>
    </w:p>
    <w:p w14:paraId="7C97380C" w14:textId="77777777" w:rsidR="00834335" w:rsidRDefault="00834335" w:rsidP="005D420F">
      <w:pPr>
        <w:spacing w:after="0"/>
      </w:pPr>
      <w:r>
        <w:t xml:space="preserve"> </w:t>
      </w:r>
    </w:p>
    <w:p w14:paraId="055E0B12" w14:textId="7A0A4EA0" w:rsidR="00462F90" w:rsidRDefault="00834335" w:rsidP="00FB418B">
      <w:pPr>
        <w:spacing w:after="0"/>
        <w:ind w:left="703" w:hanging="703"/>
      </w:pPr>
      <w:r>
        <w:t>7.</w:t>
      </w:r>
      <w:r>
        <w:tab/>
      </w:r>
      <w:r w:rsidR="00A538AE">
        <w:t>D</w:t>
      </w:r>
      <w:r>
        <w:t xml:space="preserve">e volgende afwijkingen </w:t>
      </w:r>
      <w:r w:rsidR="00A538AE">
        <w:t xml:space="preserve">zijn </w:t>
      </w:r>
      <w:r>
        <w:t xml:space="preserve">overeengekomen ten aanzien van de Algemene inkoopvoorwaarden van de gemeente. </w:t>
      </w:r>
    </w:p>
    <w:p w14:paraId="76014274" w14:textId="77777777" w:rsidR="00834335" w:rsidRDefault="00834335" w:rsidP="005D420F">
      <w:pPr>
        <w:spacing w:after="0"/>
      </w:pPr>
    </w:p>
    <w:p w14:paraId="5FA9B15C" w14:textId="1DEAEE3D" w:rsidR="00834335" w:rsidRPr="005D420F" w:rsidRDefault="00834335" w:rsidP="005D420F">
      <w:pPr>
        <w:spacing w:after="0"/>
        <w:rPr>
          <w:b/>
          <w:bCs/>
        </w:rPr>
      </w:pPr>
      <w:r w:rsidRPr="005D420F">
        <w:rPr>
          <w:b/>
          <w:bCs/>
        </w:rPr>
        <w:t>2</w:t>
      </w:r>
      <w:r w:rsidR="005D420F">
        <w:rPr>
          <w:b/>
          <w:bCs/>
        </w:rPr>
        <w:t xml:space="preserve">. </w:t>
      </w:r>
      <w:r w:rsidRPr="005D420F">
        <w:rPr>
          <w:b/>
          <w:bCs/>
        </w:rPr>
        <w:t>Informatie</w:t>
      </w:r>
    </w:p>
    <w:p w14:paraId="0C05F86E" w14:textId="37A470CC" w:rsidR="00834335" w:rsidRDefault="00834335" w:rsidP="005D420F">
      <w:pPr>
        <w:pStyle w:val="Lijstalinea"/>
        <w:numPr>
          <w:ilvl w:val="0"/>
          <w:numId w:val="5"/>
        </w:numPr>
        <w:spacing w:after="0"/>
      </w:pPr>
      <w:r>
        <w:t>Opdrachtnemer zal zich in voldoende mate op de hoogte stellen van de doelstellingen van Opdrachtgever met betrekking tot de in de Overeenkomst beschreven dienstverlening en de te dezen relevante organisatie van de Opdrachtgever. Opdrachtgever heeft Opdrachtnemer daartoe van voldoende en correcte informatie voorzien, en zal - desgewenst - opdrachtnemer verdere informatie verstrekken.</w:t>
      </w:r>
    </w:p>
    <w:p w14:paraId="470DD441" w14:textId="383E8E3A" w:rsidR="00834335" w:rsidRDefault="00834335" w:rsidP="005D420F">
      <w:pPr>
        <w:pStyle w:val="Lijstalinea"/>
        <w:numPr>
          <w:ilvl w:val="0"/>
          <w:numId w:val="5"/>
        </w:numPr>
        <w:spacing w:after="0"/>
      </w:pPr>
      <w:r>
        <w:t xml:space="preserve">Opdrachtgever zal Opdrachtnemer bovendien op diens verzoek alle informatie verstrekken, welke voor Opdrachtnemer noodzakelijk is voor een correcte uitvoering van de diensten. Opdrachtnemer mag uitgaan van de juistheid, volledigheid en betrouwbaarheid van de aan Opdrachtnemer verstrekte informatie, ook </w:t>
      </w:r>
      <w:proofErr w:type="gramStart"/>
      <w:r>
        <w:t>indien</w:t>
      </w:r>
      <w:proofErr w:type="gramEnd"/>
      <w:r>
        <w:t xml:space="preserve"> deze van derden afkomstig is.</w:t>
      </w:r>
    </w:p>
    <w:p w14:paraId="010B4F5B" w14:textId="77777777" w:rsidR="00834335" w:rsidRDefault="00834335" w:rsidP="005D420F">
      <w:pPr>
        <w:spacing w:after="0"/>
      </w:pPr>
    </w:p>
    <w:p w14:paraId="2ACB9891" w14:textId="357D4C7E" w:rsidR="00834335" w:rsidRPr="005D420F" w:rsidRDefault="00834335" w:rsidP="005D420F">
      <w:pPr>
        <w:spacing w:after="0"/>
        <w:rPr>
          <w:b/>
          <w:bCs/>
        </w:rPr>
      </w:pPr>
      <w:r w:rsidRPr="005D420F">
        <w:rPr>
          <w:b/>
          <w:bCs/>
        </w:rPr>
        <w:t>3.</w:t>
      </w:r>
      <w:r w:rsidR="005D420F" w:rsidRPr="005D420F">
        <w:rPr>
          <w:b/>
          <w:bCs/>
        </w:rPr>
        <w:t xml:space="preserve"> </w:t>
      </w:r>
      <w:r w:rsidRPr="005D420F">
        <w:rPr>
          <w:b/>
          <w:bCs/>
        </w:rPr>
        <w:t>Duur Overeenkomst</w:t>
      </w:r>
    </w:p>
    <w:p w14:paraId="5FA8BC54" w14:textId="18F8CD9B" w:rsidR="00834335" w:rsidRDefault="00834335" w:rsidP="005D420F">
      <w:pPr>
        <w:pStyle w:val="Lijstalinea"/>
        <w:numPr>
          <w:ilvl w:val="0"/>
          <w:numId w:val="7"/>
        </w:numPr>
        <w:spacing w:after="0"/>
      </w:pPr>
      <w:r>
        <w:t>Deze Overeenkomst gaat in op 20 maart17 april 2025 of het moment van definitief gunnen van de Opdracht, in het geval dit eerder of later zal zijn.</w:t>
      </w:r>
    </w:p>
    <w:p w14:paraId="674DD18F" w14:textId="57031F3D" w:rsidR="00834335" w:rsidRDefault="00834335" w:rsidP="005D420F">
      <w:pPr>
        <w:pStyle w:val="Lijstalinea"/>
        <w:numPr>
          <w:ilvl w:val="0"/>
          <w:numId w:val="7"/>
        </w:numPr>
        <w:spacing w:after="0"/>
      </w:pPr>
      <w:r>
        <w:t xml:space="preserve">De Overeenkomst heeft een initiële looptijd van vier (4) jaar, te weten van 20 maart17 </w:t>
      </w:r>
      <w:proofErr w:type="gramStart"/>
      <w:r>
        <w:t>april  2025</w:t>
      </w:r>
      <w:proofErr w:type="gramEnd"/>
      <w:r>
        <w:t xml:space="preserve"> tot en met 20 maart17 april 2029 en heeft betrekking op de boekjaren, 2025 tot en met 2028.</w:t>
      </w:r>
    </w:p>
    <w:p w14:paraId="79E11079" w14:textId="429BB548" w:rsidR="00834335" w:rsidRDefault="00834335" w:rsidP="005D420F">
      <w:pPr>
        <w:pStyle w:val="Lijstalinea"/>
        <w:numPr>
          <w:ilvl w:val="0"/>
          <w:numId w:val="7"/>
        </w:numPr>
        <w:spacing w:after="0"/>
      </w:pPr>
      <w:r>
        <w:t>De controlewerkzaamheden kunnen vanaf mei 2025 starten en eindigen met het opleveren van de jaarrekeningcontrole boekjaar 2028.</w:t>
      </w:r>
    </w:p>
    <w:p w14:paraId="2A84DC5D" w14:textId="77777777" w:rsidR="00834335" w:rsidRDefault="00834335" w:rsidP="005D420F">
      <w:pPr>
        <w:spacing w:after="0"/>
      </w:pPr>
    </w:p>
    <w:p w14:paraId="15389AFD" w14:textId="30A80DEE" w:rsidR="00834335" w:rsidRPr="005D420F" w:rsidRDefault="00834335" w:rsidP="005D420F">
      <w:pPr>
        <w:spacing w:after="0"/>
        <w:rPr>
          <w:b/>
          <w:bCs/>
        </w:rPr>
      </w:pPr>
      <w:r w:rsidRPr="005D420F">
        <w:rPr>
          <w:b/>
          <w:bCs/>
        </w:rPr>
        <w:t>4</w:t>
      </w:r>
      <w:r w:rsidR="005D420F">
        <w:rPr>
          <w:b/>
          <w:bCs/>
        </w:rPr>
        <w:t>.</w:t>
      </w:r>
      <w:r w:rsidR="005D420F" w:rsidRPr="005D420F">
        <w:rPr>
          <w:b/>
          <w:bCs/>
        </w:rPr>
        <w:t xml:space="preserve"> </w:t>
      </w:r>
      <w:r w:rsidRPr="005D420F">
        <w:rPr>
          <w:b/>
          <w:bCs/>
        </w:rPr>
        <w:t>Aanspreekpunt Opdrachtgever</w:t>
      </w:r>
    </w:p>
    <w:p w14:paraId="379E95D5" w14:textId="77777777" w:rsidR="00834335" w:rsidRDefault="00834335" w:rsidP="005D420F">
      <w:pPr>
        <w:spacing w:after="0"/>
      </w:pPr>
      <w:r>
        <w:t>1.</w:t>
      </w:r>
      <w:r>
        <w:tab/>
        <w:t xml:space="preserve">Aanspreekpunt is de concerncontroller van de </w:t>
      </w:r>
      <w:proofErr w:type="gramStart"/>
      <w:r>
        <w:t>gemeente .</w:t>
      </w:r>
      <w:proofErr w:type="gramEnd"/>
    </w:p>
    <w:p w14:paraId="437DA9E3" w14:textId="77777777" w:rsidR="005D420F" w:rsidRDefault="005D420F" w:rsidP="005D420F">
      <w:pPr>
        <w:spacing w:after="0"/>
      </w:pPr>
    </w:p>
    <w:p w14:paraId="59E6CF83" w14:textId="6D220831" w:rsidR="00834335" w:rsidRPr="005D420F" w:rsidRDefault="00834335" w:rsidP="005D420F">
      <w:pPr>
        <w:spacing w:after="0"/>
        <w:rPr>
          <w:b/>
          <w:bCs/>
        </w:rPr>
      </w:pPr>
      <w:r w:rsidRPr="005D420F">
        <w:rPr>
          <w:b/>
          <w:bCs/>
        </w:rPr>
        <w:t>5.</w:t>
      </w:r>
      <w:r w:rsidR="005D420F">
        <w:rPr>
          <w:b/>
          <w:bCs/>
        </w:rPr>
        <w:t xml:space="preserve"> </w:t>
      </w:r>
      <w:r w:rsidRPr="005D420F">
        <w:rPr>
          <w:b/>
          <w:bCs/>
        </w:rPr>
        <w:t>Wijzigingen</w:t>
      </w:r>
    </w:p>
    <w:p w14:paraId="3A8751F9" w14:textId="78F0CD89" w:rsidR="00834335" w:rsidRDefault="00834335" w:rsidP="005D420F">
      <w:pPr>
        <w:pStyle w:val="Lijstalinea"/>
        <w:numPr>
          <w:ilvl w:val="0"/>
          <w:numId w:val="10"/>
        </w:numPr>
        <w:spacing w:after="0"/>
      </w:pPr>
      <w:r>
        <w:t>Opdrachtgever heeft het recht wijziging van de Opdracht te verlangen (voor zover</w:t>
      </w:r>
      <w:r w:rsidR="005D420F">
        <w:t xml:space="preserve"> </w:t>
      </w:r>
      <w:r>
        <w:t>toegestaan binnen wet- en regelgeving) waaraan Opdrachtnemer gevolg zal geven.</w:t>
      </w:r>
    </w:p>
    <w:p w14:paraId="4C2B45DE" w14:textId="77777777" w:rsidR="005D420F" w:rsidRDefault="005D420F" w:rsidP="005D420F">
      <w:pPr>
        <w:spacing w:after="0"/>
      </w:pPr>
    </w:p>
    <w:p w14:paraId="74608D41" w14:textId="332432EF" w:rsidR="00834335" w:rsidRPr="005D420F" w:rsidRDefault="00834335" w:rsidP="005D420F">
      <w:pPr>
        <w:spacing w:after="0"/>
        <w:rPr>
          <w:b/>
          <w:bCs/>
        </w:rPr>
      </w:pPr>
      <w:r w:rsidRPr="005D420F">
        <w:rPr>
          <w:b/>
          <w:bCs/>
        </w:rPr>
        <w:t>6.Aansprakelijkheid</w:t>
      </w:r>
    </w:p>
    <w:p w14:paraId="3717E19D" w14:textId="60217C76" w:rsidR="00834335" w:rsidRDefault="00834335" w:rsidP="005D420F">
      <w:pPr>
        <w:pStyle w:val="Lijstalinea"/>
        <w:numPr>
          <w:ilvl w:val="0"/>
          <w:numId w:val="11"/>
        </w:numPr>
        <w:spacing w:after="0"/>
      </w:pPr>
      <w:r>
        <w:t xml:space="preserve">Opdrachtnemer is ter zake van tekortkomingen in de Opdracht aansprakelijk overeenkomstig artikel 14 van de Algemene </w:t>
      </w:r>
      <w:proofErr w:type="gramStart"/>
      <w:r>
        <w:t>Inkoopvoorwaarden  2022</w:t>
      </w:r>
      <w:proofErr w:type="gramEnd"/>
      <w:r>
        <w:t>.</w:t>
      </w:r>
    </w:p>
    <w:p w14:paraId="2A370633" w14:textId="72416BA7" w:rsidR="00834335" w:rsidRDefault="00834335" w:rsidP="005D420F">
      <w:pPr>
        <w:pStyle w:val="Lijstalinea"/>
        <w:numPr>
          <w:ilvl w:val="0"/>
          <w:numId w:val="11"/>
        </w:numPr>
        <w:spacing w:after="0"/>
      </w:pPr>
      <w:r>
        <w:t xml:space="preserve">Opdrachtnemer vrijwaart Opdrachtgever met betrekking tot het bovenstaande, mitsdien ook voor aanspraken van derden overeenkomstig artikel 14 Algemene Inkoopvoorwaarden </w:t>
      </w:r>
    </w:p>
    <w:p w14:paraId="643725FD" w14:textId="77777777" w:rsidR="005D420F" w:rsidRDefault="005D420F" w:rsidP="005D420F">
      <w:pPr>
        <w:spacing w:after="0"/>
      </w:pPr>
    </w:p>
    <w:p w14:paraId="1BF594EB" w14:textId="32B93A5F" w:rsidR="00834335" w:rsidRPr="005D420F" w:rsidRDefault="00834335" w:rsidP="005D420F">
      <w:pPr>
        <w:spacing w:after="0"/>
        <w:rPr>
          <w:b/>
          <w:bCs/>
        </w:rPr>
      </w:pPr>
      <w:r w:rsidRPr="005D420F">
        <w:rPr>
          <w:b/>
          <w:bCs/>
        </w:rPr>
        <w:t>7.Verzekeringen</w:t>
      </w:r>
    </w:p>
    <w:p w14:paraId="06E075ED" w14:textId="388EDF79" w:rsidR="00834335" w:rsidRDefault="00834335" w:rsidP="005E737F">
      <w:pPr>
        <w:spacing w:after="0"/>
        <w:ind w:left="703" w:hanging="703"/>
      </w:pPr>
      <w:r>
        <w:t xml:space="preserve">1. </w:t>
      </w:r>
      <w:r w:rsidR="005E737F">
        <w:tab/>
      </w:r>
      <w:r>
        <w:t>Onverminderd haar aansprakelijkheid uit de Overeenkomst en de wet is Opdrachtnemer verplicht voor de gehele Opdracht verzekerd overeenkomstig hetgeen in de Aanbestedingsleidraad daaromtrent is aangegeven.</w:t>
      </w:r>
    </w:p>
    <w:p w14:paraId="2E0ACD34" w14:textId="77777777" w:rsidR="005D420F" w:rsidRDefault="005D420F" w:rsidP="005D420F">
      <w:pPr>
        <w:spacing w:after="0"/>
      </w:pPr>
    </w:p>
    <w:p w14:paraId="1CC16891" w14:textId="6F6F1DA7" w:rsidR="00834335" w:rsidRPr="005D420F" w:rsidRDefault="00834335" w:rsidP="005D420F">
      <w:pPr>
        <w:spacing w:after="0"/>
        <w:rPr>
          <w:b/>
          <w:bCs/>
        </w:rPr>
      </w:pPr>
      <w:r w:rsidRPr="005D420F">
        <w:rPr>
          <w:b/>
          <w:bCs/>
        </w:rPr>
        <w:t>8.Tarieven</w:t>
      </w:r>
    </w:p>
    <w:p w14:paraId="42D54C1B" w14:textId="77777777" w:rsidR="00834335" w:rsidRDefault="00834335" w:rsidP="005D420F">
      <w:pPr>
        <w:spacing w:after="0"/>
      </w:pPr>
      <w:r>
        <w:t>1.</w:t>
      </w:r>
      <w:r>
        <w:tab/>
        <w:t>De prijzen en tarieven voor het uitvoeren van de Opdracht staan benoemd in Bijlage E.</w:t>
      </w:r>
    </w:p>
    <w:p w14:paraId="6C1DE62F" w14:textId="73228DC5" w:rsidR="00834335" w:rsidRDefault="00834335" w:rsidP="004D346D">
      <w:pPr>
        <w:spacing w:after="0"/>
        <w:ind w:left="703" w:hanging="703"/>
      </w:pPr>
      <w:r>
        <w:lastRenderedPageBreak/>
        <w:t>2.</w:t>
      </w:r>
      <w:r>
        <w:tab/>
        <w:t>Er worden vaste prijzen uitgevraagd voor de gevraagde dienstverlening. Van meerwerk kan dan ook alleen sprake zijn als er zich onvoorziene omstandigheden voordoen, die redelijkerwijs niet verwijtbaar zijn naar de Opdrachtnemer. De kwantiteit en kwaliteit van de interne controlewerkzaamheden zijn géén aanleiding voor meerwerk.</w:t>
      </w:r>
    </w:p>
    <w:p w14:paraId="2EC95324" w14:textId="77777777" w:rsidR="00834335" w:rsidRDefault="00834335" w:rsidP="005D420F">
      <w:pPr>
        <w:spacing w:after="0"/>
      </w:pPr>
    </w:p>
    <w:p w14:paraId="7C876876" w14:textId="444489E2" w:rsidR="00834335" w:rsidRPr="005D420F" w:rsidRDefault="00834335" w:rsidP="005D420F">
      <w:pPr>
        <w:spacing w:after="0"/>
        <w:rPr>
          <w:b/>
          <w:bCs/>
        </w:rPr>
      </w:pPr>
      <w:r w:rsidRPr="005D420F">
        <w:rPr>
          <w:b/>
          <w:bCs/>
        </w:rPr>
        <w:t>9.</w:t>
      </w:r>
      <w:r w:rsidR="005D420F">
        <w:rPr>
          <w:b/>
          <w:bCs/>
        </w:rPr>
        <w:t xml:space="preserve"> </w:t>
      </w:r>
      <w:r w:rsidRPr="005D420F">
        <w:rPr>
          <w:b/>
          <w:bCs/>
        </w:rPr>
        <w:t>Contractmanagement</w:t>
      </w:r>
    </w:p>
    <w:p w14:paraId="591121AB" w14:textId="6C96DD3F" w:rsidR="00834335" w:rsidRDefault="00834335" w:rsidP="004D346D">
      <w:pPr>
        <w:spacing w:after="0"/>
        <w:ind w:left="703" w:hanging="703"/>
      </w:pPr>
      <w:r>
        <w:t xml:space="preserve">1. </w:t>
      </w:r>
      <w:r w:rsidR="004D346D">
        <w:tab/>
      </w:r>
      <w:r>
        <w:t xml:space="preserve">Na afloop van het tweede contractjaar kan de overeenkomst éénmaal per contractjaar geëvalueerd worden. Deze momenten worden gebruikt om vanuit Opdrachtgever de kwaliteit van de door de Opdrachtnemer geleverde dienstverlening te bespreken. </w:t>
      </w:r>
      <w:proofErr w:type="gramStart"/>
      <w:r>
        <w:t>Indien</w:t>
      </w:r>
      <w:proofErr w:type="gramEnd"/>
      <w:r>
        <w:t xml:space="preserve"> door Opdrachtgever gewenst kunnen meer evaluatiemomenten ingepland worden.</w:t>
      </w:r>
    </w:p>
    <w:p w14:paraId="0145782A" w14:textId="538763E3" w:rsidR="00834335" w:rsidRPr="005D420F" w:rsidRDefault="00834335" w:rsidP="005D420F">
      <w:pPr>
        <w:spacing w:after="0"/>
        <w:rPr>
          <w:b/>
          <w:bCs/>
        </w:rPr>
      </w:pPr>
      <w:r w:rsidRPr="005D420F">
        <w:rPr>
          <w:b/>
          <w:bCs/>
        </w:rPr>
        <w:t>10.</w:t>
      </w:r>
      <w:r w:rsidR="005D420F">
        <w:rPr>
          <w:b/>
          <w:bCs/>
        </w:rPr>
        <w:t xml:space="preserve"> </w:t>
      </w:r>
      <w:r w:rsidRPr="005D420F">
        <w:rPr>
          <w:b/>
          <w:bCs/>
        </w:rPr>
        <w:t>Facturering en Betaling</w:t>
      </w:r>
    </w:p>
    <w:p w14:paraId="611F8AF8" w14:textId="600BE39D" w:rsidR="00834335" w:rsidRDefault="00834335" w:rsidP="005D420F">
      <w:pPr>
        <w:spacing w:after="0"/>
      </w:pPr>
      <w:r>
        <w:t>1.</w:t>
      </w:r>
      <w:r>
        <w:tab/>
        <w:t>Opdrachtnemer zal haar facturen, voorzien van een deugdelijke specificatie aanleveren.</w:t>
      </w:r>
    </w:p>
    <w:p w14:paraId="12233047" w14:textId="4327EBF5" w:rsidR="00834335" w:rsidRDefault="00834335" w:rsidP="005D420F">
      <w:pPr>
        <w:spacing w:after="0"/>
      </w:pPr>
      <w:r>
        <w:t>2.</w:t>
      </w:r>
      <w:r>
        <w:tab/>
        <w:t xml:space="preserve">Betaling vindt plaats </w:t>
      </w:r>
      <w:proofErr w:type="gramStart"/>
      <w:r>
        <w:t>conform</w:t>
      </w:r>
      <w:proofErr w:type="gramEnd"/>
      <w:r>
        <w:t xml:space="preserve"> het gestelde voor leveringen en diensten</w:t>
      </w:r>
    </w:p>
    <w:p w14:paraId="3EC78773" w14:textId="6AFFCD1C" w:rsidR="00834335" w:rsidRDefault="00834335" w:rsidP="005D420F">
      <w:pPr>
        <w:spacing w:after="0"/>
      </w:pPr>
      <w:r>
        <w:t>3.</w:t>
      </w:r>
      <w:r>
        <w:tab/>
        <w:t>Betaling prejudicieert niet op de vraag of de Opdrachtnemer correct nagekomen heeft.</w:t>
      </w:r>
    </w:p>
    <w:p w14:paraId="14BAFBEA" w14:textId="77777777" w:rsidR="00834335" w:rsidRDefault="00834335" w:rsidP="005D420F">
      <w:pPr>
        <w:spacing w:after="0"/>
      </w:pPr>
    </w:p>
    <w:p w14:paraId="5E1194C8" w14:textId="09E28904" w:rsidR="00834335" w:rsidRPr="005D420F" w:rsidRDefault="005D420F" w:rsidP="005D420F">
      <w:pPr>
        <w:spacing w:after="0"/>
        <w:rPr>
          <w:b/>
          <w:bCs/>
        </w:rPr>
      </w:pPr>
      <w:r w:rsidRPr="005D420F">
        <w:rPr>
          <w:b/>
          <w:bCs/>
        </w:rPr>
        <w:t xml:space="preserve">11. </w:t>
      </w:r>
      <w:r w:rsidR="00834335" w:rsidRPr="005D420F">
        <w:rPr>
          <w:b/>
          <w:bCs/>
        </w:rPr>
        <w:t>Contractoverneming</w:t>
      </w:r>
    </w:p>
    <w:p w14:paraId="638596DE" w14:textId="77777777" w:rsidR="00834335" w:rsidRDefault="00834335" w:rsidP="004D346D">
      <w:pPr>
        <w:spacing w:after="0"/>
        <w:ind w:left="703" w:hanging="703"/>
      </w:pPr>
      <w:r>
        <w:t>1.</w:t>
      </w:r>
      <w:r>
        <w:tab/>
        <w:t>De Opdrachtnemer mag zijn rechten en verplichtingen uit hoofde van de Overeenkomst noch geheel noch ten dele aan een ander overdragen zonder voorafgaande schriftelijk toestemming van Opdrachtgever.</w:t>
      </w:r>
    </w:p>
    <w:p w14:paraId="38757A3A" w14:textId="72D76B29" w:rsidR="00834335" w:rsidRDefault="00834335" w:rsidP="004D346D">
      <w:pPr>
        <w:spacing w:after="0"/>
        <w:ind w:left="703" w:hanging="703"/>
      </w:pPr>
      <w:r>
        <w:t>2.</w:t>
      </w:r>
      <w:r>
        <w:tab/>
      </w:r>
      <w:proofErr w:type="gramStart"/>
      <w:r>
        <w:t>Indien</w:t>
      </w:r>
      <w:proofErr w:type="gramEnd"/>
      <w:r>
        <w:t xml:space="preserve"> er sprake is van rechtsopvolging onder algemene of bijzondere titel in de positie van de Opdrachtnemer ten gevolge van herstructurering van de onderneming of insolventie, dan</w:t>
      </w:r>
      <w:r w:rsidR="005D420F">
        <w:t xml:space="preserve"> </w:t>
      </w:r>
      <w:r>
        <w:t xml:space="preserve">kan deze, mits de Opdrachtgever daarmee instemt, door een andere Opdrachtnemer worden vervangen, mits deze laatste voldoet aan de </w:t>
      </w:r>
      <w:proofErr w:type="gramStart"/>
      <w:r>
        <w:t>aanvankelijk</w:t>
      </w:r>
      <w:proofErr w:type="gramEnd"/>
      <w:r>
        <w:t xml:space="preserve"> vastgestelde criteria voor kwalitatieve selectie en dit geen andere wezenlijke wijzigingen in de uit voeren Opdracht met zich meebrengt.</w:t>
      </w:r>
    </w:p>
    <w:p w14:paraId="5FF005C8" w14:textId="77777777" w:rsidR="004D346D" w:rsidRDefault="004D346D" w:rsidP="004D346D">
      <w:pPr>
        <w:spacing w:after="0"/>
        <w:ind w:left="703" w:hanging="703"/>
      </w:pPr>
    </w:p>
    <w:p w14:paraId="0DDEDB1D" w14:textId="489D8F86" w:rsidR="00834335" w:rsidRPr="004D346D" w:rsidRDefault="00834335" w:rsidP="005D420F">
      <w:pPr>
        <w:spacing w:after="0"/>
        <w:rPr>
          <w:b/>
          <w:bCs/>
        </w:rPr>
      </w:pPr>
      <w:r w:rsidRPr="004D346D">
        <w:rPr>
          <w:b/>
          <w:bCs/>
        </w:rPr>
        <w:t>1</w:t>
      </w:r>
      <w:r w:rsidR="004D346D">
        <w:rPr>
          <w:b/>
          <w:bCs/>
        </w:rPr>
        <w:t>2</w:t>
      </w:r>
      <w:r w:rsidRPr="004D346D">
        <w:rPr>
          <w:b/>
          <w:bCs/>
        </w:rPr>
        <w:t>.</w:t>
      </w:r>
      <w:r w:rsidRPr="004D346D">
        <w:rPr>
          <w:b/>
          <w:bCs/>
        </w:rPr>
        <w:tab/>
      </w:r>
      <w:proofErr w:type="spellStart"/>
      <w:r w:rsidRPr="004D346D">
        <w:rPr>
          <w:b/>
          <w:bCs/>
        </w:rPr>
        <w:t>Onderaanneming</w:t>
      </w:r>
      <w:proofErr w:type="spellEnd"/>
    </w:p>
    <w:p w14:paraId="3988AB6C" w14:textId="77777777" w:rsidR="00834335" w:rsidRDefault="00834335" w:rsidP="004D346D">
      <w:pPr>
        <w:spacing w:after="0"/>
        <w:ind w:left="703" w:hanging="703"/>
      </w:pPr>
      <w:r>
        <w:t>1.</w:t>
      </w:r>
      <w:r>
        <w:tab/>
        <w:t xml:space="preserve">Het is Opdrachtnemer zonder voorafgaande schriftelijke toestemming van Opdrachtgever niet toegestaan onderdelen van deze Opdracht in </w:t>
      </w:r>
      <w:proofErr w:type="spellStart"/>
      <w:r>
        <w:t>onderaanneming</w:t>
      </w:r>
      <w:proofErr w:type="spellEnd"/>
      <w:r>
        <w:t xml:space="preserve"> en </w:t>
      </w:r>
      <w:proofErr w:type="gramStart"/>
      <w:r>
        <w:t>derhalve</w:t>
      </w:r>
      <w:proofErr w:type="gramEnd"/>
      <w:r>
        <w:t xml:space="preserve"> voor haar rekening en risico, dan wel door derden te doen verrichten.</w:t>
      </w:r>
    </w:p>
    <w:p w14:paraId="4B251770" w14:textId="77777777" w:rsidR="00834335" w:rsidRDefault="00834335" w:rsidP="004D346D">
      <w:pPr>
        <w:spacing w:after="0"/>
        <w:ind w:left="703" w:hanging="703"/>
      </w:pPr>
      <w:r>
        <w:t>2.</w:t>
      </w:r>
      <w:r>
        <w:tab/>
        <w:t>Aan toestemming als bedoeld in het eerste lid kan de Opdrachtgever redelijke voorwaarden verbinden.</w:t>
      </w:r>
    </w:p>
    <w:p w14:paraId="69010F48" w14:textId="77777777" w:rsidR="00834335" w:rsidRDefault="00834335" w:rsidP="004D346D">
      <w:pPr>
        <w:spacing w:after="0"/>
        <w:ind w:left="703" w:hanging="703"/>
      </w:pPr>
      <w:r>
        <w:t>3.</w:t>
      </w:r>
      <w:r>
        <w:tab/>
        <w:t xml:space="preserve">De voorgaande leden 1 en 2 zijn van overeenkomstige toepassing </w:t>
      </w:r>
      <w:proofErr w:type="gramStart"/>
      <w:r>
        <w:t>indien</w:t>
      </w:r>
      <w:proofErr w:type="gramEnd"/>
      <w:r>
        <w:t xml:space="preserve"> de Opdrachtnemer een bestaande onderaannemer wenst te vervangen.</w:t>
      </w:r>
    </w:p>
    <w:p w14:paraId="68B43710" w14:textId="77777777" w:rsidR="00834335" w:rsidRDefault="00834335" w:rsidP="004D346D">
      <w:pPr>
        <w:spacing w:after="0"/>
        <w:ind w:left="703" w:hanging="703"/>
      </w:pPr>
      <w:r>
        <w:t>4.</w:t>
      </w:r>
      <w:r>
        <w:tab/>
      </w:r>
      <w:proofErr w:type="gramStart"/>
      <w:r>
        <w:t>Indien</w:t>
      </w:r>
      <w:proofErr w:type="gramEnd"/>
      <w:r>
        <w:t xml:space="preserve"> de Opdrachtnemer zich tijdens de aanbesteding voor zijn draagkracht (financieel of ervaring) beroepen heeft op een onderaannemer, dan geldt dat gedurende de volledige looptijd van deze Overeenkomst op voornoemde onderaannemer de door Opdrachtgever op de aanbesteding van toepassing verklaarde uitsluitingsgronden ex artikelen 2:86 en 2:87 AW niet van toepassing mogen zijn. </w:t>
      </w:r>
      <w:proofErr w:type="gramStart"/>
      <w:r>
        <w:t>Indien</w:t>
      </w:r>
      <w:proofErr w:type="gramEnd"/>
      <w:r>
        <w:t xml:space="preserve"> zulks wel het geval blijkt te zijn, dan kan de Opdrachtgever vervanging zoeken en is Opdrachtnemer gehouden op eerste verzoek van Opdrachtgever, voornoemde onderaannemer binnen een redelijke termijn te vervangen en daarbij aan de eisen genoemd in de leden 5 en 6 te voldoen.</w:t>
      </w:r>
    </w:p>
    <w:p w14:paraId="64B14EF5" w14:textId="77777777" w:rsidR="00834335" w:rsidRDefault="00834335" w:rsidP="004D346D">
      <w:pPr>
        <w:spacing w:after="0"/>
        <w:ind w:left="703" w:hanging="703"/>
      </w:pPr>
      <w:r>
        <w:t>5.</w:t>
      </w:r>
      <w:r>
        <w:tab/>
        <w:t>Indien de vervanging van een bestaande onderaannemer aan de orde is en het betreft een onderaannemer op wiens draagkracht (financieel of ervaring) de Opdrachtnemer zich tijdens de aanbesteding van de Opdracht beroepen heeft, dan geldt in ieder geval de voorwaarde dat de Opdrachtnemer zich op de draagkracht van de vervanger kan beroepen, waarbij de Opdrachtnemer de documenten en bewijzen levert welke ook voor de voornoemde bestaande onderaannemer in het kader van de aanbesteding zijn aangeleverd.</w:t>
      </w:r>
    </w:p>
    <w:p w14:paraId="012EE74C" w14:textId="77777777" w:rsidR="00834335" w:rsidRDefault="00834335" w:rsidP="004D346D">
      <w:pPr>
        <w:spacing w:after="0"/>
        <w:ind w:left="703" w:hanging="703"/>
      </w:pPr>
      <w:r>
        <w:t>6.</w:t>
      </w:r>
      <w:r>
        <w:tab/>
      </w:r>
      <w:proofErr w:type="gramStart"/>
      <w:r>
        <w:t>Indien</w:t>
      </w:r>
      <w:proofErr w:type="gramEnd"/>
      <w:r>
        <w:t xml:space="preserve"> de vervanging van een bestaande onderaannemer aan de orde is en het betreft een onderaannemer op wiens financiële draagkracht Opdrachtnemer zich bij inschrijving heeft beroepen, dan geldt </w:t>
      </w:r>
      <w:proofErr w:type="gramStart"/>
      <w:r>
        <w:t>tevens</w:t>
      </w:r>
      <w:proofErr w:type="gramEnd"/>
      <w:r>
        <w:t xml:space="preserve"> de voorwaarde dat de onderaannemer zich </w:t>
      </w:r>
      <w:proofErr w:type="gramStart"/>
      <w:r>
        <w:t>jegens</w:t>
      </w:r>
      <w:proofErr w:type="gramEnd"/>
      <w:r>
        <w:t xml:space="preserve"> de Opdrachtgever hoofdelijk aansprakelijk verklaart tot nakoming van deze Overeenkomst.</w:t>
      </w:r>
    </w:p>
    <w:p w14:paraId="7F6BFD5C" w14:textId="77777777" w:rsidR="00834335" w:rsidRDefault="00834335" w:rsidP="004D346D">
      <w:pPr>
        <w:spacing w:after="0"/>
        <w:ind w:left="703" w:hanging="703"/>
      </w:pPr>
      <w:r>
        <w:t>7.</w:t>
      </w:r>
      <w:r>
        <w:tab/>
        <w:t>Opdrachtnemer vrijwaart de Opdrachtgever voor extra kosten van de Opdrachtgever ten gevolge van vervanging van een onderaannemer.</w:t>
      </w:r>
    </w:p>
    <w:p w14:paraId="38D1A37F" w14:textId="77777777" w:rsidR="004D346D" w:rsidRDefault="004D346D">
      <w:r>
        <w:br w:type="page"/>
      </w:r>
    </w:p>
    <w:p w14:paraId="4E1E8DAF" w14:textId="77777777" w:rsidR="00834335" w:rsidRDefault="00834335" w:rsidP="005D420F">
      <w:pPr>
        <w:spacing w:after="0"/>
      </w:pPr>
    </w:p>
    <w:p w14:paraId="1FD59777" w14:textId="012C461A" w:rsidR="00834335" w:rsidRPr="005E737F" w:rsidRDefault="00834335" w:rsidP="005D420F">
      <w:pPr>
        <w:spacing w:after="0"/>
        <w:rPr>
          <w:b/>
          <w:bCs/>
        </w:rPr>
      </w:pPr>
      <w:r w:rsidRPr="005E737F">
        <w:rPr>
          <w:b/>
          <w:bCs/>
        </w:rPr>
        <w:t>1</w:t>
      </w:r>
      <w:r w:rsidR="005E737F">
        <w:rPr>
          <w:b/>
          <w:bCs/>
        </w:rPr>
        <w:t>3</w:t>
      </w:r>
      <w:r w:rsidRPr="005E737F">
        <w:rPr>
          <w:b/>
          <w:bCs/>
        </w:rPr>
        <w:t xml:space="preserve"> Toepasselijk recht en geschillen</w:t>
      </w:r>
    </w:p>
    <w:p w14:paraId="60207BD5" w14:textId="77777777" w:rsidR="00834335" w:rsidRDefault="00834335" w:rsidP="005D420F">
      <w:pPr>
        <w:spacing w:after="0"/>
      </w:pPr>
      <w:r>
        <w:t>1.</w:t>
      </w:r>
      <w:r>
        <w:tab/>
        <w:t>Op de Overeenkomst is uitsluitend Nederlands recht van toepassing.</w:t>
      </w:r>
    </w:p>
    <w:p w14:paraId="593B7EC8" w14:textId="77777777" w:rsidR="00834335" w:rsidRDefault="00834335" w:rsidP="005D420F">
      <w:pPr>
        <w:spacing w:after="0"/>
      </w:pPr>
      <w:r>
        <w:t>2.</w:t>
      </w:r>
      <w:r>
        <w:tab/>
        <w:t>Partijen lossen waar mogelijk hun geschillen op door middel van goed overleg.</w:t>
      </w:r>
    </w:p>
    <w:p w14:paraId="5A7BA7C8" w14:textId="77777777" w:rsidR="00834335" w:rsidRDefault="00834335" w:rsidP="005E737F">
      <w:pPr>
        <w:spacing w:after="0"/>
        <w:ind w:left="703" w:hanging="703"/>
      </w:pPr>
      <w:r>
        <w:t>3.</w:t>
      </w:r>
      <w:r>
        <w:tab/>
      </w:r>
      <w:proofErr w:type="gramStart"/>
      <w:r>
        <w:t>Indien</w:t>
      </w:r>
      <w:proofErr w:type="gramEnd"/>
      <w:r>
        <w:t xml:space="preserve"> partijen niet tot een oplossing komen of in spoedeisende gevallen, zullen de geschillen worden voorgelegd aan de bevoegde rechter in het arrondissement van de vestigingsplaats van de gemeente.</w:t>
      </w:r>
    </w:p>
    <w:p w14:paraId="24F200AD" w14:textId="77777777" w:rsidR="005E737F" w:rsidRDefault="005E737F" w:rsidP="005D420F">
      <w:pPr>
        <w:spacing w:after="0"/>
      </w:pPr>
    </w:p>
    <w:p w14:paraId="54E0776D" w14:textId="3CCAF6D0" w:rsidR="00834335" w:rsidRPr="005E737F" w:rsidRDefault="00834335" w:rsidP="005D420F">
      <w:pPr>
        <w:spacing w:after="0"/>
        <w:rPr>
          <w:b/>
          <w:bCs/>
        </w:rPr>
      </w:pPr>
      <w:r w:rsidRPr="005E737F">
        <w:rPr>
          <w:b/>
          <w:bCs/>
        </w:rPr>
        <w:t>1</w:t>
      </w:r>
      <w:r w:rsidR="005E737F">
        <w:rPr>
          <w:b/>
          <w:bCs/>
        </w:rPr>
        <w:t>4</w:t>
      </w:r>
      <w:r w:rsidRPr="005E737F">
        <w:rPr>
          <w:b/>
          <w:bCs/>
        </w:rPr>
        <w:t>.</w:t>
      </w:r>
      <w:r w:rsidRPr="005E737F">
        <w:rPr>
          <w:b/>
          <w:bCs/>
        </w:rPr>
        <w:tab/>
        <w:t>Mededelingen en vertegenwoordiging</w:t>
      </w:r>
    </w:p>
    <w:p w14:paraId="42526D49" w14:textId="7310A8A3" w:rsidR="00834335" w:rsidRDefault="00834335" w:rsidP="005D420F">
      <w:pPr>
        <w:spacing w:after="0"/>
      </w:pPr>
      <w:r>
        <w:t xml:space="preserve">1. </w:t>
      </w:r>
      <w:r w:rsidR="005E737F">
        <w:tab/>
      </w:r>
      <w:r>
        <w:t>Alle (formele) mededelingen naar aanleiding van of in verband met de Overeenkomst en de</w:t>
      </w:r>
    </w:p>
    <w:p w14:paraId="581B0355" w14:textId="52AB2941" w:rsidR="00834335" w:rsidRPr="0046184D" w:rsidRDefault="00834335" w:rsidP="005E737F">
      <w:pPr>
        <w:spacing w:after="0"/>
        <w:ind w:firstLine="708"/>
      </w:pPr>
      <w:proofErr w:type="gramStart"/>
      <w:r>
        <w:t>uitvoering</w:t>
      </w:r>
      <w:proofErr w:type="gramEnd"/>
      <w:r>
        <w:t xml:space="preserve"> daarvan, dienen schriftelijk per e-mail en/of aangetekende brief te geschieden.</w:t>
      </w:r>
    </w:p>
    <w:sectPr w:rsidR="00834335" w:rsidRPr="0046184D" w:rsidSect="0091538D">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7CFB" w14:textId="77777777" w:rsidR="009C3950" w:rsidRDefault="009C3950" w:rsidP="009C3950">
      <w:pPr>
        <w:spacing w:after="0" w:line="240" w:lineRule="auto"/>
      </w:pPr>
      <w:r>
        <w:separator/>
      </w:r>
    </w:p>
  </w:endnote>
  <w:endnote w:type="continuationSeparator" w:id="0">
    <w:p w14:paraId="2DEF20DB" w14:textId="77777777" w:rsidR="009C3950" w:rsidRDefault="009C3950" w:rsidP="009C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016A" w14:textId="77777777" w:rsidR="009C3950" w:rsidRDefault="009C39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B521" w14:textId="77777777" w:rsidR="009C3950" w:rsidRDefault="009C39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C4E5" w14:textId="77777777" w:rsidR="009C3950" w:rsidRDefault="009C39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613C" w14:textId="77777777" w:rsidR="009C3950" w:rsidRDefault="009C3950" w:rsidP="009C3950">
      <w:pPr>
        <w:spacing w:after="0" w:line="240" w:lineRule="auto"/>
      </w:pPr>
      <w:r>
        <w:separator/>
      </w:r>
    </w:p>
  </w:footnote>
  <w:footnote w:type="continuationSeparator" w:id="0">
    <w:p w14:paraId="5C8C9175" w14:textId="77777777" w:rsidR="009C3950" w:rsidRDefault="009C3950" w:rsidP="009C3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7194" w14:textId="77777777" w:rsidR="009C3950" w:rsidRDefault="009C39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266837"/>
      <w:docPartObj>
        <w:docPartGallery w:val="Watermarks"/>
        <w:docPartUnique/>
      </w:docPartObj>
    </w:sdtPr>
    <w:sdtContent>
      <w:p w14:paraId="1EEC215E" w14:textId="4583A6F6" w:rsidR="009C3950" w:rsidRDefault="009C3950">
        <w:pPr>
          <w:pStyle w:val="Koptekst"/>
        </w:pPr>
        <w:r>
          <w:pict w14:anchorId="060A5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18908" o:spid="_x0000_s2049" type="#_x0000_t136" style="position:absolute;margin-left:0;margin-top:0;width:570.75pt;height:108.55pt;rotation:315;z-index:-251657216;mso-position-horizontal:center;mso-position-horizontal-relative:margin;mso-position-vertical:center;mso-position-vertical-relative:margin" o:allowincell="f" fillcolor="silver" stroked="f">
              <v:fill opacity=".5"/>
              <v:textpath style="font-family:&quot;calibri&quot;;font-size:1pt" string="Concept / Voorbeel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A6A" w14:textId="77777777" w:rsidR="009C3950" w:rsidRDefault="009C39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F6E"/>
    <w:multiLevelType w:val="hybridMultilevel"/>
    <w:tmpl w:val="6DCE158A"/>
    <w:lvl w:ilvl="0" w:tplc="D78492C2">
      <w:start w:val="1"/>
      <w:numFmt w:val="decimal"/>
      <w:lvlText w:val="%1."/>
      <w:lvlJc w:val="left"/>
      <w:pPr>
        <w:ind w:left="703" w:hanging="70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BBD0E"/>
    <w:multiLevelType w:val="singleLevel"/>
    <w:tmpl w:val="FFFFFFFF"/>
    <w:lvl w:ilvl="0">
      <w:start w:val="1"/>
      <w:numFmt w:val="decimal"/>
      <w:lvlText w:val="%1."/>
      <w:lvlJc w:val="left"/>
      <w:pPr>
        <w:tabs>
          <w:tab w:val="num" w:pos="720"/>
        </w:tabs>
        <w:ind w:left="720" w:hanging="360"/>
      </w:pPr>
      <w:rPr>
        <w:rFonts w:ascii="Calibri" w:hAnsi="Calibri"/>
        <w:snapToGrid/>
        <w:sz w:val="22"/>
      </w:rPr>
    </w:lvl>
  </w:abstractNum>
  <w:abstractNum w:abstractNumId="2" w15:restartNumberingAfterBreak="0">
    <w:nsid w:val="0C281EDC"/>
    <w:multiLevelType w:val="hybridMultilevel"/>
    <w:tmpl w:val="23361282"/>
    <w:lvl w:ilvl="0" w:tplc="74D48D66">
      <w:start w:val="1"/>
      <w:numFmt w:val="decimal"/>
      <w:lvlText w:val="%1."/>
      <w:lvlJc w:val="left"/>
      <w:pPr>
        <w:ind w:left="703" w:hanging="703"/>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9F48AA"/>
    <w:multiLevelType w:val="hybridMultilevel"/>
    <w:tmpl w:val="E00A86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0C7C87"/>
    <w:multiLevelType w:val="hybridMultilevel"/>
    <w:tmpl w:val="5A4EB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5B3D93"/>
    <w:multiLevelType w:val="hybridMultilevel"/>
    <w:tmpl w:val="A1688516"/>
    <w:lvl w:ilvl="0" w:tplc="D78492C2">
      <w:start w:val="1"/>
      <w:numFmt w:val="decimal"/>
      <w:lvlText w:val="%1."/>
      <w:lvlJc w:val="left"/>
      <w:pPr>
        <w:ind w:left="703" w:hanging="703"/>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C29051F"/>
    <w:multiLevelType w:val="hybridMultilevel"/>
    <w:tmpl w:val="625606CE"/>
    <w:lvl w:ilvl="0" w:tplc="74D48D66">
      <w:start w:val="1"/>
      <w:numFmt w:val="decimal"/>
      <w:lvlText w:val="%1."/>
      <w:lvlJc w:val="left"/>
      <w:pPr>
        <w:ind w:left="703" w:hanging="70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4474BC"/>
    <w:multiLevelType w:val="hybridMultilevel"/>
    <w:tmpl w:val="1E1C6B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1B778A"/>
    <w:multiLevelType w:val="hybridMultilevel"/>
    <w:tmpl w:val="7248C964"/>
    <w:lvl w:ilvl="0" w:tplc="D78492C2">
      <w:start w:val="1"/>
      <w:numFmt w:val="decimal"/>
      <w:lvlText w:val="%1."/>
      <w:lvlJc w:val="left"/>
      <w:pPr>
        <w:ind w:left="703" w:hanging="70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07C1BA2"/>
    <w:multiLevelType w:val="hybridMultilevel"/>
    <w:tmpl w:val="2E861CAE"/>
    <w:lvl w:ilvl="0" w:tplc="C6E83B66">
      <w:numFmt w:val="bullet"/>
      <w:lvlText w:val="·"/>
      <w:lvlJc w:val="left"/>
      <w:pPr>
        <w:ind w:left="703" w:hanging="703"/>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0B92B78"/>
    <w:multiLevelType w:val="hybridMultilevel"/>
    <w:tmpl w:val="8DB872DA"/>
    <w:lvl w:ilvl="0" w:tplc="B2B67038">
      <w:start w:val="1"/>
      <w:numFmt w:val="decimal"/>
      <w:lvlText w:val="%1."/>
      <w:lvlJc w:val="left"/>
      <w:pPr>
        <w:ind w:left="703" w:hanging="703"/>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09750018">
    <w:abstractNumId w:val="1"/>
  </w:num>
  <w:num w:numId="2" w16cid:durableId="1672754152">
    <w:abstractNumId w:val="3"/>
  </w:num>
  <w:num w:numId="3" w16cid:durableId="1258951613">
    <w:abstractNumId w:val="9"/>
  </w:num>
  <w:num w:numId="4" w16cid:durableId="329330008">
    <w:abstractNumId w:val="7"/>
  </w:num>
  <w:num w:numId="5" w16cid:durableId="1141850093">
    <w:abstractNumId w:val="2"/>
  </w:num>
  <w:num w:numId="6" w16cid:durableId="856887915">
    <w:abstractNumId w:val="6"/>
  </w:num>
  <w:num w:numId="7" w16cid:durableId="1515417396">
    <w:abstractNumId w:val="5"/>
  </w:num>
  <w:num w:numId="8" w16cid:durableId="1217475873">
    <w:abstractNumId w:val="8"/>
  </w:num>
  <w:num w:numId="9" w16cid:durableId="1032654285">
    <w:abstractNumId w:val="4"/>
  </w:num>
  <w:num w:numId="10" w16cid:durableId="404493586">
    <w:abstractNumId w:val="0"/>
  </w:num>
  <w:num w:numId="11" w16cid:durableId="180321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35"/>
    <w:rsid w:val="00006AFC"/>
    <w:rsid w:val="001500A5"/>
    <w:rsid w:val="001C4317"/>
    <w:rsid w:val="00254CD3"/>
    <w:rsid w:val="003F49B1"/>
    <w:rsid w:val="0046184D"/>
    <w:rsid w:val="00462F90"/>
    <w:rsid w:val="004D346D"/>
    <w:rsid w:val="005B5A76"/>
    <w:rsid w:val="005D420F"/>
    <w:rsid w:val="005E737F"/>
    <w:rsid w:val="00674DF7"/>
    <w:rsid w:val="00695BEB"/>
    <w:rsid w:val="00834335"/>
    <w:rsid w:val="00863C3B"/>
    <w:rsid w:val="00870F79"/>
    <w:rsid w:val="0091538D"/>
    <w:rsid w:val="009374D6"/>
    <w:rsid w:val="009C3950"/>
    <w:rsid w:val="00A538AE"/>
    <w:rsid w:val="00AE5BB1"/>
    <w:rsid w:val="00DB45D4"/>
    <w:rsid w:val="00E92238"/>
    <w:rsid w:val="00F13362"/>
    <w:rsid w:val="00FB41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9B6C25"/>
  <w15:chartTrackingRefBased/>
  <w15:docId w15:val="{158B8F4D-30E2-4673-9B7F-FB679068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9B1"/>
    <w:rPr>
      <w:sz w:val="20"/>
    </w:rPr>
  </w:style>
  <w:style w:type="paragraph" w:styleId="Kop1">
    <w:name w:val="heading 1"/>
    <w:basedOn w:val="Standaard"/>
    <w:next w:val="Standaard"/>
    <w:link w:val="Kop1Char"/>
    <w:uiPriority w:val="9"/>
    <w:qFormat/>
    <w:rsid w:val="00863C3B"/>
    <w:pPr>
      <w:keepNext/>
      <w:keepLines/>
      <w:pBdr>
        <w:bottom w:val="single" w:sz="4" w:space="1" w:color="F29400"/>
      </w:pBdr>
      <w:spacing w:before="400" w:after="40" w:line="340" w:lineRule="exact"/>
      <w:outlineLvl w:val="0"/>
    </w:pPr>
    <w:rPr>
      <w:rFonts w:asciiTheme="majorHAnsi" w:eastAsiaTheme="majorEastAsia" w:hAnsiTheme="majorHAnsi" w:cstheme="majorBidi"/>
      <w:color w:val="0091BD" w:themeColor="accent1"/>
      <w:sz w:val="30"/>
      <w:szCs w:val="36"/>
    </w:rPr>
  </w:style>
  <w:style w:type="paragraph" w:styleId="Kop2">
    <w:name w:val="heading 2"/>
    <w:basedOn w:val="Standaard"/>
    <w:next w:val="Standaard"/>
    <w:link w:val="Kop2Char"/>
    <w:uiPriority w:val="9"/>
    <w:unhideWhenUsed/>
    <w:qFormat/>
    <w:rsid w:val="00863C3B"/>
    <w:pPr>
      <w:keepNext/>
      <w:keepLines/>
      <w:spacing w:before="160" w:after="0" w:line="280" w:lineRule="exact"/>
      <w:outlineLvl w:val="1"/>
    </w:pPr>
    <w:rPr>
      <w:rFonts w:asciiTheme="majorHAnsi" w:eastAsiaTheme="majorEastAsia" w:hAnsiTheme="majorHAnsi" w:cstheme="majorBidi"/>
      <w:color w:val="0091BD" w:themeColor="accent1"/>
      <w:sz w:val="26"/>
      <w:szCs w:val="28"/>
    </w:rPr>
  </w:style>
  <w:style w:type="paragraph" w:styleId="Kop3">
    <w:name w:val="heading 3"/>
    <w:basedOn w:val="Standaard"/>
    <w:next w:val="Standaard"/>
    <w:link w:val="Kop3Char"/>
    <w:uiPriority w:val="9"/>
    <w:unhideWhenUsed/>
    <w:qFormat/>
    <w:rsid w:val="00863C3B"/>
    <w:pPr>
      <w:keepNext/>
      <w:keepLines/>
      <w:spacing w:before="80" w:after="0" w:line="280" w:lineRule="exact"/>
      <w:outlineLvl w:val="2"/>
    </w:pPr>
    <w:rPr>
      <w:rFonts w:asciiTheme="majorHAnsi" w:eastAsiaTheme="majorEastAsia" w:hAnsiTheme="majorHAnsi" w:cstheme="majorBidi"/>
      <w:color w:val="F29400" w:themeColor="accent2"/>
      <w:sz w:val="26"/>
      <w:szCs w:val="26"/>
    </w:rPr>
  </w:style>
  <w:style w:type="paragraph" w:styleId="Kop4">
    <w:name w:val="heading 4"/>
    <w:basedOn w:val="Standaard"/>
    <w:next w:val="Standaard"/>
    <w:link w:val="Kop4Char"/>
    <w:uiPriority w:val="9"/>
    <w:semiHidden/>
    <w:unhideWhenUsed/>
    <w:rsid w:val="00462F90"/>
    <w:pPr>
      <w:keepNext/>
      <w:keepLines/>
      <w:spacing w:before="80" w:after="0" w:line="260" w:lineRule="exact"/>
      <w:outlineLvl w:val="3"/>
    </w:pPr>
    <w:rPr>
      <w:rFonts w:asciiTheme="majorHAnsi" w:eastAsiaTheme="majorEastAsia" w:hAnsiTheme="majorHAnsi" w:cstheme="majorBidi"/>
      <w:b/>
      <w:sz w:val="24"/>
      <w:szCs w:val="24"/>
    </w:rPr>
  </w:style>
  <w:style w:type="paragraph" w:styleId="Kop5">
    <w:name w:val="heading 5"/>
    <w:basedOn w:val="Standaard"/>
    <w:next w:val="Standaard"/>
    <w:link w:val="Kop5Char"/>
    <w:uiPriority w:val="9"/>
    <w:semiHidden/>
    <w:unhideWhenUsed/>
    <w:qFormat/>
    <w:rsid w:val="009374D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9374D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9374D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9374D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9374D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C3B"/>
    <w:rPr>
      <w:rFonts w:asciiTheme="majorHAnsi" w:eastAsiaTheme="majorEastAsia" w:hAnsiTheme="majorHAnsi" w:cstheme="majorBidi"/>
      <w:color w:val="0091BD" w:themeColor="accent1"/>
      <w:sz w:val="30"/>
      <w:szCs w:val="36"/>
    </w:rPr>
  </w:style>
  <w:style w:type="character" w:customStyle="1" w:styleId="Kop2Char">
    <w:name w:val="Kop 2 Char"/>
    <w:basedOn w:val="Standaardalinea-lettertype"/>
    <w:link w:val="Kop2"/>
    <w:uiPriority w:val="9"/>
    <w:rsid w:val="00863C3B"/>
    <w:rPr>
      <w:rFonts w:asciiTheme="majorHAnsi" w:eastAsiaTheme="majorEastAsia" w:hAnsiTheme="majorHAnsi" w:cstheme="majorBidi"/>
      <w:color w:val="0091BD" w:themeColor="accent1"/>
      <w:sz w:val="26"/>
      <w:szCs w:val="28"/>
    </w:rPr>
  </w:style>
  <w:style w:type="paragraph" w:styleId="Titel">
    <w:name w:val="Title"/>
    <w:basedOn w:val="Standaard"/>
    <w:next w:val="Standaard"/>
    <w:link w:val="TitelChar"/>
    <w:uiPriority w:val="10"/>
    <w:qFormat/>
    <w:rsid w:val="00863C3B"/>
    <w:pPr>
      <w:spacing w:after="0" w:line="500" w:lineRule="exact"/>
      <w:contextualSpacing/>
    </w:pPr>
    <w:rPr>
      <w:rFonts w:asciiTheme="majorHAnsi" w:eastAsiaTheme="majorEastAsia" w:hAnsiTheme="majorHAnsi" w:cstheme="majorBidi"/>
      <w:caps/>
      <w:color w:val="000000" w:themeColor="text1"/>
      <w:spacing w:val="-7"/>
      <w:sz w:val="50"/>
      <w:szCs w:val="80"/>
    </w:rPr>
  </w:style>
  <w:style w:type="character" w:customStyle="1" w:styleId="TitelChar">
    <w:name w:val="Titel Char"/>
    <w:basedOn w:val="Standaardalinea-lettertype"/>
    <w:link w:val="Titel"/>
    <w:uiPriority w:val="10"/>
    <w:rsid w:val="00863C3B"/>
    <w:rPr>
      <w:rFonts w:asciiTheme="majorHAnsi" w:eastAsiaTheme="majorEastAsia" w:hAnsiTheme="majorHAnsi" w:cstheme="majorBidi"/>
      <w:caps/>
      <w:color w:val="000000" w:themeColor="text1"/>
      <w:spacing w:val="-7"/>
      <w:sz w:val="50"/>
      <w:szCs w:val="80"/>
    </w:rPr>
  </w:style>
  <w:style w:type="paragraph" w:styleId="Ondertitel">
    <w:name w:val="Subtitle"/>
    <w:basedOn w:val="Standaard"/>
    <w:next w:val="Standaard"/>
    <w:link w:val="OndertitelChar"/>
    <w:uiPriority w:val="11"/>
    <w:qFormat/>
    <w:rsid w:val="009374D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9374D6"/>
    <w:rPr>
      <w:rFonts w:asciiTheme="majorHAnsi" w:eastAsiaTheme="majorEastAsia" w:hAnsiTheme="majorHAnsi" w:cstheme="majorBidi"/>
      <w:color w:val="404040" w:themeColor="text1" w:themeTint="BF"/>
      <w:sz w:val="30"/>
      <w:szCs w:val="30"/>
    </w:rPr>
  </w:style>
  <w:style w:type="character" w:styleId="Subtielebenadrukking">
    <w:name w:val="Subtle Emphasis"/>
    <w:basedOn w:val="Standaardalinea-lettertype"/>
    <w:uiPriority w:val="19"/>
    <w:qFormat/>
    <w:rsid w:val="009374D6"/>
    <w:rPr>
      <w:i/>
      <w:iCs/>
      <w:color w:val="595959" w:themeColor="text1" w:themeTint="A6"/>
    </w:rPr>
  </w:style>
  <w:style w:type="paragraph" w:styleId="Citaat">
    <w:name w:val="Quote"/>
    <w:basedOn w:val="Standaard"/>
    <w:next w:val="Standaard"/>
    <w:link w:val="CitaatChar"/>
    <w:uiPriority w:val="29"/>
    <w:qFormat/>
    <w:rsid w:val="009374D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9374D6"/>
    <w:rPr>
      <w:i/>
      <w:iCs/>
    </w:rPr>
  </w:style>
  <w:style w:type="paragraph" w:styleId="Duidelijkcitaat">
    <w:name w:val="Intense Quote"/>
    <w:basedOn w:val="Standaard"/>
    <w:next w:val="Standaard"/>
    <w:link w:val="DuidelijkcitaatChar"/>
    <w:uiPriority w:val="30"/>
    <w:qFormat/>
    <w:rsid w:val="009374D6"/>
    <w:pPr>
      <w:spacing w:before="100" w:beforeAutospacing="1" w:after="240"/>
      <w:ind w:left="864" w:right="864"/>
      <w:jc w:val="center"/>
    </w:pPr>
    <w:rPr>
      <w:rFonts w:asciiTheme="majorHAnsi" w:eastAsiaTheme="majorEastAsia" w:hAnsiTheme="majorHAnsi" w:cstheme="majorBidi"/>
      <w:color w:val="0091BD" w:themeColor="accent1"/>
      <w:sz w:val="28"/>
      <w:szCs w:val="28"/>
    </w:rPr>
  </w:style>
  <w:style w:type="character" w:customStyle="1" w:styleId="DuidelijkcitaatChar">
    <w:name w:val="Duidelijk citaat Char"/>
    <w:basedOn w:val="Standaardalinea-lettertype"/>
    <w:link w:val="Duidelijkcitaat"/>
    <w:uiPriority w:val="30"/>
    <w:rsid w:val="009374D6"/>
    <w:rPr>
      <w:rFonts w:asciiTheme="majorHAnsi" w:eastAsiaTheme="majorEastAsia" w:hAnsiTheme="majorHAnsi" w:cstheme="majorBidi"/>
      <w:color w:val="0091BD" w:themeColor="accent1"/>
      <w:sz w:val="28"/>
      <w:szCs w:val="28"/>
    </w:rPr>
  </w:style>
  <w:style w:type="character" w:styleId="Subtieleverwijzing">
    <w:name w:val="Subtle Reference"/>
    <w:basedOn w:val="Standaardalinea-lettertype"/>
    <w:uiPriority w:val="31"/>
    <w:qFormat/>
    <w:rsid w:val="009374D6"/>
    <w:rPr>
      <w:smallCaps/>
      <w:color w:val="404040" w:themeColor="text1" w:themeTint="BF"/>
    </w:rPr>
  </w:style>
  <w:style w:type="character" w:styleId="Intensieveverwijzing">
    <w:name w:val="Intense Reference"/>
    <w:basedOn w:val="Standaardalinea-lettertype"/>
    <w:uiPriority w:val="32"/>
    <w:qFormat/>
    <w:rsid w:val="009374D6"/>
    <w:rPr>
      <w:b/>
      <w:bCs/>
      <w:smallCaps/>
      <w:u w:val="single"/>
    </w:rPr>
  </w:style>
  <w:style w:type="character" w:styleId="Titelvanboek">
    <w:name w:val="Book Title"/>
    <w:basedOn w:val="Standaardalinea-lettertype"/>
    <w:uiPriority w:val="33"/>
    <w:qFormat/>
    <w:rsid w:val="009374D6"/>
    <w:rPr>
      <w:b/>
      <w:bCs/>
      <w:smallCaps/>
    </w:rPr>
  </w:style>
  <w:style w:type="paragraph" w:styleId="Lijstalinea">
    <w:name w:val="List Paragraph"/>
    <w:basedOn w:val="Standaard"/>
    <w:uiPriority w:val="34"/>
    <w:qFormat/>
    <w:rsid w:val="00254CD3"/>
    <w:pPr>
      <w:ind w:left="720"/>
      <w:contextualSpacing/>
    </w:pPr>
  </w:style>
  <w:style w:type="character" w:styleId="Intensievebenadrukking">
    <w:name w:val="Intense Emphasis"/>
    <w:basedOn w:val="Standaardalinea-lettertype"/>
    <w:uiPriority w:val="21"/>
    <w:qFormat/>
    <w:rsid w:val="009374D6"/>
    <w:rPr>
      <w:b/>
      <w:bCs/>
      <w:i/>
      <w:iCs/>
    </w:rPr>
  </w:style>
  <w:style w:type="table" w:styleId="Tabelraster">
    <w:name w:val="Table Grid"/>
    <w:basedOn w:val="Standaardtabel"/>
    <w:uiPriority w:val="39"/>
    <w:rsid w:val="0025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462F90"/>
    <w:pPr>
      <w:spacing w:after="0" w:line="240" w:lineRule="auto"/>
    </w:pPr>
    <w:tblPr>
      <w:tblStyleRowBandSize w:val="1"/>
      <w:tblStyleColBandSize w:val="1"/>
      <w:tblBorders>
        <w:top w:val="single" w:sz="4" w:space="0" w:color="3ED1FF" w:themeColor="accent1" w:themeTint="99"/>
        <w:left w:val="single" w:sz="4" w:space="0" w:color="3ED1FF" w:themeColor="accent1" w:themeTint="99"/>
        <w:bottom w:val="single" w:sz="4" w:space="0" w:color="3ED1FF" w:themeColor="accent1" w:themeTint="99"/>
        <w:right w:val="single" w:sz="4" w:space="0" w:color="3ED1FF" w:themeColor="accent1" w:themeTint="99"/>
        <w:insideH w:val="single" w:sz="4" w:space="0" w:color="3ED1FF" w:themeColor="accent1" w:themeTint="99"/>
        <w:insideV w:val="single" w:sz="4" w:space="0" w:color="3ED1FF" w:themeColor="accent1" w:themeTint="99"/>
      </w:tblBorders>
    </w:tblPr>
    <w:tblStylePr w:type="firstRow">
      <w:rPr>
        <w:b/>
        <w:bCs/>
        <w:color w:val="FFFFFF" w:themeColor="background1"/>
      </w:rPr>
      <w:tblPr/>
      <w:tcPr>
        <w:tcBorders>
          <w:top w:val="single" w:sz="4" w:space="0" w:color="0091BD" w:themeColor="accent1"/>
          <w:left w:val="single" w:sz="4" w:space="0" w:color="0091BD" w:themeColor="accent1"/>
          <w:bottom w:val="single" w:sz="4" w:space="0" w:color="0091BD" w:themeColor="accent1"/>
          <w:right w:val="single" w:sz="4" w:space="0" w:color="0091BD" w:themeColor="accent1"/>
          <w:insideH w:val="nil"/>
          <w:insideV w:val="nil"/>
        </w:tcBorders>
        <w:shd w:val="clear" w:color="auto" w:fill="0091BD" w:themeFill="accent1"/>
      </w:tcPr>
    </w:tblStylePr>
    <w:tblStylePr w:type="lastRow">
      <w:rPr>
        <w:b/>
        <w:bCs/>
      </w:rPr>
      <w:tblPr/>
      <w:tcPr>
        <w:tcBorders>
          <w:top w:val="double" w:sz="4" w:space="0" w:color="0091BD" w:themeColor="accent1"/>
        </w:tcBorders>
      </w:tcPr>
    </w:tblStylePr>
    <w:tblStylePr w:type="firstCol">
      <w:rPr>
        <w:b/>
        <w:bCs/>
      </w:rPr>
    </w:tblStylePr>
    <w:tblStylePr w:type="lastCol">
      <w:rPr>
        <w:b/>
        <w:bCs/>
      </w:rPr>
    </w:tblStylePr>
    <w:tblStylePr w:type="band1Vert">
      <w:tblPr/>
      <w:tcPr>
        <w:shd w:val="clear" w:color="auto" w:fill="BEEFFF" w:themeFill="accent1" w:themeFillTint="33"/>
      </w:tcPr>
    </w:tblStylePr>
    <w:tblStylePr w:type="band1Horz">
      <w:tblPr/>
      <w:tcPr>
        <w:shd w:val="clear" w:color="auto" w:fill="BEEFFF" w:themeFill="accent1" w:themeFillTint="33"/>
      </w:tcPr>
    </w:tblStylePr>
  </w:style>
  <w:style w:type="paragraph" w:styleId="Kopvaninhoudsopgave">
    <w:name w:val="TOC Heading"/>
    <w:basedOn w:val="Kop1"/>
    <w:next w:val="Standaard"/>
    <w:uiPriority w:val="39"/>
    <w:unhideWhenUsed/>
    <w:qFormat/>
    <w:rsid w:val="009374D6"/>
    <w:pPr>
      <w:outlineLvl w:val="9"/>
    </w:pPr>
  </w:style>
  <w:style w:type="character" w:customStyle="1" w:styleId="Kop3Char">
    <w:name w:val="Kop 3 Char"/>
    <w:basedOn w:val="Standaardalinea-lettertype"/>
    <w:link w:val="Kop3"/>
    <w:uiPriority w:val="9"/>
    <w:rsid w:val="00863C3B"/>
    <w:rPr>
      <w:rFonts w:asciiTheme="majorHAnsi" w:eastAsiaTheme="majorEastAsia" w:hAnsiTheme="majorHAnsi" w:cstheme="majorBidi"/>
      <w:color w:val="F29400" w:themeColor="accent2"/>
      <w:sz w:val="26"/>
      <w:szCs w:val="26"/>
    </w:rPr>
  </w:style>
  <w:style w:type="character" w:customStyle="1" w:styleId="Kop4Char">
    <w:name w:val="Kop 4 Char"/>
    <w:basedOn w:val="Standaardalinea-lettertype"/>
    <w:link w:val="Kop4"/>
    <w:uiPriority w:val="9"/>
    <w:semiHidden/>
    <w:rsid w:val="00462F90"/>
    <w:rPr>
      <w:rFonts w:asciiTheme="majorHAnsi" w:eastAsiaTheme="majorEastAsia" w:hAnsiTheme="majorHAnsi" w:cstheme="majorBidi"/>
      <w:b/>
      <w:sz w:val="24"/>
      <w:szCs w:val="24"/>
    </w:rPr>
  </w:style>
  <w:style w:type="character" w:customStyle="1" w:styleId="Kop5Char">
    <w:name w:val="Kop 5 Char"/>
    <w:basedOn w:val="Standaardalinea-lettertype"/>
    <w:link w:val="Kop5"/>
    <w:uiPriority w:val="9"/>
    <w:semiHidden/>
    <w:rsid w:val="009374D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9374D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9374D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9374D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9374D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9374D6"/>
    <w:pPr>
      <w:spacing w:line="240" w:lineRule="auto"/>
    </w:pPr>
    <w:rPr>
      <w:b/>
      <w:bCs/>
      <w:color w:val="404040" w:themeColor="text1" w:themeTint="BF"/>
      <w:szCs w:val="20"/>
    </w:rPr>
  </w:style>
  <w:style w:type="character" w:styleId="Zwaar">
    <w:name w:val="Strong"/>
    <w:basedOn w:val="Standaardalinea-lettertype"/>
    <w:uiPriority w:val="22"/>
    <w:qFormat/>
    <w:rsid w:val="009374D6"/>
    <w:rPr>
      <w:b/>
      <w:bCs/>
    </w:rPr>
  </w:style>
  <w:style w:type="character" w:styleId="Nadruk">
    <w:name w:val="Emphasis"/>
    <w:basedOn w:val="Standaardalinea-lettertype"/>
    <w:uiPriority w:val="20"/>
    <w:qFormat/>
    <w:rsid w:val="009374D6"/>
    <w:rPr>
      <w:i/>
      <w:iCs/>
    </w:rPr>
  </w:style>
  <w:style w:type="paragraph" w:styleId="Geenafstand">
    <w:name w:val="No Spacing"/>
    <w:uiPriority w:val="1"/>
    <w:qFormat/>
    <w:rsid w:val="003F49B1"/>
    <w:pPr>
      <w:spacing w:after="0" w:line="240" w:lineRule="auto"/>
    </w:pPr>
    <w:rPr>
      <w:sz w:val="20"/>
    </w:rPr>
  </w:style>
  <w:style w:type="table" w:styleId="Rastertabel4-Accent2">
    <w:name w:val="Grid Table 4 Accent 2"/>
    <w:basedOn w:val="Standaardtabel"/>
    <w:uiPriority w:val="49"/>
    <w:rsid w:val="00462F90"/>
    <w:pPr>
      <w:spacing w:after="0" w:line="240" w:lineRule="auto"/>
    </w:pPr>
    <w:tblPr>
      <w:tblStyleRowBandSize w:val="1"/>
      <w:tblStyleColBandSize w:val="1"/>
      <w:tblBorders>
        <w:top w:val="single" w:sz="4" w:space="0" w:color="FFBF5E" w:themeColor="accent2" w:themeTint="99"/>
        <w:left w:val="single" w:sz="4" w:space="0" w:color="FFBF5E" w:themeColor="accent2" w:themeTint="99"/>
        <w:bottom w:val="single" w:sz="4" w:space="0" w:color="FFBF5E" w:themeColor="accent2" w:themeTint="99"/>
        <w:right w:val="single" w:sz="4" w:space="0" w:color="FFBF5E" w:themeColor="accent2" w:themeTint="99"/>
        <w:insideH w:val="single" w:sz="4" w:space="0" w:color="FFBF5E" w:themeColor="accent2" w:themeTint="99"/>
        <w:insideV w:val="single" w:sz="4" w:space="0" w:color="FFBF5E" w:themeColor="accent2" w:themeTint="99"/>
      </w:tblBorders>
    </w:tblPr>
    <w:tblStylePr w:type="firstRow">
      <w:rPr>
        <w:b/>
        <w:bCs/>
        <w:color w:val="FFFFFF" w:themeColor="background1"/>
      </w:rPr>
      <w:tblPr/>
      <w:tcPr>
        <w:tcBorders>
          <w:top w:val="single" w:sz="4" w:space="0" w:color="F29400" w:themeColor="accent2"/>
          <w:left w:val="single" w:sz="4" w:space="0" w:color="F29400" w:themeColor="accent2"/>
          <w:bottom w:val="single" w:sz="4" w:space="0" w:color="F29400" w:themeColor="accent2"/>
          <w:right w:val="single" w:sz="4" w:space="0" w:color="F29400" w:themeColor="accent2"/>
          <w:insideH w:val="nil"/>
          <w:insideV w:val="nil"/>
        </w:tcBorders>
        <w:shd w:val="clear" w:color="auto" w:fill="F29400" w:themeFill="accent2"/>
      </w:tcPr>
    </w:tblStylePr>
    <w:tblStylePr w:type="lastRow">
      <w:rPr>
        <w:b/>
        <w:bCs/>
      </w:rPr>
      <w:tblPr/>
      <w:tcPr>
        <w:tcBorders>
          <w:top w:val="double" w:sz="4" w:space="0" w:color="F29400" w:themeColor="accent2"/>
        </w:tcBorders>
      </w:tcPr>
    </w:tblStylePr>
    <w:tblStylePr w:type="firstCol">
      <w:rPr>
        <w:b/>
        <w:bCs/>
      </w:rPr>
    </w:tblStylePr>
    <w:tblStylePr w:type="lastCol">
      <w:rPr>
        <w:b/>
        <w:bCs/>
      </w:rPr>
    </w:tblStylePr>
    <w:tblStylePr w:type="band1Vert">
      <w:tblPr/>
      <w:tcPr>
        <w:shd w:val="clear" w:color="auto" w:fill="FFE9C9" w:themeFill="accent2" w:themeFillTint="33"/>
      </w:tcPr>
    </w:tblStylePr>
    <w:tblStylePr w:type="band1Horz">
      <w:tblPr/>
      <w:tcPr>
        <w:shd w:val="clear" w:color="auto" w:fill="FFE9C9" w:themeFill="accent2" w:themeFillTint="33"/>
      </w:tcPr>
    </w:tblStylePr>
  </w:style>
  <w:style w:type="table" w:styleId="Rastertabel4-Accent4">
    <w:name w:val="Grid Table 4 Accent 4"/>
    <w:basedOn w:val="Standaardtabel"/>
    <w:uiPriority w:val="49"/>
    <w:rsid w:val="00462F90"/>
    <w:pPr>
      <w:spacing w:after="0" w:line="240" w:lineRule="auto"/>
    </w:pPr>
    <w:tblPr>
      <w:tblStyleRowBandSize w:val="1"/>
      <w:tblStyleColBandSize w:val="1"/>
      <w:tblBorders>
        <w:top w:val="single" w:sz="4" w:space="0" w:color="FF4881" w:themeColor="accent4" w:themeTint="99"/>
        <w:left w:val="single" w:sz="4" w:space="0" w:color="FF4881" w:themeColor="accent4" w:themeTint="99"/>
        <w:bottom w:val="single" w:sz="4" w:space="0" w:color="FF4881" w:themeColor="accent4" w:themeTint="99"/>
        <w:right w:val="single" w:sz="4" w:space="0" w:color="FF4881" w:themeColor="accent4" w:themeTint="99"/>
        <w:insideH w:val="single" w:sz="4" w:space="0" w:color="FF4881" w:themeColor="accent4" w:themeTint="99"/>
        <w:insideV w:val="single" w:sz="4" w:space="0" w:color="FF4881" w:themeColor="accent4" w:themeTint="99"/>
      </w:tblBorders>
    </w:tblPr>
    <w:tblStylePr w:type="firstRow">
      <w:rPr>
        <w:b/>
        <w:bCs/>
        <w:color w:val="FFFFFF" w:themeColor="background1"/>
      </w:rPr>
      <w:tblPr/>
      <w:tcPr>
        <w:tcBorders>
          <w:top w:val="single" w:sz="4" w:space="0" w:color="CD0041" w:themeColor="accent4"/>
          <w:left w:val="single" w:sz="4" w:space="0" w:color="CD0041" w:themeColor="accent4"/>
          <w:bottom w:val="single" w:sz="4" w:space="0" w:color="CD0041" w:themeColor="accent4"/>
          <w:right w:val="single" w:sz="4" w:space="0" w:color="CD0041" w:themeColor="accent4"/>
          <w:insideH w:val="nil"/>
          <w:insideV w:val="nil"/>
        </w:tcBorders>
        <w:shd w:val="clear" w:color="auto" w:fill="CD0041" w:themeFill="accent4"/>
      </w:tcPr>
    </w:tblStylePr>
    <w:tblStylePr w:type="lastRow">
      <w:rPr>
        <w:b/>
        <w:bCs/>
      </w:rPr>
      <w:tblPr/>
      <w:tcPr>
        <w:tcBorders>
          <w:top w:val="double" w:sz="4" w:space="0" w:color="CD0041" w:themeColor="accent4"/>
        </w:tcBorders>
      </w:tcPr>
    </w:tblStylePr>
    <w:tblStylePr w:type="firstCol">
      <w:rPr>
        <w:b/>
        <w:bCs/>
      </w:rPr>
    </w:tblStylePr>
    <w:tblStylePr w:type="lastCol">
      <w:rPr>
        <w:b/>
        <w:bCs/>
      </w:rPr>
    </w:tblStylePr>
    <w:tblStylePr w:type="band1Vert">
      <w:tblPr/>
      <w:tcPr>
        <w:shd w:val="clear" w:color="auto" w:fill="FFC2D5" w:themeFill="accent4" w:themeFillTint="33"/>
      </w:tcPr>
    </w:tblStylePr>
    <w:tblStylePr w:type="band1Horz">
      <w:tblPr/>
      <w:tcPr>
        <w:shd w:val="clear" w:color="auto" w:fill="FFC2D5" w:themeFill="accent4" w:themeFillTint="33"/>
      </w:tcPr>
    </w:tblStylePr>
  </w:style>
  <w:style w:type="table" w:styleId="Rastertabel5donker-Accent2">
    <w:name w:val="Grid Table 5 Dark Accent 2"/>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94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94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94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9400" w:themeFill="accent2"/>
      </w:tcPr>
    </w:tblStylePr>
    <w:tblStylePr w:type="band1Vert">
      <w:tblPr/>
      <w:tcPr>
        <w:shd w:val="clear" w:color="auto" w:fill="FFD493" w:themeFill="accent2" w:themeFillTint="66"/>
      </w:tcPr>
    </w:tblStylePr>
    <w:tblStylePr w:type="band1Horz">
      <w:tblPr/>
      <w:tcPr>
        <w:shd w:val="clear" w:color="auto" w:fill="FFD493" w:themeFill="accent2" w:themeFillTint="66"/>
      </w:tcPr>
    </w:tblStylePr>
  </w:style>
  <w:style w:type="table" w:styleId="Rastertabel5donker-Accent4">
    <w:name w:val="Grid Table 5 Dark Accent 4"/>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2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00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00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00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0041" w:themeFill="accent4"/>
      </w:tcPr>
    </w:tblStylePr>
    <w:tblStylePr w:type="band1Vert">
      <w:tblPr/>
      <w:tcPr>
        <w:shd w:val="clear" w:color="auto" w:fill="FF85AB" w:themeFill="accent4" w:themeFillTint="66"/>
      </w:tcPr>
    </w:tblStylePr>
    <w:tblStylePr w:type="band1Horz">
      <w:tblPr/>
      <w:tcPr>
        <w:shd w:val="clear" w:color="auto" w:fill="FF85AB" w:themeFill="accent4" w:themeFillTint="66"/>
      </w:tcPr>
    </w:tblStylePr>
  </w:style>
  <w:style w:type="table" w:styleId="Rastertabel5donker-Accent3">
    <w:name w:val="Grid Table 5 Dark Accent 3"/>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C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F1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F1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F1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F1B" w:themeFill="accent3"/>
      </w:tcPr>
    </w:tblStylePr>
    <w:tblStylePr w:type="band1Vert">
      <w:tblPr/>
      <w:tcPr>
        <w:shd w:val="clear" w:color="auto" w:fill="D7EE94" w:themeFill="accent3" w:themeFillTint="66"/>
      </w:tcPr>
    </w:tblStylePr>
    <w:tblStylePr w:type="band1Horz">
      <w:tblPr/>
      <w:tcPr>
        <w:shd w:val="clear" w:color="auto" w:fill="D7EE94" w:themeFill="accent3" w:themeFillTint="66"/>
      </w:tcPr>
    </w:tblStylePr>
  </w:style>
  <w:style w:type="table" w:styleId="Rastertabel5donker-Accent1">
    <w:name w:val="Grid Table 5 Dark Accent 1"/>
    <w:basedOn w:val="Standaardtabel"/>
    <w:uiPriority w:val="50"/>
    <w:rsid w:val="00E922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BD" w:themeFill="accent1"/>
      </w:tcPr>
    </w:tblStylePr>
    <w:tblStylePr w:type="band1Vert">
      <w:tblPr/>
      <w:tcPr>
        <w:shd w:val="clear" w:color="auto" w:fill="7EE0FF" w:themeFill="accent1" w:themeFillTint="66"/>
      </w:tcPr>
    </w:tblStylePr>
    <w:tblStylePr w:type="band1Horz">
      <w:tblPr/>
      <w:tcPr>
        <w:shd w:val="clear" w:color="auto" w:fill="7EE0FF" w:themeFill="accent1" w:themeFillTint="66"/>
      </w:tcPr>
    </w:tblStylePr>
  </w:style>
  <w:style w:type="paragraph" w:styleId="Koptekst">
    <w:name w:val="header"/>
    <w:basedOn w:val="Standaard"/>
    <w:link w:val="KoptekstChar"/>
    <w:uiPriority w:val="99"/>
    <w:unhideWhenUsed/>
    <w:rsid w:val="009C39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950"/>
    <w:rPr>
      <w:sz w:val="20"/>
    </w:rPr>
  </w:style>
  <w:style w:type="paragraph" w:styleId="Voettekst">
    <w:name w:val="footer"/>
    <w:basedOn w:val="Standaard"/>
    <w:link w:val="VoettekstChar"/>
    <w:uiPriority w:val="99"/>
    <w:unhideWhenUsed/>
    <w:rsid w:val="009C39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95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EsdMgt">
      <a:dk1>
        <a:sysClr val="windowText" lastClr="000000"/>
      </a:dk1>
      <a:lt1>
        <a:sysClr val="window" lastClr="FFFFFF"/>
      </a:lt1>
      <a:dk2>
        <a:srgbClr val="A5A5A5"/>
      </a:dk2>
      <a:lt2>
        <a:srgbClr val="E7E6E6"/>
      </a:lt2>
      <a:accent1>
        <a:srgbClr val="0091BD"/>
      </a:accent1>
      <a:accent2>
        <a:srgbClr val="F29400"/>
      </a:accent2>
      <a:accent3>
        <a:srgbClr val="8AAF1B"/>
      </a:accent3>
      <a:accent4>
        <a:srgbClr val="CD0041"/>
      </a:accent4>
      <a:accent5>
        <a:srgbClr val="D8D8D8"/>
      </a:accent5>
      <a:accent6>
        <a:srgbClr val="7F7F7F"/>
      </a:accent6>
      <a:hlink>
        <a:srgbClr val="CD0041"/>
      </a:hlink>
      <a:folHlink>
        <a:srgbClr val="0091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B5E61E1F-9F41-4099-B953-AE6F38516B60}">
  <ds:schemaRefs>
    <ds:schemaRef ds:uri="http://schemas.openxmlformats.org/officeDocument/2006/bibliography"/>
  </ds:schemaRefs>
</ds:datastoreItem>
</file>

<file path=customXml/itemProps2.xml><?xml version="1.0" encoding="utf-8"?>
<ds:datastoreItem xmlns:ds="http://schemas.openxmlformats.org/officeDocument/2006/customXml" ds:itemID="{19085FA2-0975-4A41-AD7E-A0482A89EAF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1607</Words>
  <Characters>8840</Characters>
  <Application>Microsoft Office Word</Application>
  <DocSecurity>0</DocSecurity>
  <Lines>73</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Haarsma</dc:creator>
  <cp:keywords/>
  <dc:description/>
  <cp:lastModifiedBy>Laurent Haarsma</cp:lastModifiedBy>
  <cp:revision>8</cp:revision>
  <dcterms:created xsi:type="dcterms:W3CDTF">2026-04-15T13:46:00Z</dcterms:created>
  <dcterms:modified xsi:type="dcterms:W3CDTF">2026-04-16T08:16:00Z</dcterms:modified>
</cp:coreProperties>
</file>