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F12" w14:textId="1DDBA0A8" w:rsidR="009D06A6" w:rsidRPr="00C32D47" w:rsidRDefault="009D06A6" w:rsidP="00A7601F">
      <w:pPr>
        <w:rPr>
          <w:b/>
          <w:bCs/>
          <w:color w:val="2F5496" w:themeColor="accent1" w:themeShade="BF"/>
          <w:sz w:val="24"/>
          <w:szCs w:val="24"/>
          <w:lang w:eastAsia="nl-NL"/>
        </w:rPr>
      </w:pPr>
      <w:bookmarkStart w:id="0" w:name="_Toc319930476"/>
      <w:r w:rsidRPr="00C32D47">
        <w:rPr>
          <w:b/>
          <w:bCs/>
          <w:color w:val="2F5496" w:themeColor="accent1" w:themeShade="BF"/>
          <w:sz w:val="24"/>
          <w:szCs w:val="24"/>
          <w:lang w:eastAsia="nl-NL"/>
        </w:rPr>
        <w:t>Bijlage 6</w:t>
      </w:r>
      <w:r w:rsidR="00AC74F4">
        <w:rPr>
          <w:b/>
          <w:bCs/>
          <w:color w:val="2F5496" w:themeColor="accent1" w:themeShade="BF"/>
          <w:sz w:val="24"/>
          <w:szCs w:val="24"/>
          <w:lang w:eastAsia="nl-NL"/>
        </w:rPr>
        <w:t>b</w:t>
      </w:r>
      <w:r w:rsidRPr="00C32D47">
        <w:rPr>
          <w:b/>
          <w:bCs/>
          <w:color w:val="2F5496" w:themeColor="accent1" w:themeShade="BF"/>
          <w:sz w:val="24"/>
          <w:szCs w:val="24"/>
          <w:lang w:eastAsia="nl-NL"/>
        </w:rPr>
        <w:t xml:space="preserve"> </w:t>
      </w:r>
      <w:bookmarkEnd w:id="0"/>
      <w:r w:rsidRPr="00C32D47">
        <w:rPr>
          <w:b/>
          <w:bCs/>
          <w:color w:val="2F5496" w:themeColor="accent1" w:themeShade="BF"/>
          <w:sz w:val="24"/>
          <w:szCs w:val="24"/>
          <w:lang w:eastAsia="nl-NL"/>
        </w:rPr>
        <w:t xml:space="preserve">Antwoordformulier </w:t>
      </w:r>
      <w:r w:rsidR="00453803">
        <w:rPr>
          <w:b/>
          <w:bCs/>
          <w:color w:val="2F5496" w:themeColor="accent1" w:themeShade="BF"/>
          <w:sz w:val="24"/>
          <w:szCs w:val="24"/>
          <w:lang w:eastAsia="nl-NL"/>
        </w:rPr>
        <w:t>k</w:t>
      </w:r>
      <w:r w:rsidRPr="00C32D47">
        <w:rPr>
          <w:b/>
          <w:bCs/>
          <w:color w:val="2F5496" w:themeColor="accent1" w:themeShade="BF"/>
          <w:sz w:val="24"/>
          <w:szCs w:val="24"/>
          <w:lang w:eastAsia="nl-NL"/>
        </w:rPr>
        <w:t>waliteitswens</w:t>
      </w:r>
      <w:r w:rsidR="00BB6FF9">
        <w:rPr>
          <w:b/>
          <w:bCs/>
          <w:color w:val="2F5496" w:themeColor="accent1" w:themeShade="BF"/>
          <w:sz w:val="24"/>
          <w:szCs w:val="24"/>
          <w:lang w:eastAsia="nl-NL"/>
        </w:rPr>
        <w:t>en</w:t>
      </w:r>
    </w:p>
    <w:p w14:paraId="4638DCF2" w14:textId="77777777" w:rsidR="009D06A6" w:rsidRPr="00C32D47" w:rsidRDefault="009D06A6" w:rsidP="00A7601F">
      <w:pPr>
        <w:rPr>
          <w:rFonts w:cs="Times New Roman"/>
          <w:lang w:eastAsia="nl-NL"/>
        </w:rPr>
      </w:pPr>
    </w:p>
    <w:p w14:paraId="0E810DBA" w14:textId="39F9C2B7" w:rsidR="009D06A6" w:rsidRPr="00C32D47" w:rsidRDefault="009D06A6" w:rsidP="00A7601F">
      <w:pPr>
        <w:rPr>
          <w:rFonts w:cs="Times New Roman"/>
          <w:lang w:eastAsia="nl-NL"/>
        </w:rPr>
      </w:pPr>
      <w:r w:rsidRPr="3A35E4E2">
        <w:rPr>
          <w:rFonts w:cs="Times New Roman"/>
          <w:lang w:eastAsia="nl-NL"/>
        </w:rPr>
        <w:t xml:space="preserve">Zie paragraaf </w:t>
      </w:r>
      <w:r w:rsidR="008B0144" w:rsidRPr="3A35E4E2">
        <w:rPr>
          <w:rFonts w:cs="Times New Roman"/>
          <w:lang w:eastAsia="nl-NL"/>
        </w:rPr>
        <w:t>7.3.15</w:t>
      </w:r>
      <w:r w:rsidR="74D0D729" w:rsidRPr="3A35E4E2">
        <w:rPr>
          <w:rFonts w:cs="Times New Roman"/>
          <w:lang w:eastAsia="nl-NL"/>
        </w:rPr>
        <w:t>.3</w:t>
      </w:r>
      <w:r w:rsidRPr="3A35E4E2">
        <w:rPr>
          <w:rFonts w:cs="Times New Roman"/>
          <w:lang w:eastAsia="nl-NL"/>
        </w:rPr>
        <w:t xml:space="preserve"> van het </w:t>
      </w:r>
      <w:r w:rsidR="00453803" w:rsidRPr="3A35E4E2">
        <w:rPr>
          <w:rFonts w:cs="Times New Roman"/>
          <w:lang w:eastAsia="nl-NL"/>
        </w:rPr>
        <w:t>A</w:t>
      </w:r>
      <w:r w:rsidRPr="3A35E4E2">
        <w:rPr>
          <w:rFonts w:cs="Times New Roman"/>
          <w:lang w:eastAsia="nl-NL"/>
        </w:rPr>
        <w:t>anbestedingsdocument voor de vereisten die van toepassing zijn op het beantwoorden van de kwaliteitswensen.</w:t>
      </w:r>
    </w:p>
    <w:p w14:paraId="07F85BEF" w14:textId="77777777" w:rsidR="009D06A6" w:rsidRPr="00C32D47" w:rsidRDefault="009D06A6" w:rsidP="00A7601F">
      <w:pPr>
        <w:rPr>
          <w:rFonts w:cs="Times New Roman"/>
          <w:szCs w:val="18"/>
          <w:lang w:eastAsia="nl-NL"/>
        </w:rPr>
      </w:pPr>
    </w:p>
    <w:p w14:paraId="04ECC63E" w14:textId="53C2AE11" w:rsidR="004E200B" w:rsidRPr="00C32D47" w:rsidRDefault="004E200B" w:rsidP="00A7601F">
      <w:pPr>
        <w:rPr>
          <w:rFonts w:cs="Times New Roman"/>
          <w:szCs w:val="18"/>
          <w:lang w:eastAsia="nl-NL"/>
        </w:rPr>
      </w:pPr>
    </w:p>
    <w:tbl>
      <w:tblPr>
        <w:tblW w:w="51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hemeFill="accent1" w:themeFillTint="99"/>
        <w:tblLook w:val="01E0" w:firstRow="1" w:lastRow="1" w:firstColumn="1" w:lastColumn="1" w:noHBand="0" w:noVBand="0"/>
      </w:tblPr>
      <w:tblGrid>
        <w:gridCol w:w="2239"/>
        <w:gridCol w:w="7184"/>
      </w:tblGrid>
      <w:tr w:rsidR="00923060" w:rsidRPr="0031308C" w14:paraId="5764058F" w14:textId="77777777" w:rsidTr="00923060">
        <w:trPr>
          <w:trHeight w:val="284"/>
          <w:tblHeader/>
        </w:trPr>
        <w:tc>
          <w:tcPr>
            <w:tcW w:w="5000" w:type="pct"/>
            <w:gridSpan w:val="2"/>
            <w:shd w:val="clear" w:color="auto" w:fill="B4C6E7" w:themeFill="accent1" w:themeFillTint="66"/>
            <w:hideMark/>
          </w:tcPr>
          <w:p w14:paraId="7DEBBAA3" w14:textId="77777777" w:rsidR="00923060" w:rsidRPr="0031308C" w:rsidRDefault="00923060" w:rsidP="00B8676A">
            <w:pPr>
              <w:spacing w:after="120"/>
              <w:rPr>
                <w:b/>
                <w:szCs w:val="18"/>
                <w:highlight w:val="yellow"/>
              </w:rPr>
            </w:pPr>
            <w:r w:rsidRPr="00F84343">
              <w:rPr>
                <w:b/>
                <w:szCs w:val="18"/>
              </w:rPr>
              <w:t xml:space="preserve">Kwaliteitswens 2: Beheer en onderhoud </w:t>
            </w:r>
            <w:proofErr w:type="spellStart"/>
            <w:r w:rsidRPr="00F84343">
              <w:rPr>
                <w:b/>
                <w:szCs w:val="18"/>
              </w:rPr>
              <w:t>Legacy</w:t>
            </w:r>
            <w:proofErr w:type="spellEnd"/>
            <w:r w:rsidRPr="00F84343">
              <w:rPr>
                <w:b/>
                <w:szCs w:val="18"/>
              </w:rPr>
              <w:t>-systemen</w:t>
            </w:r>
          </w:p>
        </w:tc>
      </w:tr>
      <w:tr w:rsidR="00923060" w:rsidRPr="0031308C" w14:paraId="319E44C3" w14:textId="77777777" w:rsidTr="00B8676A">
        <w:tc>
          <w:tcPr>
            <w:tcW w:w="1188" w:type="pct"/>
            <w:shd w:val="clear" w:color="auto" w:fill="B4C6E7" w:themeFill="accent1" w:themeFillTint="66"/>
          </w:tcPr>
          <w:p w14:paraId="33363304" w14:textId="77777777" w:rsidR="00923060" w:rsidRPr="0031308C" w:rsidRDefault="00923060" w:rsidP="00B8676A">
            <w:pPr>
              <w:spacing w:after="120"/>
              <w:rPr>
                <w:b/>
                <w:szCs w:val="18"/>
              </w:rPr>
            </w:pPr>
            <w:r w:rsidRPr="0031308C">
              <w:rPr>
                <w:b/>
                <w:szCs w:val="18"/>
              </w:rPr>
              <w:t>Achtergrond</w:t>
            </w:r>
          </w:p>
        </w:tc>
        <w:tc>
          <w:tcPr>
            <w:tcW w:w="3812" w:type="pct"/>
            <w:shd w:val="clear" w:color="auto" w:fill="FFFFFF" w:themeFill="background1"/>
          </w:tcPr>
          <w:p w14:paraId="7AB4F84D" w14:textId="77777777" w:rsidR="000B388F" w:rsidRDefault="000B388F" w:rsidP="000B388F">
            <w:pPr>
              <w:spacing w:after="120"/>
              <w:rPr>
                <w:szCs w:val="18"/>
              </w:rPr>
            </w:pPr>
            <w:r w:rsidRPr="00EB140B">
              <w:rPr>
                <w:szCs w:val="18"/>
              </w:rPr>
              <w:t>Deelnemers gebruiken IT</w:t>
            </w:r>
            <w:r w:rsidRPr="00EB140B">
              <w:rPr>
                <w:szCs w:val="18"/>
              </w:rPr>
              <w:noBreakHyphen/>
              <w:t xml:space="preserve">systemen die essentieel zijn voor hun primaire processen en dagelijkse bedrijfsvoering. Een deel daarvan bestaat uit </w:t>
            </w:r>
            <w:proofErr w:type="spellStart"/>
            <w:r w:rsidRPr="00EB140B">
              <w:rPr>
                <w:szCs w:val="18"/>
              </w:rPr>
              <w:t>legacy</w:t>
            </w:r>
            <w:proofErr w:type="spellEnd"/>
            <w:r w:rsidRPr="00EB140B">
              <w:rPr>
                <w:szCs w:val="18"/>
              </w:rPr>
              <w:noBreakHyphen/>
              <w:t>systemen: verouderde</w:t>
            </w:r>
            <w:r>
              <w:rPr>
                <w:szCs w:val="18"/>
              </w:rPr>
              <w:t>,</w:t>
            </w:r>
            <w:r w:rsidRPr="00EB140B">
              <w:rPr>
                <w:szCs w:val="18"/>
              </w:rPr>
              <w:t xml:space="preserve"> maar nog steeds cruciale ICT</w:t>
            </w:r>
            <w:r w:rsidRPr="00EB140B">
              <w:rPr>
                <w:szCs w:val="18"/>
              </w:rPr>
              <w:noBreakHyphen/>
              <w:t>systemen, zowel software als hardware, die vaak draaien op technieken of computertalen die niet meer regulier worden ondersteund</w:t>
            </w:r>
            <w:r>
              <w:rPr>
                <w:szCs w:val="18"/>
              </w:rPr>
              <w:t xml:space="preserve"> (End of Support)</w:t>
            </w:r>
            <w:r w:rsidRPr="00EB140B">
              <w:rPr>
                <w:szCs w:val="18"/>
              </w:rPr>
              <w:t xml:space="preserve"> of waarvoor de leverancier ‘End of Life’ heeft bepaald (zie o.a. de </w:t>
            </w:r>
            <w:hyperlink r:id="rId10" w:history="1">
              <w:r w:rsidRPr="00FF337B">
                <w:rPr>
                  <w:rStyle w:val="Hyperlink"/>
                  <w:szCs w:val="18"/>
                </w:rPr>
                <w:t>handreiking</w:t>
              </w:r>
            </w:hyperlink>
            <w:r w:rsidRPr="00EB140B">
              <w:rPr>
                <w:szCs w:val="18"/>
              </w:rPr>
              <w:t xml:space="preserve"> van het adviescollege ICT</w:t>
            </w:r>
            <w:r>
              <w:rPr>
                <w:szCs w:val="18"/>
              </w:rPr>
              <w:t xml:space="preserve"> (</w:t>
            </w:r>
            <w:r w:rsidRPr="00E65089">
              <w:rPr>
                <w:szCs w:val="18"/>
              </w:rPr>
              <w:t>www.adviescollegeicttoetsing.nl/</w:t>
            </w:r>
            <w:r>
              <w:rPr>
                <w:szCs w:val="18"/>
              </w:rPr>
              <w:t>)</w:t>
            </w:r>
            <w:r w:rsidRPr="00EB140B">
              <w:rPr>
                <w:szCs w:val="18"/>
              </w:rPr>
              <w:t>. Deze systemen zijn minder flexibel, moeilijker te integreren in moderne IT</w:t>
            </w:r>
            <w:r w:rsidRPr="00EB140B">
              <w:rPr>
                <w:szCs w:val="18"/>
              </w:rPr>
              <w:noBreakHyphen/>
              <w:t xml:space="preserve">omgevingen en brengen specifieke risico’s met zich mee op het gebied van veiligheid, innovatie, wendbaarheid en kosten. </w:t>
            </w:r>
          </w:p>
          <w:p w14:paraId="0BA6A76C" w14:textId="77777777" w:rsidR="000B388F" w:rsidRDefault="000B388F" w:rsidP="000B388F">
            <w:pPr>
              <w:spacing w:after="120"/>
              <w:rPr>
                <w:szCs w:val="18"/>
              </w:rPr>
            </w:pPr>
            <w:r w:rsidRPr="00EB140B">
              <w:rPr>
                <w:szCs w:val="18"/>
              </w:rPr>
              <w:t xml:space="preserve">De veroudering van deze systemen, gecombineerd met schaarste aan kennis en capaciteit, maakt het beheer ervan complex. Tegelijkertijd kunnen deze systemen niet zomaar worden vervangen, omdat zij essentiële processen ondersteunen en continuïteit van dienstverlening cruciaal is. Daarom hechten Deelnemers grote waarde aan professioneel beheer en onderhoud, waarbij storingen snel worden opgelost, updates waar mogelijk tijdig worden doorgevoerd en kennis over zowel moderne als </w:t>
            </w:r>
            <w:proofErr w:type="spellStart"/>
            <w:r w:rsidRPr="00EB140B">
              <w:rPr>
                <w:szCs w:val="18"/>
              </w:rPr>
              <w:t>legacy</w:t>
            </w:r>
            <w:proofErr w:type="spellEnd"/>
            <w:r w:rsidRPr="00EB140B">
              <w:rPr>
                <w:szCs w:val="18"/>
              </w:rPr>
              <w:noBreakHyphen/>
              <w:t xml:space="preserve">applicaties structureel wordt geborgd en gedeeld. </w:t>
            </w:r>
          </w:p>
          <w:p w14:paraId="026D2E85" w14:textId="1371A10B" w:rsidR="00923060" w:rsidRPr="0031308C" w:rsidRDefault="000B388F" w:rsidP="000B388F">
            <w:pPr>
              <w:spacing w:after="120"/>
              <w:rPr>
                <w:szCs w:val="18"/>
              </w:rPr>
            </w:pPr>
            <w:r w:rsidRPr="00EB140B">
              <w:rPr>
                <w:szCs w:val="18"/>
              </w:rPr>
              <w:t xml:space="preserve">Beheer en onderhoud van </w:t>
            </w:r>
            <w:proofErr w:type="spellStart"/>
            <w:r w:rsidRPr="00EB140B">
              <w:rPr>
                <w:szCs w:val="18"/>
              </w:rPr>
              <w:t>legacy</w:t>
            </w:r>
            <w:proofErr w:type="spellEnd"/>
            <w:r w:rsidRPr="00EB140B">
              <w:rPr>
                <w:szCs w:val="18"/>
              </w:rPr>
              <w:noBreakHyphen/>
              <w:t xml:space="preserve">systemen vraagt om maatwerk, omdat de benodigde maatregelen afhankelijk zijn van de specifieke kenmerken en risico’s van het betreffende systeem. Dit vraagt van </w:t>
            </w:r>
            <w:r>
              <w:rPr>
                <w:szCs w:val="18"/>
              </w:rPr>
              <w:t>Deelnemer</w:t>
            </w:r>
            <w:r w:rsidRPr="00EB140B">
              <w:rPr>
                <w:szCs w:val="18"/>
              </w:rPr>
              <w:t>s een aanpak waar</w:t>
            </w:r>
            <w:r>
              <w:rPr>
                <w:szCs w:val="18"/>
              </w:rPr>
              <w:t>bij</w:t>
            </w:r>
            <w:r w:rsidRPr="00EB140B">
              <w:rPr>
                <w:szCs w:val="18"/>
              </w:rPr>
              <w:t xml:space="preserve"> rekening wordt gehouden met beperkte documentatie, schaarse expertise en verhoogde risico’s, terwijl tegelijkertijd de continuïteit van de dienstverlening gewaarborgd moet blijven.</w:t>
            </w:r>
          </w:p>
        </w:tc>
      </w:tr>
      <w:tr w:rsidR="00923060" w:rsidRPr="002F26CC" w14:paraId="20E76F5D" w14:textId="77777777" w:rsidTr="00B8676A">
        <w:tc>
          <w:tcPr>
            <w:tcW w:w="1188" w:type="pct"/>
            <w:shd w:val="clear" w:color="auto" w:fill="B4C6E7" w:themeFill="accent1" w:themeFillTint="66"/>
            <w:hideMark/>
          </w:tcPr>
          <w:p w14:paraId="1FC0B945" w14:textId="77777777" w:rsidR="00923060" w:rsidRPr="0031308C" w:rsidRDefault="00923060" w:rsidP="00B8676A">
            <w:pPr>
              <w:spacing w:after="120"/>
              <w:rPr>
                <w:b/>
                <w:szCs w:val="18"/>
              </w:rPr>
            </w:pPr>
            <w:r w:rsidRPr="0031308C">
              <w:rPr>
                <w:b/>
                <w:szCs w:val="18"/>
              </w:rPr>
              <w:t>Doelstelling</w:t>
            </w:r>
          </w:p>
        </w:tc>
        <w:tc>
          <w:tcPr>
            <w:tcW w:w="3812" w:type="pct"/>
            <w:shd w:val="clear" w:color="auto" w:fill="FFFFFF" w:themeFill="background1"/>
          </w:tcPr>
          <w:p w14:paraId="3F906109" w14:textId="3A698599" w:rsidR="00923060" w:rsidRPr="002F26CC" w:rsidRDefault="00923CA7" w:rsidP="00B8676A">
            <w:pPr>
              <w:spacing w:after="120"/>
              <w:rPr>
                <w:szCs w:val="18"/>
              </w:rPr>
            </w:pPr>
            <w:r w:rsidRPr="00CA1032">
              <w:rPr>
                <w:szCs w:val="18"/>
              </w:rPr>
              <w:t xml:space="preserve">Het doel van deze wensvraag is om Opdrachtnemers te selecteren die de komende jaren het beheer en onderhoud van de aanwezige </w:t>
            </w:r>
            <w:proofErr w:type="spellStart"/>
            <w:r w:rsidRPr="00CA1032">
              <w:rPr>
                <w:szCs w:val="18"/>
              </w:rPr>
              <w:t>legacy</w:t>
            </w:r>
            <w:proofErr w:type="spellEnd"/>
            <w:r w:rsidRPr="00CA1032">
              <w:rPr>
                <w:szCs w:val="18"/>
              </w:rPr>
              <w:noBreakHyphen/>
              <w:t>systemen betrouwbaar en veilig kunnen uitvoeren, zodat het huidige gebruik van deze systemen stabiel blijft en daarmee bedrijfsprocessen van Deelnemers ongestoord kunnen doorgaan</w:t>
            </w:r>
            <w:r>
              <w:rPr>
                <w:szCs w:val="18"/>
              </w:rPr>
              <w:t xml:space="preserve"> conform de geldende wet- en regelgeving en beleidskaders</w:t>
            </w:r>
            <w:r w:rsidRPr="00CA1032">
              <w:rPr>
                <w:szCs w:val="18"/>
              </w:rPr>
              <w:t>.</w:t>
            </w:r>
          </w:p>
        </w:tc>
      </w:tr>
      <w:tr w:rsidR="00616B42" w:rsidRPr="0031308C" w14:paraId="362FA562" w14:textId="77777777" w:rsidTr="00B8676A">
        <w:tc>
          <w:tcPr>
            <w:tcW w:w="1188" w:type="pct"/>
            <w:shd w:val="clear" w:color="auto" w:fill="B4C6E7" w:themeFill="accent1" w:themeFillTint="66"/>
            <w:hideMark/>
          </w:tcPr>
          <w:p w14:paraId="69A7F522" w14:textId="77777777" w:rsidR="00616B42" w:rsidRPr="0031308C" w:rsidRDefault="00616B42" w:rsidP="00616B42">
            <w:pPr>
              <w:spacing w:after="120"/>
              <w:rPr>
                <w:b/>
                <w:szCs w:val="18"/>
              </w:rPr>
            </w:pPr>
            <w:r w:rsidRPr="0031308C">
              <w:rPr>
                <w:b/>
                <w:szCs w:val="18"/>
              </w:rPr>
              <w:t xml:space="preserve">Vraagstelling </w:t>
            </w:r>
          </w:p>
        </w:tc>
        <w:tc>
          <w:tcPr>
            <w:tcW w:w="3812" w:type="pct"/>
            <w:shd w:val="clear" w:color="auto" w:fill="FFFFFF" w:themeFill="background1"/>
          </w:tcPr>
          <w:p w14:paraId="188C29E7" w14:textId="77777777" w:rsidR="00616B42" w:rsidRPr="000E57C1" w:rsidRDefault="00616B42" w:rsidP="00616B42">
            <w:pPr>
              <w:spacing w:after="120"/>
              <w:rPr>
                <w:szCs w:val="18"/>
              </w:rPr>
            </w:pPr>
            <w:r w:rsidRPr="000E57C1">
              <w:rPr>
                <w:szCs w:val="18"/>
              </w:rPr>
              <w:t xml:space="preserve">Beschrijf het intakeproces voor het overnemen van beheer en </w:t>
            </w:r>
            <w:r>
              <w:rPr>
                <w:szCs w:val="18"/>
              </w:rPr>
              <w:t>onder</w:t>
            </w:r>
            <w:r w:rsidRPr="000E57C1">
              <w:rPr>
                <w:szCs w:val="18"/>
              </w:rPr>
              <w:t>houd van </w:t>
            </w:r>
            <w:proofErr w:type="spellStart"/>
            <w:r w:rsidRPr="000E57C1">
              <w:rPr>
                <w:szCs w:val="18"/>
              </w:rPr>
              <w:t>legacy</w:t>
            </w:r>
            <w:proofErr w:type="spellEnd"/>
            <w:r w:rsidRPr="000E57C1">
              <w:rPr>
                <w:szCs w:val="18"/>
              </w:rPr>
              <w:t>-systemen. Dit proces start met een gericht verzoek van een Deelnemer voor een omschreven </w:t>
            </w:r>
            <w:proofErr w:type="spellStart"/>
            <w:r w:rsidRPr="000E57C1">
              <w:rPr>
                <w:szCs w:val="18"/>
              </w:rPr>
              <w:t>legacy</w:t>
            </w:r>
            <w:proofErr w:type="spellEnd"/>
            <w:r w:rsidRPr="000E57C1">
              <w:rPr>
                <w:szCs w:val="18"/>
              </w:rPr>
              <w:t>-systeem en is afgerond met een door Opdrachtnemer opgesteld document dat wordt goedgekeurd door Deelnemer en startsein is voor de transitie; dit document omvat de activiteiten die nodig zijn om de applicatie verantwoord over te nemen van de zittende leverancier of de interne beheerorganisatie van een Deelnemer en omvat in ieder geval het identificeren en beoordelen van risico’s die relevant zijn voor een veilige en beheersbare overname. </w:t>
            </w:r>
          </w:p>
          <w:p w14:paraId="54303FFC" w14:textId="77777777" w:rsidR="00616B42" w:rsidRPr="000E57C1" w:rsidRDefault="00616B42" w:rsidP="00616B42">
            <w:pPr>
              <w:spacing w:after="120"/>
              <w:rPr>
                <w:szCs w:val="18"/>
              </w:rPr>
            </w:pPr>
            <w:r w:rsidRPr="000E57C1">
              <w:rPr>
                <w:szCs w:val="18"/>
              </w:rPr>
              <w:t>Uw beschrijving bevat ook de uitwerking van de volgende drie onderdelen, opgenomen in afzonderlijke genummerde secties:  </w:t>
            </w:r>
          </w:p>
          <w:p w14:paraId="5A1381CF" w14:textId="77777777" w:rsidR="00616B42" w:rsidRPr="000E57C1" w:rsidRDefault="00616B42" w:rsidP="00616B42">
            <w:pPr>
              <w:numPr>
                <w:ilvl w:val="0"/>
                <w:numId w:val="13"/>
              </w:numPr>
              <w:tabs>
                <w:tab w:val="num" w:pos="720"/>
              </w:tabs>
              <w:spacing w:after="120"/>
              <w:rPr>
                <w:szCs w:val="18"/>
              </w:rPr>
            </w:pPr>
            <w:r w:rsidRPr="000E57C1">
              <w:rPr>
                <w:szCs w:val="18"/>
              </w:rPr>
              <w:t>Wat doet u structureel om </w:t>
            </w:r>
            <w:proofErr w:type="spellStart"/>
            <w:r w:rsidRPr="000E57C1">
              <w:rPr>
                <w:szCs w:val="18"/>
              </w:rPr>
              <w:t>legacy</w:t>
            </w:r>
            <w:proofErr w:type="spellEnd"/>
            <w:r w:rsidRPr="000E57C1">
              <w:rPr>
                <w:szCs w:val="18"/>
              </w:rPr>
              <w:noBreakHyphen/>
              <w:t xml:space="preserve">systemen veilig, betrouwbaar, onderhoudbaar en compliant te houden tijdens de beheer- en onderhoudsfase, inclusief bij aanpassing, aanvulling of verandering van functionaliteit en technologie? Licht toe hoe uw bevindingen uit het intakeproces worden meegenomen in de transitie en de daaropvolgende beheer- en onderhoudsfase, en hoe u eventuele veroudering tijdig </w:t>
            </w:r>
            <w:r w:rsidRPr="000E57C1">
              <w:rPr>
                <w:szCs w:val="18"/>
              </w:rPr>
              <w:lastRenderedPageBreak/>
              <w:t>signaleert en mitigeert</w:t>
            </w:r>
            <w:r>
              <w:rPr>
                <w:szCs w:val="18"/>
              </w:rPr>
              <w:t>,</w:t>
            </w:r>
            <w:r w:rsidRPr="000E57C1">
              <w:rPr>
                <w:szCs w:val="18"/>
              </w:rPr>
              <w:t xml:space="preserve"> zodat negatieve effecten in het gebruik worden beperkt.  </w:t>
            </w:r>
          </w:p>
          <w:p w14:paraId="3967C52E" w14:textId="77777777" w:rsidR="00616B42" w:rsidRPr="000E57C1" w:rsidRDefault="00616B42" w:rsidP="00616B42">
            <w:pPr>
              <w:numPr>
                <w:ilvl w:val="0"/>
                <w:numId w:val="14"/>
              </w:numPr>
              <w:tabs>
                <w:tab w:val="num" w:pos="720"/>
              </w:tabs>
              <w:spacing w:after="120"/>
              <w:rPr>
                <w:szCs w:val="18"/>
              </w:rPr>
            </w:pPr>
            <w:r w:rsidRPr="000E57C1">
              <w:rPr>
                <w:szCs w:val="18"/>
              </w:rPr>
              <w:t>Geef in uw beantwoording een voorstel van </w:t>
            </w:r>
            <w:proofErr w:type="spellStart"/>
            <w:r w:rsidRPr="000E57C1">
              <w:rPr>
                <w:szCs w:val="18"/>
              </w:rPr>
              <w:t>KPI’s</w:t>
            </w:r>
            <w:proofErr w:type="spellEnd"/>
            <w:r w:rsidRPr="000E57C1">
              <w:rPr>
                <w:szCs w:val="18"/>
              </w:rPr>
              <w:t> of </w:t>
            </w:r>
            <w:proofErr w:type="spellStart"/>
            <w:r w:rsidRPr="000E57C1">
              <w:rPr>
                <w:szCs w:val="18"/>
              </w:rPr>
              <w:t>metriekensets</w:t>
            </w:r>
            <w:proofErr w:type="spellEnd"/>
            <w:r w:rsidRPr="000E57C1">
              <w:rPr>
                <w:szCs w:val="18"/>
              </w:rPr>
              <w:t> (inclusief de daarbij gehanteerde normen of streefwaarden) die u voor het beheer en onderhoud van </w:t>
            </w:r>
            <w:proofErr w:type="spellStart"/>
            <w:r w:rsidRPr="000E57C1">
              <w:rPr>
                <w:szCs w:val="18"/>
              </w:rPr>
              <w:t>legacy</w:t>
            </w:r>
            <w:proofErr w:type="spellEnd"/>
            <w:r w:rsidRPr="000E57C1">
              <w:rPr>
                <w:szCs w:val="18"/>
              </w:rPr>
              <w:noBreakHyphen/>
              <w:t>systemen zou willen hanteren en geef aan wat de bijzonderheden hierbij zijn ten opzichte van systemen op basis van moderne, actief ondersteunde technologie (niet</w:t>
            </w:r>
            <w:r w:rsidRPr="000E57C1">
              <w:rPr>
                <w:szCs w:val="18"/>
              </w:rPr>
              <w:noBreakHyphen/>
            </w:r>
            <w:proofErr w:type="spellStart"/>
            <w:r w:rsidRPr="000E57C1">
              <w:rPr>
                <w:szCs w:val="18"/>
              </w:rPr>
              <w:t>legacy</w:t>
            </w:r>
            <w:proofErr w:type="spellEnd"/>
            <w:r w:rsidRPr="000E57C1">
              <w:rPr>
                <w:szCs w:val="18"/>
              </w:rPr>
              <w:t>).   </w:t>
            </w:r>
          </w:p>
          <w:p w14:paraId="5D044D87" w14:textId="77777777" w:rsidR="00616B42" w:rsidRPr="000E57C1" w:rsidRDefault="00616B42" w:rsidP="00616B42">
            <w:pPr>
              <w:numPr>
                <w:ilvl w:val="0"/>
                <w:numId w:val="15"/>
              </w:numPr>
              <w:spacing w:after="120"/>
              <w:rPr>
                <w:szCs w:val="18"/>
              </w:rPr>
            </w:pPr>
            <w:r w:rsidRPr="000E57C1">
              <w:rPr>
                <w:szCs w:val="18"/>
              </w:rPr>
              <w:t>Welke activiteiten, verantwoordelijkheden en de belangrijkste twee risico’s vallen buiten uw invloed</w:t>
            </w:r>
            <w:r>
              <w:rPr>
                <w:szCs w:val="18"/>
              </w:rPr>
              <w:t>s</w:t>
            </w:r>
            <w:r w:rsidRPr="000E57C1">
              <w:rPr>
                <w:szCs w:val="18"/>
              </w:rPr>
              <w:t>sfeer en zijn voorwaardelijk voor het succesvol uitvoeren van het beheer en onderhoud? Benoem hierbij de mitigerende maatregelen en wie deze zou moeten uitvoeren. </w:t>
            </w:r>
          </w:p>
          <w:p w14:paraId="091F0964" w14:textId="77777777" w:rsidR="00616B42" w:rsidRPr="000E57C1" w:rsidRDefault="00616B42" w:rsidP="00616B42">
            <w:pPr>
              <w:spacing w:after="120"/>
              <w:rPr>
                <w:szCs w:val="18"/>
              </w:rPr>
            </w:pPr>
            <w:r w:rsidRPr="000E57C1">
              <w:rPr>
                <w:szCs w:val="18"/>
              </w:rPr>
              <w:t>U kunt uw beantwoording baseren op toepassing van methodieken (of afwijking</w:t>
            </w:r>
            <w:r>
              <w:rPr>
                <w:szCs w:val="18"/>
              </w:rPr>
              <w:t>en</w:t>
            </w:r>
            <w:r w:rsidRPr="000E57C1">
              <w:rPr>
                <w:szCs w:val="18"/>
              </w:rPr>
              <w:t> daarop), praktijkervaring</w:t>
            </w:r>
            <w:r>
              <w:rPr>
                <w:szCs w:val="18"/>
              </w:rPr>
              <w:t>en</w:t>
            </w:r>
            <w:r w:rsidRPr="000E57C1">
              <w:rPr>
                <w:szCs w:val="18"/>
              </w:rPr>
              <w:t>, deskundigenoordeel en </w:t>
            </w:r>
            <w:proofErr w:type="spellStart"/>
            <w:r w:rsidRPr="000E57C1">
              <w:rPr>
                <w:szCs w:val="18"/>
              </w:rPr>
              <w:t>lessons</w:t>
            </w:r>
            <w:proofErr w:type="spellEnd"/>
            <w:r w:rsidRPr="000E57C1">
              <w:rPr>
                <w:szCs w:val="18"/>
              </w:rPr>
              <w:t> </w:t>
            </w:r>
            <w:proofErr w:type="spellStart"/>
            <w:r w:rsidRPr="000E57C1">
              <w:rPr>
                <w:szCs w:val="18"/>
              </w:rPr>
              <w:t>learned</w:t>
            </w:r>
            <w:proofErr w:type="spellEnd"/>
            <w:r w:rsidRPr="000E57C1">
              <w:rPr>
                <w:szCs w:val="18"/>
              </w:rPr>
              <w:t>. U mag voorbeelden gebruiken, mits deze passen binnen het onderstaande scenario.  </w:t>
            </w:r>
          </w:p>
          <w:p w14:paraId="06B7F089" w14:textId="77777777" w:rsidR="00616B42" w:rsidRPr="000E57C1" w:rsidRDefault="00616B42" w:rsidP="00616B42">
            <w:pPr>
              <w:rPr>
                <w:szCs w:val="18"/>
              </w:rPr>
            </w:pPr>
            <w:r w:rsidRPr="000E57C1">
              <w:rPr>
                <w:szCs w:val="18"/>
              </w:rPr>
              <w:t>Uw beantwoording is gebaseerd op het volgende </w:t>
            </w:r>
            <w:r w:rsidRPr="000E57C1">
              <w:rPr>
                <w:b/>
                <w:bCs/>
                <w:szCs w:val="18"/>
              </w:rPr>
              <w:t>scenario</w:t>
            </w:r>
            <w:r w:rsidRPr="000E57C1">
              <w:rPr>
                <w:szCs w:val="18"/>
              </w:rPr>
              <w:t>:  </w:t>
            </w:r>
          </w:p>
          <w:p w14:paraId="59937BE1" w14:textId="77777777" w:rsidR="00616B42" w:rsidRPr="000E57C1" w:rsidRDefault="00616B42" w:rsidP="00616B42">
            <w:pPr>
              <w:numPr>
                <w:ilvl w:val="0"/>
                <w:numId w:val="16"/>
              </w:numPr>
              <w:ind w:left="714" w:hanging="357"/>
              <w:rPr>
                <w:szCs w:val="18"/>
              </w:rPr>
            </w:pPr>
            <w:r w:rsidRPr="000E57C1">
              <w:rPr>
                <w:szCs w:val="18"/>
              </w:rPr>
              <w:t>de opdracht heeft een looptijd van vijf (5) jaar </w:t>
            </w:r>
          </w:p>
          <w:p w14:paraId="0A0444DA" w14:textId="77777777" w:rsidR="00616B42" w:rsidRPr="000E57C1" w:rsidRDefault="00616B42" w:rsidP="00616B42">
            <w:pPr>
              <w:numPr>
                <w:ilvl w:val="0"/>
                <w:numId w:val="16"/>
              </w:numPr>
              <w:ind w:left="714" w:hanging="357"/>
              <w:rPr>
                <w:szCs w:val="18"/>
              </w:rPr>
            </w:pPr>
            <w:r w:rsidRPr="000E57C1">
              <w:rPr>
                <w:szCs w:val="18"/>
              </w:rPr>
              <w:t>de applicatie is oorspronkelijk door de Deelnemer zelf ontwikkeld </w:t>
            </w:r>
          </w:p>
          <w:p w14:paraId="60D21810" w14:textId="77777777" w:rsidR="00616B42" w:rsidRPr="000E57C1" w:rsidRDefault="00616B42" w:rsidP="00616B42">
            <w:pPr>
              <w:numPr>
                <w:ilvl w:val="0"/>
                <w:numId w:val="16"/>
              </w:numPr>
              <w:ind w:left="714" w:hanging="357"/>
              <w:rPr>
                <w:szCs w:val="18"/>
              </w:rPr>
            </w:pPr>
            <w:r w:rsidRPr="000E57C1">
              <w:rPr>
                <w:szCs w:val="18"/>
              </w:rPr>
              <w:t>de Deelnemer is niet langer in staat deze zelfstandig te beheren en onderhouden wegens de in de loop der tijd toegenomen omvang en complexiteit </w:t>
            </w:r>
          </w:p>
          <w:p w14:paraId="76F218D7" w14:textId="77777777" w:rsidR="00616B42" w:rsidRDefault="00616B42" w:rsidP="00616B42">
            <w:pPr>
              <w:numPr>
                <w:ilvl w:val="0"/>
                <w:numId w:val="16"/>
              </w:numPr>
              <w:ind w:left="714" w:hanging="357"/>
              <w:rPr>
                <w:szCs w:val="18"/>
              </w:rPr>
            </w:pPr>
            <w:r w:rsidRPr="00012DD6">
              <w:rPr>
                <w:szCs w:val="18"/>
              </w:rPr>
              <w:t>in de opdracht is geen sprake van (door)ontwikkeling</w:t>
            </w:r>
            <w:r>
              <w:rPr>
                <w:szCs w:val="18"/>
              </w:rPr>
              <w:t>,</w:t>
            </w:r>
            <w:r w:rsidRPr="00012DD6">
              <w:rPr>
                <w:szCs w:val="18"/>
              </w:rPr>
              <w:t xml:space="preserve"> herbouw</w:t>
            </w:r>
            <w:r>
              <w:rPr>
                <w:szCs w:val="18"/>
              </w:rPr>
              <w:t xml:space="preserve"> of uitfasering</w:t>
            </w:r>
            <w:r w:rsidRPr="00012DD6">
              <w:rPr>
                <w:szCs w:val="18"/>
              </w:rPr>
              <w:t>.</w:t>
            </w:r>
          </w:p>
          <w:p w14:paraId="40AFFA0C" w14:textId="77777777" w:rsidR="00616B42" w:rsidRDefault="00616B42" w:rsidP="00616B42">
            <w:pPr>
              <w:ind w:left="714"/>
              <w:rPr>
                <w:szCs w:val="18"/>
              </w:rPr>
            </w:pPr>
          </w:p>
          <w:p w14:paraId="3A1887A2" w14:textId="77777777" w:rsidR="00616B42" w:rsidRPr="000E57C1" w:rsidRDefault="00616B42" w:rsidP="00616B42">
            <w:pPr>
              <w:rPr>
                <w:szCs w:val="18"/>
              </w:rPr>
            </w:pPr>
            <w:r w:rsidRPr="000E57C1">
              <w:rPr>
                <w:szCs w:val="18"/>
              </w:rPr>
              <w:t>Noot 3-1:  </w:t>
            </w:r>
          </w:p>
          <w:p w14:paraId="5A18338F" w14:textId="77777777" w:rsidR="00616B42" w:rsidRPr="000E57C1" w:rsidRDefault="00616B42" w:rsidP="00616B42">
            <w:pPr>
              <w:rPr>
                <w:szCs w:val="18"/>
              </w:rPr>
            </w:pPr>
            <w:r w:rsidRPr="000E57C1">
              <w:rPr>
                <w:szCs w:val="18"/>
              </w:rPr>
              <w:t>De beantwoording mag compact en op kernpunten worden gehouden, mits alle gevraagde onderdelen volledig, zorgvuldig en aantoonbaar worden behandeld. De compactheid mag niet ten koste gaan van de inhoudelijke onderbouwing die nodig is voor een goede beoordeling. </w:t>
            </w:r>
          </w:p>
          <w:p w14:paraId="6D7EC964" w14:textId="77777777" w:rsidR="00616B42" w:rsidRPr="000E57C1" w:rsidRDefault="00616B42" w:rsidP="00616B42">
            <w:pPr>
              <w:rPr>
                <w:szCs w:val="18"/>
              </w:rPr>
            </w:pPr>
            <w:r w:rsidRPr="000E57C1">
              <w:rPr>
                <w:szCs w:val="18"/>
              </w:rPr>
              <w:t> </w:t>
            </w:r>
          </w:p>
          <w:p w14:paraId="3400F65E" w14:textId="77777777" w:rsidR="00616B42" w:rsidRPr="000E57C1" w:rsidRDefault="00616B42" w:rsidP="00616B42">
            <w:pPr>
              <w:rPr>
                <w:szCs w:val="18"/>
              </w:rPr>
            </w:pPr>
            <w:r w:rsidRPr="000E57C1">
              <w:rPr>
                <w:szCs w:val="18"/>
              </w:rPr>
              <w:t>Noot 3-2:   </w:t>
            </w:r>
          </w:p>
          <w:p w14:paraId="23F84380" w14:textId="77777777" w:rsidR="00616B42" w:rsidRPr="000E57C1" w:rsidRDefault="00616B42" w:rsidP="00616B42">
            <w:pPr>
              <w:rPr>
                <w:szCs w:val="18"/>
              </w:rPr>
            </w:pPr>
            <w:r w:rsidRPr="000E57C1">
              <w:rPr>
                <w:szCs w:val="18"/>
              </w:rPr>
              <w:t>Houd er rekening mee dat u in de verificatiefase gevraagd kan worden om bewijs van uw aangedragen voorbeelden en opgevoerde ervaring. </w:t>
            </w:r>
          </w:p>
          <w:p w14:paraId="064246B1" w14:textId="77777777" w:rsidR="00616B42" w:rsidRPr="000E57C1" w:rsidRDefault="00616B42" w:rsidP="00616B42">
            <w:pPr>
              <w:rPr>
                <w:szCs w:val="18"/>
              </w:rPr>
            </w:pPr>
          </w:p>
          <w:p w14:paraId="780014EC" w14:textId="77777777" w:rsidR="00616B42" w:rsidRPr="0031308C" w:rsidRDefault="00616B42" w:rsidP="00616B42">
            <w:pPr>
              <w:rPr>
                <w:szCs w:val="18"/>
              </w:rPr>
            </w:pPr>
          </w:p>
        </w:tc>
      </w:tr>
      <w:tr w:rsidR="00616B42" w:rsidRPr="0031308C" w14:paraId="5A6BB881" w14:textId="77777777" w:rsidTr="00B8676A">
        <w:tc>
          <w:tcPr>
            <w:tcW w:w="1188" w:type="pct"/>
            <w:shd w:val="clear" w:color="auto" w:fill="B4C6E7" w:themeFill="accent1" w:themeFillTint="66"/>
          </w:tcPr>
          <w:p w14:paraId="5CE87FFC" w14:textId="043AB785" w:rsidR="00616B42" w:rsidRPr="0031308C" w:rsidRDefault="00616B42" w:rsidP="00616B42">
            <w:pPr>
              <w:spacing w:after="120"/>
              <w:rPr>
                <w:b/>
                <w:szCs w:val="18"/>
              </w:rPr>
            </w:pPr>
            <w:proofErr w:type="spellStart"/>
            <w:r w:rsidRPr="00C32D47">
              <w:rPr>
                <w:rFonts w:cs="Times New Roman"/>
                <w:b/>
                <w:bCs/>
                <w:szCs w:val="18"/>
                <w:lang w:val="en-US"/>
              </w:rPr>
              <w:lastRenderedPageBreak/>
              <w:t>Beoordeling</w:t>
            </w:r>
            <w:proofErr w:type="spellEnd"/>
            <w:r w:rsidRPr="00C32D47">
              <w:rPr>
                <w:rFonts w:cs="Times New Roman"/>
                <w:b/>
                <w:bCs/>
                <w:szCs w:val="18"/>
                <w:lang w:val="en-US"/>
              </w:rPr>
              <w:t xml:space="preserve"> </w:t>
            </w:r>
            <w:proofErr w:type="spellStart"/>
            <w:r w:rsidRPr="00C32D47">
              <w:rPr>
                <w:rFonts w:cs="Times New Roman"/>
                <w:b/>
                <w:bCs/>
                <w:szCs w:val="18"/>
                <w:lang w:val="en-US"/>
              </w:rPr>
              <w:t>en</w:t>
            </w:r>
            <w:proofErr w:type="spellEnd"/>
            <w:r w:rsidRPr="00C32D47">
              <w:rPr>
                <w:rFonts w:cs="Times New Roman"/>
                <w:b/>
                <w:bCs/>
                <w:szCs w:val="18"/>
                <w:lang w:val="en-US"/>
              </w:rPr>
              <w:t xml:space="preserve"> </w:t>
            </w:r>
            <w:proofErr w:type="spellStart"/>
            <w:r w:rsidRPr="00C32D47">
              <w:rPr>
                <w:rFonts w:cs="Times New Roman"/>
                <w:b/>
                <w:bCs/>
                <w:szCs w:val="18"/>
                <w:lang w:val="en-US"/>
              </w:rPr>
              <w:t>waardering</w:t>
            </w:r>
            <w:proofErr w:type="spellEnd"/>
          </w:p>
        </w:tc>
        <w:tc>
          <w:tcPr>
            <w:tcW w:w="3812" w:type="pct"/>
            <w:shd w:val="clear" w:color="auto" w:fill="FFFFFF" w:themeFill="background1"/>
          </w:tcPr>
          <w:p w14:paraId="5E82C927" w14:textId="02376863" w:rsidR="00616B42" w:rsidRPr="0031308C" w:rsidRDefault="00616B42" w:rsidP="00616B42">
            <w:pPr>
              <w:spacing w:after="120"/>
              <w:rPr>
                <w:szCs w:val="18"/>
              </w:rPr>
            </w:pPr>
            <w:r w:rsidRPr="00C32D47">
              <w:rPr>
                <w:rFonts w:cs="Times New Roman"/>
                <w:szCs w:val="18"/>
              </w:rPr>
              <w:t>Zie paragraaf 5.4</w:t>
            </w:r>
            <w:r>
              <w:rPr>
                <w:rFonts w:cs="Times New Roman"/>
                <w:szCs w:val="18"/>
              </w:rPr>
              <w:t>.1</w:t>
            </w:r>
            <w:r w:rsidRPr="00C32D47">
              <w:rPr>
                <w:rFonts w:cs="Times New Roman"/>
                <w:szCs w:val="18"/>
              </w:rPr>
              <w:t xml:space="preserve"> van het </w:t>
            </w:r>
            <w:r>
              <w:rPr>
                <w:rFonts w:cs="Times New Roman"/>
                <w:szCs w:val="18"/>
              </w:rPr>
              <w:t>A</w:t>
            </w:r>
            <w:r w:rsidRPr="00C32D47">
              <w:rPr>
                <w:rFonts w:cs="Times New Roman"/>
                <w:szCs w:val="18"/>
              </w:rPr>
              <w:t>anbestedingsdocument.</w:t>
            </w:r>
          </w:p>
        </w:tc>
      </w:tr>
      <w:tr w:rsidR="00616B42" w:rsidRPr="0031308C" w14:paraId="124E0FE7" w14:textId="77777777" w:rsidTr="00923060">
        <w:tc>
          <w:tcPr>
            <w:tcW w:w="5000" w:type="pct"/>
            <w:gridSpan w:val="2"/>
            <w:shd w:val="clear" w:color="auto" w:fill="B4C6E7" w:themeFill="accent1" w:themeFillTint="66"/>
          </w:tcPr>
          <w:p w14:paraId="4CCDE81A" w14:textId="22AC5663" w:rsidR="00616B42" w:rsidRDefault="00616B42" w:rsidP="00616B42">
            <w:pPr>
              <w:spacing w:after="120"/>
              <w:rPr>
                <w:szCs w:val="18"/>
              </w:rPr>
            </w:pPr>
            <w:r w:rsidRPr="00C32D47">
              <w:rPr>
                <w:rFonts w:cs="Times New Roman"/>
                <w:b/>
                <w:bCs/>
                <w:szCs w:val="18"/>
                <w:lang w:eastAsia="nl-NL"/>
              </w:rPr>
              <w:t>Begin uw antwoord op de volgende pagina.</w:t>
            </w:r>
          </w:p>
        </w:tc>
      </w:tr>
    </w:tbl>
    <w:p w14:paraId="18ADB705" w14:textId="696F591F" w:rsidR="003745AC" w:rsidRPr="00C32D47" w:rsidRDefault="003745AC" w:rsidP="001328C4">
      <w:pPr>
        <w:rPr>
          <w:rFonts w:cs="Times New Roman"/>
          <w:szCs w:val="18"/>
          <w:lang w:eastAsia="nl-NL"/>
        </w:rPr>
      </w:pPr>
    </w:p>
    <w:sectPr w:rsidR="003745AC" w:rsidRPr="00C32D47" w:rsidSect="00C32D47">
      <w:footerReference w:type="even" r:id="rId11"/>
      <w:footerReference w:type="default" r:id="rId12"/>
      <w:footerReference w:type="first" r:id="rId13"/>
      <w:pgSz w:w="11906" w:h="16838"/>
      <w:pgMar w:top="1417" w:right="1417" w:bottom="1417" w:left="1417" w:header="39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3FB8" w14:textId="77777777" w:rsidR="00701499" w:rsidRDefault="00701499" w:rsidP="00691D7C">
      <w:pPr>
        <w:spacing w:line="240" w:lineRule="auto"/>
      </w:pPr>
      <w:r>
        <w:separator/>
      </w:r>
    </w:p>
  </w:endnote>
  <w:endnote w:type="continuationSeparator" w:id="0">
    <w:p w14:paraId="0E8AE5C1" w14:textId="77777777" w:rsidR="00701499" w:rsidRDefault="00701499" w:rsidP="00691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oofdteks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1180" w14:textId="49CF33A9" w:rsidR="00FA7DC9" w:rsidRDefault="00FA7DC9">
    <w:pPr>
      <w:pStyle w:val="Voettekst"/>
    </w:pPr>
    <w:r>
      <w:rPr>
        <w:noProof/>
      </w:rPr>
      <mc:AlternateContent>
        <mc:Choice Requires="wps">
          <w:drawing>
            <wp:anchor distT="0" distB="0" distL="0" distR="0" simplePos="0" relativeHeight="251659264" behindDoc="0" locked="0" layoutInCell="1" allowOverlap="1" wp14:anchorId="2CFDA8C5" wp14:editId="1CB6F982">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C8B1C0" w14:textId="3E57E03A"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FDA8C5"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0C8B1C0" w14:textId="3E57E03A"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E04C" w14:textId="51D36B54" w:rsidR="00EB32C3" w:rsidRPr="009729BA" w:rsidRDefault="009729BA" w:rsidP="007C5134">
    <w:pPr>
      <w:pStyle w:val="Voettekst"/>
      <w:rPr>
        <w:szCs w:val="18"/>
      </w:rPr>
    </w:pPr>
    <w:sdt>
      <w:sdtPr>
        <w:rPr>
          <w:szCs w:val="18"/>
        </w:rPr>
        <w:id w:val="716015884"/>
        <w:docPartObj>
          <w:docPartGallery w:val="Page Numbers (Bottom of Page)"/>
          <w:docPartUnique/>
        </w:docPartObj>
      </w:sdtPr>
      <w:sdtEndPr/>
      <w:sdtContent>
        <w:sdt>
          <w:sdtPr>
            <w:rPr>
              <w:szCs w:val="18"/>
            </w:rPr>
            <w:id w:val="-1769616900"/>
            <w:docPartObj>
              <w:docPartGallery w:val="Page Numbers (Top of Page)"/>
              <w:docPartUnique/>
            </w:docPartObj>
          </w:sdtPr>
          <w:sdtEndPr/>
          <w:sdtContent>
            <w:r w:rsidR="00AA48F8" w:rsidRPr="009729BA">
              <w:rPr>
                <w:szCs w:val="18"/>
              </w:rPr>
              <w:t>EA Uitbesteding van Resultaatgerichte IV-/ICT-opdrachten RVICTO-MDA 2026</w:t>
            </w:r>
            <w:r w:rsidR="00EB32C3" w:rsidRPr="009729BA">
              <w:rPr>
                <w:szCs w:val="18"/>
              </w:rPr>
              <w:tab/>
              <w:t xml:space="preserve">Pagina </w:t>
            </w:r>
            <w:r w:rsidR="00EB32C3" w:rsidRPr="009729BA">
              <w:rPr>
                <w:b/>
                <w:bCs/>
                <w:szCs w:val="18"/>
              </w:rPr>
              <w:fldChar w:fldCharType="begin"/>
            </w:r>
            <w:r w:rsidR="00EB32C3" w:rsidRPr="009729BA">
              <w:rPr>
                <w:b/>
                <w:bCs/>
                <w:szCs w:val="18"/>
              </w:rPr>
              <w:instrText>PAGE</w:instrText>
            </w:r>
            <w:r w:rsidR="00EB32C3" w:rsidRPr="009729BA">
              <w:rPr>
                <w:b/>
                <w:bCs/>
                <w:szCs w:val="18"/>
              </w:rPr>
              <w:fldChar w:fldCharType="separate"/>
            </w:r>
            <w:r w:rsidR="00EB32C3" w:rsidRPr="009729BA">
              <w:rPr>
                <w:b/>
                <w:bCs/>
                <w:szCs w:val="18"/>
              </w:rPr>
              <w:t>2</w:t>
            </w:r>
            <w:r w:rsidR="00EB32C3" w:rsidRPr="009729BA">
              <w:rPr>
                <w:b/>
                <w:bCs/>
                <w:szCs w:val="18"/>
              </w:rPr>
              <w:fldChar w:fldCharType="end"/>
            </w:r>
            <w:r w:rsidR="00EB32C3" w:rsidRPr="009729BA">
              <w:rPr>
                <w:szCs w:val="18"/>
              </w:rPr>
              <w:t xml:space="preserve"> van </w:t>
            </w:r>
            <w:r w:rsidR="00EB32C3" w:rsidRPr="009729BA">
              <w:rPr>
                <w:b/>
                <w:bCs/>
                <w:szCs w:val="18"/>
              </w:rPr>
              <w:fldChar w:fldCharType="begin"/>
            </w:r>
            <w:r w:rsidR="00EB32C3" w:rsidRPr="009729BA">
              <w:rPr>
                <w:b/>
                <w:bCs/>
                <w:szCs w:val="18"/>
              </w:rPr>
              <w:instrText>NUMPAGES</w:instrText>
            </w:r>
            <w:r w:rsidR="00EB32C3" w:rsidRPr="009729BA">
              <w:rPr>
                <w:b/>
                <w:bCs/>
                <w:szCs w:val="18"/>
              </w:rPr>
              <w:fldChar w:fldCharType="separate"/>
            </w:r>
            <w:r w:rsidR="00EB32C3" w:rsidRPr="009729BA">
              <w:rPr>
                <w:b/>
                <w:bCs/>
                <w:szCs w:val="18"/>
              </w:rPr>
              <w:t>2</w:t>
            </w:r>
            <w:r w:rsidR="00EB32C3" w:rsidRPr="009729BA">
              <w:rPr>
                <w:b/>
                <w:bCs/>
                <w:szCs w:val="18"/>
              </w:rPr>
              <w:fldChar w:fldCharType="end"/>
            </w:r>
          </w:sdtContent>
        </w:sdt>
      </w:sdtContent>
    </w:sdt>
  </w:p>
  <w:p w14:paraId="4099F497" w14:textId="79F64766" w:rsidR="00EB32C3" w:rsidRPr="009729BA" w:rsidRDefault="00EB32C3">
    <w:pPr>
      <w:pStyle w:val="Voettekst"/>
      <w:rPr>
        <w:szCs w:val="18"/>
      </w:rPr>
    </w:pPr>
    <w:r w:rsidRPr="009729BA">
      <w:rPr>
        <w:szCs w:val="18"/>
      </w:rPr>
      <w:t xml:space="preserve">TenderNed-kenmerk: </w:t>
    </w:r>
    <w:r w:rsidR="00695FA1" w:rsidRPr="009729BA">
      <w:rPr>
        <w:szCs w:val="18"/>
        <w:lang w:val="en-US"/>
      </w:rPr>
      <w:t>572361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78A7" w14:textId="5F3C3054" w:rsidR="00FA7DC9" w:rsidRDefault="00FA7DC9">
    <w:pPr>
      <w:pStyle w:val="Voettekst"/>
    </w:pPr>
    <w:r>
      <w:rPr>
        <w:noProof/>
      </w:rPr>
      <mc:AlternateContent>
        <mc:Choice Requires="wps">
          <w:drawing>
            <wp:anchor distT="0" distB="0" distL="0" distR="0" simplePos="0" relativeHeight="251658240" behindDoc="0" locked="0" layoutInCell="1" allowOverlap="1" wp14:anchorId="2316F111" wp14:editId="436B3BED">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619297" w14:textId="0141B14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16F111"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3619297" w14:textId="0141B14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3254" w14:textId="77777777" w:rsidR="00701499" w:rsidRDefault="00701499" w:rsidP="00691D7C">
      <w:pPr>
        <w:spacing w:line="240" w:lineRule="auto"/>
      </w:pPr>
      <w:r>
        <w:separator/>
      </w:r>
    </w:p>
  </w:footnote>
  <w:footnote w:type="continuationSeparator" w:id="0">
    <w:p w14:paraId="6132BEF9" w14:textId="77777777" w:rsidR="00701499" w:rsidRDefault="00701499" w:rsidP="00691D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E76"/>
    <w:multiLevelType w:val="hybridMultilevel"/>
    <w:tmpl w:val="8B56DFDE"/>
    <w:lvl w:ilvl="0" w:tplc="25E2C69A">
      <w:start w:val="1"/>
      <w:numFmt w:val="bullet"/>
      <w:pStyle w:val="OpsommingN2Streep"/>
      <w:lvlText w:val="–"/>
      <w:lvlJc w:val="left"/>
      <w:pPr>
        <w:tabs>
          <w:tab w:val="num" w:pos="566"/>
        </w:tabs>
        <w:ind w:left="566" w:hanging="283"/>
      </w:pPr>
      <w:rPr>
        <w:rFonts w:asciiTheme="minorHAnsi" w:hAnsiTheme="minorHAnsi" w:cs="Arial" w:hint="default"/>
      </w:rPr>
    </w:lvl>
    <w:lvl w:ilvl="1" w:tplc="04090003" w:tentative="1">
      <w:start w:val="1"/>
      <w:numFmt w:val="bullet"/>
      <w:lvlText w:val="o"/>
      <w:lvlJc w:val="left"/>
      <w:pPr>
        <w:ind w:left="1439" w:hanging="360"/>
      </w:pPr>
      <w:rPr>
        <w:rFonts w:ascii="Arial (Hoofdtekst)" w:hAnsi="Arial (Hoofdtekst)" w:hint="default"/>
      </w:rPr>
    </w:lvl>
    <w:lvl w:ilvl="2" w:tplc="04090005" w:tentative="1">
      <w:start w:val="1"/>
      <w:numFmt w:val="bullet"/>
      <w:lvlText w:val=""/>
      <w:lvlJc w:val="left"/>
      <w:pPr>
        <w:ind w:left="2159" w:hanging="360"/>
      </w:pPr>
      <w:rPr>
        <w:rFonts w:ascii="Symbol" w:hAnsi="Symbol"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Arial (Hoofdtekst)" w:hAnsi="Arial (Hoofdtekst)" w:hint="default"/>
      </w:rPr>
    </w:lvl>
    <w:lvl w:ilvl="5" w:tplc="04090005" w:tentative="1">
      <w:start w:val="1"/>
      <w:numFmt w:val="bullet"/>
      <w:lvlText w:val=""/>
      <w:lvlJc w:val="left"/>
      <w:pPr>
        <w:ind w:left="4319" w:hanging="360"/>
      </w:pPr>
      <w:rPr>
        <w:rFonts w:ascii="Symbol" w:hAnsi="Symbol"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Arial (Hoofdtekst)" w:hAnsi="Arial (Hoofdtekst)" w:hint="default"/>
      </w:rPr>
    </w:lvl>
    <w:lvl w:ilvl="8" w:tplc="04090005" w:tentative="1">
      <w:start w:val="1"/>
      <w:numFmt w:val="bullet"/>
      <w:lvlText w:val=""/>
      <w:lvlJc w:val="left"/>
      <w:pPr>
        <w:ind w:left="6479" w:hanging="360"/>
      </w:pPr>
      <w:rPr>
        <w:rFonts w:ascii="Symbol" w:hAnsi="Symbol" w:hint="default"/>
      </w:rPr>
    </w:lvl>
  </w:abstractNum>
  <w:abstractNum w:abstractNumId="1" w15:restartNumberingAfterBreak="0">
    <w:nsid w:val="034645D4"/>
    <w:multiLevelType w:val="multilevel"/>
    <w:tmpl w:val="1DB03A3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41E11C9"/>
    <w:multiLevelType w:val="hybridMultilevel"/>
    <w:tmpl w:val="80F266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CE0954"/>
    <w:multiLevelType w:val="hybridMultilevel"/>
    <w:tmpl w:val="55840CF6"/>
    <w:lvl w:ilvl="0" w:tplc="1CC075BE">
      <w:start w:val="1"/>
      <w:numFmt w:val="bullet"/>
      <w:pStyle w:val="OpsommingN1Bullet"/>
      <w:lvlText w:val="•"/>
      <w:lvlJc w:val="left"/>
      <w:pPr>
        <w:tabs>
          <w:tab w:val="num" w:pos="284"/>
        </w:tabs>
        <w:ind w:left="284" w:hanging="284"/>
      </w:pPr>
      <w:rPr>
        <w:rFonts w:ascii="Arial (Hoofdtekst)" w:hAnsi="Arial (Hoofdtekst)" w:cs="Arial" w:hint="default"/>
        <w:color w:val="000000" w:themeColor="text1"/>
      </w:rPr>
    </w:lvl>
    <w:lvl w:ilvl="1" w:tplc="04090003" w:tentative="1">
      <w:start w:val="1"/>
      <w:numFmt w:val="bullet"/>
      <w:lvlText w:val="o"/>
      <w:lvlJc w:val="left"/>
      <w:pPr>
        <w:ind w:left="1440" w:hanging="360"/>
      </w:pPr>
      <w:rPr>
        <w:rFonts w:ascii="Arial (Hoofdtekst)" w:hAnsi="Arial (Hoofdtekst)"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Arial (Hoofdtekst)" w:hAnsi="Arial (Hoofdtekst)"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Arial (Hoofdtekst)" w:hAnsi="Arial (Hoofdtekst)" w:hint="default"/>
      </w:rPr>
    </w:lvl>
    <w:lvl w:ilvl="8" w:tplc="04090005" w:tentative="1">
      <w:start w:val="1"/>
      <w:numFmt w:val="bullet"/>
      <w:lvlText w:val=""/>
      <w:lvlJc w:val="left"/>
      <w:pPr>
        <w:ind w:left="6480" w:hanging="360"/>
      </w:pPr>
      <w:rPr>
        <w:rFonts w:ascii="Symbol" w:hAnsi="Symbol" w:hint="default"/>
      </w:rPr>
    </w:lvl>
  </w:abstractNum>
  <w:abstractNum w:abstractNumId="4" w15:restartNumberingAfterBreak="0">
    <w:nsid w:val="13D46225"/>
    <w:multiLevelType w:val="hybridMultilevel"/>
    <w:tmpl w:val="9A623E34"/>
    <w:lvl w:ilvl="0" w:tplc="0413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C57829"/>
    <w:multiLevelType w:val="hybridMultilevel"/>
    <w:tmpl w:val="08F4DDE8"/>
    <w:lvl w:ilvl="0" w:tplc="B70E0D3C">
      <w:start w:val="3"/>
      <w:numFmt w:val="bullet"/>
      <w:lvlText w:val="•"/>
      <w:lvlJc w:val="left"/>
      <w:pPr>
        <w:ind w:left="720" w:hanging="72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98A5C9C"/>
    <w:multiLevelType w:val="hybridMultilevel"/>
    <w:tmpl w:val="EB3CECFE"/>
    <w:lvl w:ilvl="0" w:tplc="7BA8387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396EB2"/>
    <w:multiLevelType w:val="hybridMultilevel"/>
    <w:tmpl w:val="F6B41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53AAD"/>
    <w:multiLevelType w:val="multilevel"/>
    <w:tmpl w:val="A232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376DEB"/>
    <w:multiLevelType w:val="hybridMultilevel"/>
    <w:tmpl w:val="3A0AE364"/>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1"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8A7E29"/>
    <w:multiLevelType w:val="hybridMultilevel"/>
    <w:tmpl w:val="67E8887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6DBC16AE"/>
    <w:multiLevelType w:val="multilevel"/>
    <w:tmpl w:val="97AC3D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780934CD"/>
    <w:multiLevelType w:val="hybridMultilevel"/>
    <w:tmpl w:val="AF7E21A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8D83BB5"/>
    <w:multiLevelType w:val="multilevel"/>
    <w:tmpl w:val="B41E7E1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7CD97575"/>
    <w:multiLevelType w:val="multilevel"/>
    <w:tmpl w:val="FFFFFFFF"/>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7" w15:restartNumberingAfterBreak="0">
    <w:nsid w:val="7E485831"/>
    <w:multiLevelType w:val="hybridMultilevel"/>
    <w:tmpl w:val="2116C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244884">
    <w:abstractNumId w:val="17"/>
  </w:num>
  <w:num w:numId="2" w16cid:durableId="1443840280">
    <w:abstractNumId w:val="7"/>
  </w:num>
  <w:num w:numId="3" w16cid:durableId="369190335">
    <w:abstractNumId w:val="10"/>
  </w:num>
  <w:num w:numId="4" w16cid:durableId="1374228128">
    <w:abstractNumId w:val="2"/>
  </w:num>
  <w:num w:numId="5" w16cid:durableId="420755501">
    <w:abstractNumId w:val="0"/>
  </w:num>
  <w:num w:numId="6" w16cid:durableId="185216951">
    <w:abstractNumId w:val="11"/>
  </w:num>
  <w:num w:numId="7" w16cid:durableId="2092501651">
    <w:abstractNumId w:val="3"/>
  </w:num>
  <w:num w:numId="8" w16cid:durableId="324357360">
    <w:abstractNumId w:val="8"/>
  </w:num>
  <w:num w:numId="9" w16cid:durableId="991761301">
    <w:abstractNumId w:val="14"/>
  </w:num>
  <w:num w:numId="10" w16cid:durableId="1803420256">
    <w:abstractNumId w:val="6"/>
  </w:num>
  <w:num w:numId="11" w16cid:durableId="1932661829">
    <w:abstractNumId w:val="4"/>
  </w:num>
  <w:num w:numId="12" w16cid:durableId="1690566727">
    <w:abstractNumId w:val="12"/>
  </w:num>
  <w:num w:numId="13" w16cid:durableId="1393504145">
    <w:abstractNumId w:val="13"/>
  </w:num>
  <w:num w:numId="14" w16cid:durableId="786003478">
    <w:abstractNumId w:val="15"/>
  </w:num>
  <w:num w:numId="15" w16cid:durableId="1633899680">
    <w:abstractNumId w:val="1"/>
  </w:num>
  <w:num w:numId="16" w16cid:durableId="1944409834">
    <w:abstractNumId w:val="9"/>
  </w:num>
  <w:num w:numId="17" w16cid:durableId="820849009">
    <w:abstractNumId w:val="5"/>
  </w:num>
  <w:num w:numId="18" w16cid:durableId="16211879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A6"/>
    <w:rsid w:val="00003A31"/>
    <w:rsid w:val="000064E0"/>
    <w:rsid w:val="000202DE"/>
    <w:rsid w:val="00072B1A"/>
    <w:rsid w:val="000B388F"/>
    <w:rsid w:val="00104809"/>
    <w:rsid w:val="001328C4"/>
    <w:rsid w:val="001C3F4F"/>
    <w:rsid w:val="001E4EE1"/>
    <w:rsid w:val="00231EA9"/>
    <w:rsid w:val="00244F76"/>
    <w:rsid w:val="00303EDD"/>
    <w:rsid w:val="003745AC"/>
    <w:rsid w:val="00397FFA"/>
    <w:rsid w:val="003A1FD7"/>
    <w:rsid w:val="003D2185"/>
    <w:rsid w:val="00435A67"/>
    <w:rsid w:val="004373BC"/>
    <w:rsid w:val="00453803"/>
    <w:rsid w:val="004E200B"/>
    <w:rsid w:val="005231DB"/>
    <w:rsid w:val="00616B42"/>
    <w:rsid w:val="00622CDE"/>
    <w:rsid w:val="00685B1C"/>
    <w:rsid w:val="00691D7C"/>
    <w:rsid w:val="00695FA1"/>
    <w:rsid w:val="006F4FDA"/>
    <w:rsid w:val="00701499"/>
    <w:rsid w:val="007C2D47"/>
    <w:rsid w:val="007C5134"/>
    <w:rsid w:val="008A279C"/>
    <w:rsid w:val="008B0144"/>
    <w:rsid w:val="00923060"/>
    <w:rsid w:val="00923CA7"/>
    <w:rsid w:val="009307AE"/>
    <w:rsid w:val="00960CC4"/>
    <w:rsid w:val="009729BA"/>
    <w:rsid w:val="009D06A6"/>
    <w:rsid w:val="00A21871"/>
    <w:rsid w:val="00A3064A"/>
    <w:rsid w:val="00A462AE"/>
    <w:rsid w:val="00A7601F"/>
    <w:rsid w:val="00AA48B9"/>
    <w:rsid w:val="00AA48F8"/>
    <w:rsid w:val="00AC74F4"/>
    <w:rsid w:val="00AF7EDD"/>
    <w:rsid w:val="00B37DFD"/>
    <w:rsid w:val="00BB47FC"/>
    <w:rsid w:val="00BB6FF9"/>
    <w:rsid w:val="00BF3E29"/>
    <w:rsid w:val="00C32D47"/>
    <w:rsid w:val="00C761E2"/>
    <w:rsid w:val="00CC18A4"/>
    <w:rsid w:val="00CE39AA"/>
    <w:rsid w:val="00D66286"/>
    <w:rsid w:val="00E34C8C"/>
    <w:rsid w:val="00EB32C3"/>
    <w:rsid w:val="00EE2B5A"/>
    <w:rsid w:val="00F556C2"/>
    <w:rsid w:val="00F84343"/>
    <w:rsid w:val="00FA7DC9"/>
    <w:rsid w:val="3A35E4E2"/>
    <w:rsid w:val="74D0D7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B23D"/>
  <w15:chartTrackingRefBased/>
  <w15:docId w15:val="{DCBEA257-E177-4851-B407-EE72C085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2D4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9D06A6"/>
    <w:rPr>
      <w:sz w:val="16"/>
      <w:szCs w:val="16"/>
    </w:rPr>
  </w:style>
  <w:style w:type="paragraph" w:styleId="Tekstopmerking">
    <w:name w:val="annotation text"/>
    <w:basedOn w:val="Standaard"/>
    <w:link w:val="TekstopmerkingChar"/>
    <w:uiPriority w:val="99"/>
    <w:unhideWhenUsed/>
    <w:rsid w:val="009D06A6"/>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9D06A6"/>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9D06A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D06A6"/>
    <w:rPr>
      <w:rFonts w:ascii="Segoe UI" w:hAnsi="Segoe UI" w:cs="Segoe UI"/>
      <w:szCs w:val="18"/>
    </w:rPr>
  </w:style>
  <w:style w:type="paragraph" w:styleId="Koptekst">
    <w:name w:val="header"/>
    <w:basedOn w:val="Standaard"/>
    <w:link w:val="KoptekstChar"/>
    <w:uiPriority w:val="99"/>
    <w:unhideWhenUsed/>
    <w:rsid w:val="00691D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1D7C"/>
  </w:style>
  <w:style w:type="paragraph" w:styleId="Voettekst">
    <w:name w:val="footer"/>
    <w:basedOn w:val="Standaard"/>
    <w:link w:val="VoettekstChar"/>
    <w:uiPriority w:val="99"/>
    <w:unhideWhenUsed/>
    <w:rsid w:val="00691D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1D7C"/>
  </w:style>
  <w:style w:type="paragraph" w:styleId="Lijstalinea">
    <w:name w:val="List Paragraph"/>
    <w:basedOn w:val="Standaard"/>
    <w:link w:val="LijstalineaChar"/>
    <w:uiPriority w:val="34"/>
    <w:qFormat/>
    <w:rsid w:val="00FA7DC9"/>
    <w:pPr>
      <w:ind w:left="720"/>
      <w:contextualSpacing/>
    </w:pPr>
  </w:style>
  <w:style w:type="paragraph" w:customStyle="1" w:styleId="OpsommingN1Bullet">
    <w:name w:val="Opsomming N1 Bullet"/>
    <w:basedOn w:val="Standaard"/>
    <w:uiPriority w:val="4"/>
    <w:qFormat/>
    <w:rsid w:val="003745AC"/>
    <w:pPr>
      <w:numPr>
        <w:numId w:val="7"/>
      </w:numPr>
      <w:tabs>
        <w:tab w:val="left" w:pos="567"/>
      </w:tabs>
    </w:pPr>
    <w:rPr>
      <w:rFonts w:asciiTheme="minorHAnsi" w:hAnsiTheme="minorHAnsi"/>
      <w:szCs w:val="24"/>
    </w:rPr>
  </w:style>
  <w:style w:type="paragraph" w:customStyle="1" w:styleId="NummeringN1">
    <w:name w:val="Nummering N1"/>
    <w:basedOn w:val="Standaard"/>
    <w:uiPriority w:val="5"/>
    <w:qFormat/>
    <w:rsid w:val="003745AC"/>
    <w:pPr>
      <w:numPr>
        <w:numId w:val="6"/>
      </w:numPr>
      <w:tabs>
        <w:tab w:val="left" w:pos="284"/>
        <w:tab w:val="left" w:pos="567"/>
      </w:tabs>
    </w:pPr>
    <w:rPr>
      <w:rFonts w:asciiTheme="minorHAnsi" w:hAnsiTheme="minorHAnsi"/>
      <w:szCs w:val="24"/>
    </w:rPr>
  </w:style>
  <w:style w:type="paragraph" w:customStyle="1" w:styleId="Kop">
    <w:name w:val="Kop"/>
    <w:basedOn w:val="Standaard"/>
    <w:next w:val="Standaard"/>
    <w:uiPriority w:val="3"/>
    <w:qFormat/>
    <w:rsid w:val="003745AC"/>
    <w:pPr>
      <w:tabs>
        <w:tab w:val="left" w:pos="284"/>
        <w:tab w:val="left" w:pos="567"/>
      </w:tabs>
    </w:pPr>
    <w:rPr>
      <w:rFonts w:asciiTheme="minorHAnsi" w:hAnsiTheme="minorHAnsi"/>
      <w:b/>
      <w:szCs w:val="24"/>
    </w:rPr>
  </w:style>
  <w:style w:type="paragraph" w:customStyle="1" w:styleId="NummeringN2">
    <w:name w:val="Nummering N2"/>
    <w:basedOn w:val="Standaard"/>
    <w:uiPriority w:val="5"/>
    <w:qFormat/>
    <w:rsid w:val="003745AC"/>
    <w:pPr>
      <w:numPr>
        <w:numId w:val="8"/>
      </w:numPr>
      <w:tabs>
        <w:tab w:val="left" w:pos="284"/>
      </w:tabs>
      <w:ind w:left="568" w:hanging="284"/>
    </w:pPr>
    <w:rPr>
      <w:rFonts w:asciiTheme="minorHAnsi" w:hAnsiTheme="minorHAnsi"/>
      <w:szCs w:val="24"/>
    </w:rPr>
  </w:style>
  <w:style w:type="paragraph" w:customStyle="1" w:styleId="OpsommingN2Streep">
    <w:name w:val="Opsomming N2 Streep"/>
    <w:basedOn w:val="Standaard"/>
    <w:uiPriority w:val="4"/>
    <w:qFormat/>
    <w:rsid w:val="003745AC"/>
    <w:pPr>
      <w:numPr>
        <w:numId w:val="5"/>
      </w:numPr>
    </w:pPr>
    <w:rPr>
      <w:rFonts w:asciiTheme="minorHAnsi" w:hAnsiTheme="minorHAnsi"/>
      <w:szCs w:val="24"/>
    </w:rPr>
  </w:style>
  <w:style w:type="character" w:customStyle="1" w:styleId="LijstalineaChar">
    <w:name w:val="Lijstalinea Char"/>
    <w:link w:val="Lijstalinea"/>
    <w:uiPriority w:val="34"/>
    <w:locked/>
    <w:rsid w:val="00923060"/>
  </w:style>
  <w:style w:type="character" w:styleId="Hyperlink">
    <w:name w:val="Hyperlink"/>
    <w:basedOn w:val="Standaardalinea-lettertype"/>
    <w:uiPriority w:val="99"/>
    <w:unhideWhenUsed/>
    <w:rsid w:val="00622CDE"/>
    <w:rPr>
      <w:color w:val="0563C1" w:themeColor="hyperlink"/>
      <w:u w:val="single"/>
    </w:rPr>
  </w:style>
  <w:style w:type="table" w:styleId="Tabelraster">
    <w:name w:val="Table Grid"/>
    <w:basedOn w:val="Standaardtabel"/>
    <w:uiPriority w:val="39"/>
    <w:rsid w:val="00622CDE"/>
    <w:pPr>
      <w:spacing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622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dviescollegeicttoetsing.nl/documenten/2025/03/19/acict-handreiking-over-legacy?utm_source=copilo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2b6854-06b8-4ffb-ad34-0433e4cc689e">
      <Terms xmlns="http://schemas.microsoft.com/office/infopath/2007/PartnerControls"/>
    </lcf76f155ced4ddcb4097134ff3c332f>
    <TaxCatchAll xmlns="130062be-93d5-45af-8397-4598fe8ea0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E48C3BE23B324E89C96B53711984D4" ma:contentTypeVersion="10" ma:contentTypeDescription="Een nieuw document maken." ma:contentTypeScope="" ma:versionID="5c71f1f775e2cadbf2f588c522e4e4ca">
  <xsd:schema xmlns:xsd="http://www.w3.org/2001/XMLSchema" xmlns:xs="http://www.w3.org/2001/XMLSchema" xmlns:p="http://schemas.microsoft.com/office/2006/metadata/properties" xmlns:ns2="122b6854-06b8-4ffb-ad34-0433e4cc689e" xmlns:ns3="130062be-93d5-45af-8397-4598fe8ea00a" targetNamespace="http://schemas.microsoft.com/office/2006/metadata/properties" ma:root="true" ma:fieldsID="d6c7929361a5964d236e0585f7e9e2ef" ns2:_="" ns3:_="">
    <xsd:import namespace="122b6854-06b8-4ffb-ad34-0433e4cc689e"/>
    <xsd:import namespace="130062be-93d5-45af-8397-4598fe8ea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b6854-06b8-4ffb-ad34-0433e4cc6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062be-93d5-45af-8397-4598fe8ea00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aed1393-f61d-4856-b622-d2f4327837fd}" ma:internalName="TaxCatchAll" ma:showField="CatchAllData" ma:web="130062be-93d5-45af-8397-4598fe8ea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866A1-0027-4307-88BE-814D4FA5BA7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2b6854-06b8-4ffb-ad34-0433e4cc689e"/>
    <ds:schemaRef ds:uri="http://purl.org/dc/elements/1.1/"/>
    <ds:schemaRef ds:uri="http://schemas.microsoft.com/office/2006/metadata/properties"/>
    <ds:schemaRef ds:uri="130062be-93d5-45af-8397-4598fe8ea00a"/>
    <ds:schemaRef ds:uri="http://www.w3.org/XML/1998/namespace"/>
    <ds:schemaRef ds:uri="http://purl.org/dc/dcmitype/"/>
  </ds:schemaRefs>
</ds:datastoreItem>
</file>

<file path=customXml/itemProps2.xml><?xml version="1.0" encoding="utf-8"?>
<ds:datastoreItem xmlns:ds="http://schemas.openxmlformats.org/officeDocument/2006/customXml" ds:itemID="{23DBB7A1-6D8E-4E14-9C46-5D4B9700CF26}">
  <ds:schemaRefs>
    <ds:schemaRef ds:uri="http://schemas.microsoft.com/sharepoint/v3/contenttype/forms"/>
  </ds:schemaRefs>
</ds:datastoreItem>
</file>

<file path=customXml/itemProps3.xml><?xml version="1.0" encoding="utf-8"?>
<ds:datastoreItem xmlns:ds="http://schemas.openxmlformats.org/officeDocument/2006/customXml" ds:itemID="{BF386FE2-C677-4F61-BD3C-AAC2E7E67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b6854-06b8-4ffb-ad34-0433e4cc689e"/>
    <ds:schemaRef ds:uri="130062be-93d5-45af-8397-4598fe8ea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832</Words>
  <Characters>4578</Characters>
  <Application>Microsoft Office Word</Application>
  <DocSecurity>0</DocSecurity>
  <Lines>38</Lines>
  <Paragraphs>10</Paragraphs>
  <ScaleCrop>false</ScaleCrop>
  <Company>Ministerie van Economische Zaken en Klimaat</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J.M.A. (Jan)</dc:creator>
  <cp:keywords/>
  <dc:description/>
  <cp:lastModifiedBy>Houssi, H. Ait El (Hassan)</cp:lastModifiedBy>
  <cp:revision>22</cp:revision>
  <dcterms:created xsi:type="dcterms:W3CDTF">2025-05-01T06:13:00Z</dcterms:created>
  <dcterms:modified xsi:type="dcterms:W3CDTF">2026-03-02T16:40:00Z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0x010100DCE48C3BE23B324E89C96B53711984D4</vt:lpwstr>
  </property>
  <property fmtid="{D5CDD505-2E9C-101B-9397-08002B2CF9AE}" pid="6" name="MediaServiceImageTags">
    <vt:lpwstr/>
  </property>
</Properties>
</file>