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A801" w14:textId="77777777" w:rsidR="00CF70C6" w:rsidRDefault="00CF70C6" w:rsidP="00CF70C6"/>
    <w:p w14:paraId="76646DCC" w14:textId="3D0D803D" w:rsidR="008B58C9" w:rsidRDefault="00E17ECD" w:rsidP="008B58C9">
      <w:pPr>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3A5EFA15" w14:textId="491CBA02" w:rsidR="00193BD1" w:rsidRPr="00E60A7E" w:rsidRDefault="00193BD1" w:rsidP="00E60A7E">
      <w:pPr>
        <w:pStyle w:val="Lijstalinea"/>
        <w:numPr>
          <w:ilvl w:val="0"/>
          <w:numId w:val="23"/>
        </w:numPr>
        <w:rPr>
          <w:bCs/>
          <w:szCs w:val="20"/>
        </w:rPr>
      </w:pPr>
      <w:r w:rsidRPr="00E60A7E">
        <w:rPr>
          <w:b/>
        </w:rPr>
        <w:t>Kerncompetentie</w:t>
      </w:r>
      <w:r>
        <w:t xml:space="preserve">: </w:t>
      </w:r>
      <w:r w:rsidR="00E60A7E" w:rsidRPr="00E60A7E">
        <w:rPr>
          <w:bCs/>
          <w:szCs w:val="20"/>
        </w:rPr>
        <w:t>De kerncompetentie betreft het verzorgen van lunchvoorzieningen in een bedrijfsrestaurant voor gemiddeld 200 gebruikers per dag, verdeeld over minimaal 3 locaties. Indien sprake is van meerdere afzonderlijke, maar sterk vergelijkbare opdrachten die binnen de referentieperiode bij dezelfde opdrachtgever zijn uitgevoerd, mogen de aantallen (gebruikers en locaties) worden samengevoegd.</w:t>
      </w:r>
    </w:p>
    <w:p w14:paraId="06F5FDF3" w14:textId="39D50909" w:rsidR="00193BD1" w:rsidRPr="0048081C" w:rsidRDefault="00741420" w:rsidP="00E60A7E">
      <w:pPr>
        <w:pStyle w:val="Lijstalinea"/>
        <w:numPr>
          <w:ilvl w:val="0"/>
          <w:numId w:val="23"/>
        </w:numPr>
      </w:pPr>
      <w:r w:rsidRPr="00E60A7E">
        <w:rPr>
          <w:b/>
          <w:bCs/>
        </w:rPr>
        <w:t>Kerncompetentie</w:t>
      </w:r>
      <w:r w:rsidRPr="00A91A12">
        <w:t xml:space="preserve">: </w:t>
      </w:r>
      <w:r w:rsidR="00E60A7E" w:rsidRPr="00E60A7E">
        <w:t xml:space="preserve">De kerncompetentie betreft de uitvoering van Banqueting diensten voor ten minste 75 gasten per dag. De waarde van de referentieopdracht voor deze kerncompetentie bedraagt minimaal € 1.000.000,- per jaar exclusief btw. Ook hier geldt dat alleen onderdelen die gelijkwaardig zijn aan de gevraagde Banqueting diensten meetellen. Bij een reeks van afzonderlijke, vergelijkbare opdrachten binnen de referentieperiode bij dezelfde opdrachtgever, mogen de aantallen en omzetten worden opgeteld. </w:t>
      </w:r>
    </w:p>
    <w:p w14:paraId="0BCB5DD3" w14:textId="70CDBF43" w:rsidR="00462F4A" w:rsidRPr="00462F4A" w:rsidRDefault="00462F4A" w:rsidP="00462F4A">
      <w:pPr>
        <w:rPr>
          <w:highlight w:val="yellow"/>
        </w:rPr>
      </w:pPr>
    </w:p>
    <w:p w14:paraId="01C516DE" w14:textId="16AE7AA2" w:rsidR="00EA6F12" w:rsidRPr="00E17ECD" w:rsidRDefault="00E17ECD" w:rsidP="00CF70C6">
      <w:pPr>
        <w:rPr>
          <w:szCs w:val="18"/>
        </w:rPr>
      </w:pPr>
      <w:r>
        <w:rPr>
          <w:rFonts w:cs="Arial"/>
          <w:bCs/>
          <w:iCs/>
          <w:szCs w:val="18"/>
        </w:rPr>
        <w:t xml:space="preserve">U overlegt </w:t>
      </w:r>
      <w:r w:rsidRPr="0055683C">
        <w:rPr>
          <w:rFonts w:cs="Arial"/>
          <w:bCs/>
          <w:iCs/>
          <w:szCs w:val="18"/>
        </w:rPr>
        <w:t>één</w:t>
      </w:r>
      <w:r w:rsidRPr="0055683C">
        <w:rPr>
          <w:szCs w:val="18"/>
        </w:rPr>
        <w:t xml:space="preserve"> referentie</w:t>
      </w:r>
      <w:r>
        <w:rPr>
          <w:szCs w:val="18"/>
        </w:rPr>
        <w:t xml:space="preserve">verklaring conform onderstaand model.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034D2929" w:rsidR="00017596" w:rsidRPr="00EB7D0D" w:rsidRDefault="00017596" w:rsidP="00CC6518">
            <w:pPr>
              <w:pStyle w:val="Geenafstand"/>
              <w:rPr>
                <w:b/>
                <w:bCs/>
              </w:rPr>
            </w:pPr>
            <w:bookmarkStart w:id="0" w:name="_Hlk216426239"/>
            <w:r w:rsidRPr="00EB7D0D">
              <w:rPr>
                <w:b/>
                <w:bCs/>
              </w:rPr>
              <w:t>Referentieverklaring</w:t>
            </w:r>
            <w:r w:rsidR="00462F4A">
              <w:rPr>
                <w:b/>
                <w:bCs/>
              </w:rPr>
              <w:t>: Kerncompetentie 1</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07CF39A0"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w:t>
            </w:r>
            <w:r w:rsidR="0077035E">
              <w:t>:</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521" w:type="pct"/>
            <w:gridSpan w:val="2"/>
            <w:tcBorders>
              <w:left w:val="single" w:sz="4" w:space="0" w:color="auto"/>
              <w:right w:val="nil"/>
            </w:tcBorders>
          </w:tcPr>
          <w:p w14:paraId="66AA9EF9" w14:textId="775AFD24" w:rsidR="00462F4A" w:rsidRPr="00E60A7E" w:rsidRDefault="008B58C9" w:rsidP="008B58C9">
            <w:pPr>
              <w:rPr>
                <w:rFonts w:cs="Arial"/>
              </w:rPr>
            </w:pPr>
            <w:r w:rsidRPr="008B58C9">
              <w:rPr>
                <w:b/>
                <w:bCs/>
              </w:rPr>
              <w:t>Kerncompetentie</w:t>
            </w:r>
            <w:r w:rsidRPr="00A91A12">
              <w:t xml:space="preserve">: </w:t>
            </w:r>
            <w:r w:rsidR="00E60A7E" w:rsidRPr="00E60A7E">
              <w:t>De kerncompetentie betreft het verzorgen van lunchvoorzieningen in een bedrijfsrestaurant voor gemiddeld 200 gebruikers per dag, verdeeld over minimaal 3 locaties. Indien sprake is van meerdere afzonderlijke, maar sterk vergelijkbare opdrachten die binnen de referentieperiode bij dezelfde opdrachtgever zijn uitgevoerd, mogen de aantallen (gebruikers en locaties) worden samengevoegd.</w:t>
            </w:r>
          </w:p>
        </w:tc>
        <w:tc>
          <w:tcPr>
            <w:tcW w:w="528"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77777777"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tcPr>
          <w:p w14:paraId="68384F85" w14:textId="4E802755" w:rsidR="00CC6518" w:rsidRPr="00EF2BCE" w:rsidRDefault="00CC6518" w:rsidP="00CC6518">
            <w:pPr>
              <w:pStyle w:val="Geenafstand"/>
            </w:pPr>
            <w:r w:rsidRPr="00EF2BCE">
              <w:t>Opdrachtomvang in</w:t>
            </w:r>
            <w:r w:rsidR="00193BD1">
              <w:t xml:space="preserve"> euro’s</w:t>
            </w:r>
          </w:p>
          <w:p w14:paraId="2B57BDA1" w14:textId="2571BFB3" w:rsidR="00CC6518" w:rsidRDefault="00CC6518" w:rsidP="00CC6518">
            <w:pPr>
              <w:pStyle w:val="Geenafstand"/>
            </w:pPr>
            <w:r w:rsidRPr="00EF2BCE">
              <w:t>(</w:t>
            </w:r>
            <w:r w:rsidR="00EB7D0D" w:rsidRPr="00EF2BCE">
              <w:rPr>
                <w:szCs w:val="18"/>
              </w:rPr>
              <w:t>per jaar</w:t>
            </w:r>
            <w:r w:rsidRPr="00EB7D0D">
              <w:rPr>
                <w:szCs w:val="18"/>
              </w:rPr>
              <w:t>)</w:t>
            </w: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69BBF0C0" w14:textId="77777777" w:rsidR="00CF70C6" w:rsidRDefault="00CF70C6" w:rsidP="00CF70C6"/>
    <w:p w14:paraId="26062CE2" w14:textId="77777777" w:rsidR="00E60A7E" w:rsidRDefault="00E60A7E" w:rsidP="00CF70C6"/>
    <w:p w14:paraId="238345F2" w14:textId="77777777" w:rsidR="00E60A7E" w:rsidRDefault="00E60A7E" w:rsidP="00CF70C6"/>
    <w:p w14:paraId="0B2C6C7D" w14:textId="77777777" w:rsidR="00E60A7E" w:rsidRDefault="00E60A7E" w:rsidP="00CF70C6"/>
    <w:p w14:paraId="4875F683" w14:textId="77777777" w:rsidR="00E60A7E" w:rsidRDefault="00E60A7E" w:rsidP="00CF70C6"/>
    <w:p w14:paraId="4DBE5EC1" w14:textId="77777777" w:rsidR="00E60A7E" w:rsidRDefault="00E60A7E" w:rsidP="00CF70C6"/>
    <w:p w14:paraId="6320D0D4" w14:textId="77777777" w:rsidR="00E60A7E" w:rsidRDefault="00E60A7E" w:rsidP="00CF70C6"/>
    <w:p w14:paraId="5D37DF08" w14:textId="77777777" w:rsidR="00E60A7E" w:rsidRDefault="00E60A7E" w:rsidP="00CF70C6"/>
    <w:p w14:paraId="5A47391F" w14:textId="77777777" w:rsidR="00E60A7E" w:rsidRDefault="00E60A7E" w:rsidP="00CF70C6"/>
    <w:p w14:paraId="0923C5A7" w14:textId="77777777" w:rsidR="00E60A7E" w:rsidRDefault="00E60A7E" w:rsidP="00CF70C6"/>
    <w:p w14:paraId="22CF91C5" w14:textId="77777777" w:rsidR="00E60A7E" w:rsidRDefault="00E60A7E" w:rsidP="00CF70C6"/>
    <w:p w14:paraId="0225AB8C" w14:textId="77777777" w:rsidR="00E60A7E" w:rsidRDefault="00E60A7E" w:rsidP="00CF70C6"/>
    <w:p w14:paraId="0BA59AC8" w14:textId="77777777" w:rsidR="00E60A7E" w:rsidRDefault="00E60A7E" w:rsidP="00CF70C6"/>
    <w:p w14:paraId="1B0C2476" w14:textId="77777777" w:rsidR="00E60A7E" w:rsidRDefault="00E60A7E"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462F4A" w:rsidRPr="008A2E85" w14:paraId="624EFF49" w14:textId="77777777" w:rsidTr="00F3507A">
        <w:trPr>
          <w:trHeight w:val="70"/>
        </w:trPr>
        <w:tc>
          <w:tcPr>
            <w:tcW w:w="5000" w:type="pct"/>
            <w:gridSpan w:val="4"/>
            <w:shd w:val="clear" w:color="auto" w:fill="E0E0E0"/>
          </w:tcPr>
          <w:p w14:paraId="63AF975F" w14:textId="066B85AF" w:rsidR="00462F4A" w:rsidRPr="00EB7D0D" w:rsidRDefault="00462F4A" w:rsidP="00F3507A">
            <w:pPr>
              <w:pStyle w:val="Geenafstand"/>
              <w:rPr>
                <w:b/>
                <w:bCs/>
              </w:rPr>
            </w:pPr>
            <w:r w:rsidRPr="00EB7D0D">
              <w:rPr>
                <w:b/>
                <w:bCs/>
              </w:rPr>
              <w:t>Referentieverklaring</w:t>
            </w:r>
            <w:r>
              <w:rPr>
                <w:b/>
                <w:bCs/>
              </w:rPr>
              <w:t>: Kerncompetentie 2</w:t>
            </w:r>
          </w:p>
        </w:tc>
      </w:tr>
      <w:tr w:rsidR="00462F4A" w14:paraId="78E68812" w14:textId="77777777" w:rsidTr="00F3507A">
        <w:trPr>
          <w:trHeight w:val="97"/>
        </w:trPr>
        <w:tc>
          <w:tcPr>
            <w:tcW w:w="951" w:type="pct"/>
            <w:tcBorders>
              <w:top w:val="single" w:sz="4" w:space="0" w:color="auto"/>
              <w:left w:val="single" w:sz="4" w:space="0" w:color="auto"/>
            </w:tcBorders>
          </w:tcPr>
          <w:p w14:paraId="0BA48351" w14:textId="77777777" w:rsidR="00462F4A" w:rsidRDefault="00462F4A" w:rsidP="00F3507A">
            <w:pPr>
              <w:pStyle w:val="Geenafstand"/>
            </w:pPr>
            <w:r>
              <w:t>Naam Inschrijver</w:t>
            </w:r>
          </w:p>
        </w:tc>
        <w:tc>
          <w:tcPr>
            <w:tcW w:w="4049" w:type="pct"/>
            <w:gridSpan w:val="3"/>
            <w:tcBorders>
              <w:top w:val="single" w:sz="4" w:space="0" w:color="auto"/>
              <w:right w:val="single" w:sz="4" w:space="0" w:color="auto"/>
            </w:tcBorders>
          </w:tcPr>
          <w:p w14:paraId="414E6E34" w14:textId="77777777" w:rsidR="00462F4A" w:rsidRPr="004F0D5C" w:rsidRDefault="00462F4A" w:rsidP="00F3507A">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462F4A" w14:paraId="727A36A2" w14:textId="77777777" w:rsidTr="00F3507A">
        <w:trPr>
          <w:trHeight w:val="218"/>
        </w:trPr>
        <w:tc>
          <w:tcPr>
            <w:tcW w:w="951" w:type="pct"/>
            <w:vMerge w:val="restart"/>
            <w:tcBorders>
              <w:left w:val="single" w:sz="4" w:space="0" w:color="auto"/>
              <w:right w:val="single" w:sz="4" w:space="0" w:color="auto"/>
            </w:tcBorders>
          </w:tcPr>
          <w:p w14:paraId="3EFF09CF" w14:textId="77777777" w:rsidR="00462F4A" w:rsidRDefault="00462F4A" w:rsidP="00F3507A">
            <w:pPr>
              <w:pStyle w:val="Geenafstand"/>
            </w:pPr>
            <w:r>
              <w:t>Omschrijving</w:t>
            </w:r>
          </w:p>
        </w:tc>
        <w:tc>
          <w:tcPr>
            <w:tcW w:w="4049" w:type="pct"/>
            <w:gridSpan w:val="3"/>
            <w:tcBorders>
              <w:left w:val="nil"/>
              <w:right w:val="single" w:sz="4" w:space="0" w:color="auto"/>
            </w:tcBorders>
          </w:tcPr>
          <w:p w14:paraId="592819FF" w14:textId="77777777" w:rsidR="00462F4A" w:rsidRPr="00263ABB" w:rsidRDefault="00462F4A" w:rsidP="00F3507A">
            <w:pPr>
              <w:pStyle w:val="Geenafstand"/>
            </w:pPr>
            <w:r>
              <w:t>Inschrijver</w:t>
            </w:r>
            <w:r w:rsidRPr="00600148">
              <w:t xml:space="preserve"> </w:t>
            </w:r>
            <w:r>
              <w:t xml:space="preserve">heeft zelfstandig ervaring opgedaan </w:t>
            </w:r>
            <w:r w:rsidRPr="00600148">
              <w:t>met de</w:t>
            </w:r>
            <w:r>
              <w:t xml:space="preserve"> volgende kerncompetentie:</w:t>
            </w:r>
          </w:p>
        </w:tc>
      </w:tr>
      <w:tr w:rsidR="00462F4A" w14:paraId="68C68BE6" w14:textId="77777777" w:rsidTr="00F3507A">
        <w:trPr>
          <w:trHeight w:val="97"/>
        </w:trPr>
        <w:tc>
          <w:tcPr>
            <w:tcW w:w="951" w:type="pct"/>
            <w:vMerge/>
            <w:tcBorders>
              <w:left w:val="single" w:sz="4" w:space="0" w:color="auto"/>
              <w:right w:val="single" w:sz="4" w:space="0" w:color="auto"/>
            </w:tcBorders>
          </w:tcPr>
          <w:p w14:paraId="558ECD60" w14:textId="77777777" w:rsidR="00462F4A" w:rsidRDefault="00462F4A" w:rsidP="00F3507A">
            <w:pPr>
              <w:pStyle w:val="Geenafstand"/>
            </w:pPr>
          </w:p>
        </w:tc>
        <w:tc>
          <w:tcPr>
            <w:tcW w:w="3521" w:type="pct"/>
            <w:gridSpan w:val="2"/>
            <w:tcBorders>
              <w:left w:val="single" w:sz="4" w:space="0" w:color="auto"/>
              <w:right w:val="nil"/>
            </w:tcBorders>
          </w:tcPr>
          <w:p w14:paraId="0EABE54A" w14:textId="470E5F1B" w:rsidR="00462F4A" w:rsidRPr="00E60A7E" w:rsidRDefault="00462F4A" w:rsidP="00F3507A">
            <w:pPr>
              <w:rPr>
                <w:rFonts w:cs="Arial"/>
              </w:rPr>
            </w:pPr>
            <w:r w:rsidRPr="008B58C9">
              <w:rPr>
                <w:b/>
                <w:bCs/>
              </w:rPr>
              <w:t>Kerncompetentie</w:t>
            </w:r>
            <w:r w:rsidRPr="00A91A12">
              <w:t xml:space="preserve">: </w:t>
            </w:r>
            <w:r w:rsidR="00E60A7E" w:rsidRPr="00E60A7E">
              <w:t>De kerncompetentie betreft de uitvoering van Banqueting diensten voor ten minste 75 gasten per dag. De waarde van de referentieopdracht voor deze kerncompetentie bedraagt minimaal € 1.000.000,- per jaar exclusief btw. Ook hier geldt dat alleen onderdelen die gelijkwaardig zijn aan de gevraagde Banqueting diensten meetellen. Bij een reeks van afzonderlijke, vergelijkbare opdrachten binnen de referentieperiode bij dezelfde opdrachtgever, mogen de aantallen en omzetten worden opgeteld.</w:t>
            </w:r>
          </w:p>
        </w:tc>
        <w:tc>
          <w:tcPr>
            <w:tcW w:w="528" w:type="pct"/>
            <w:tcBorders>
              <w:left w:val="single" w:sz="4" w:space="0" w:color="auto"/>
              <w:right w:val="single" w:sz="4" w:space="0" w:color="auto"/>
            </w:tcBorders>
          </w:tcPr>
          <w:p w14:paraId="73880EB0" w14:textId="77777777" w:rsidR="00462F4A" w:rsidRPr="00600148" w:rsidRDefault="00462F4A" w:rsidP="00F3507A">
            <w:pPr>
              <w:pStyle w:val="Geenafstand"/>
              <w:rPr>
                <w:szCs w:val="18"/>
              </w:rPr>
            </w:pPr>
            <w:r w:rsidRPr="00600148">
              <w:rPr>
                <w:szCs w:val="18"/>
              </w:rPr>
              <w:t xml:space="preserve">Nee / Ja </w:t>
            </w:r>
          </w:p>
          <w:p w14:paraId="45A868BA" w14:textId="77777777" w:rsidR="00462F4A" w:rsidRPr="00600148" w:rsidRDefault="00462F4A" w:rsidP="00F3507A">
            <w:pPr>
              <w:pStyle w:val="Geenafstand"/>
            </w:pPr>
          </w:p>
        </w:tc>
      </w:tr>
      <w:tr w:rsidR="00462F4A" w14:paraId="57616B28" w14:textId="77777777" w:rsidTr="00F3507A">
        <w:trPr>
          <w:trHeight w:val="97"/>
        </w:trPr>
        <w:tc>
          <w:tcPr>
            <w:tcW w:w="951" w:type="pct"/>
            <w:vMerge/>
            <w:tcBorders>
              <w:left w:val="single" w:sz="4" w:space="0" w:color="auto"/>
              <w:right w:val="single" w:sz="4" w:space="0" w:color="auto"/>
            </w:tcBorders>
          </w:tcPr>
          <w:p w14:paraId="5A75761D" w14:textId="77777777" w:rsidR="00462F4A" w:rsidRDefault="00462F4A" w:rsidP="00F3507A">
            <w:pPr>
              <w:pStyle w:val="Geenafstand"/>
            </w:pPr>
          </w:p>
        </w:tc>
        <w:tc>
          <w:tcPr>
            <w:tcW w:w="4049" w:type="pct"/>
            <w:gridSpan w:val="3"/>
            <w:tcBorders>
              <w:left w:val="single" w:sz="4" w:space="0" w:color="auto"/>
              <w:right w:val="single" w:sz="4" w:space="0" w:color="auto"/>
            </w:tcBorders>
          </w:tcPr>
          <w:p w14:paraId="6741111F" w14:textId="77777777" w:rsidR="00462F4A" w:rsidRPr="008A2E85" w:rsidRDefault="00462F4A" w:rsidP="00F3507A">
            <w:pPr>
              <w:pStyle w:val="Geenafstand"/>
            </w:pPr>
            <w:r>
              <w:t>O</w:t>
            </w:r>
            <w:r w:rsidRPr="008A2E85">
              <w:t>pdracht</w:t>
            </w:r>
            <w:r>
              <w:t>formulering, uitgevoerde activiteiten en/of opgeleverde resultaten</w:t>
            </w:r>
            <w:r w:rsidRPr="008A2E85">
              <w:t xml:space="preserve"> (inhoudelijk omschrijven</w:t>
            </w:r>
            <w:r>
              <w:t xml:space="preserve"> per kerncompetentie</w:t>
            </w:r>
            <w:r w:rsidRPr="008A2E85">
              <w:t>):</w:t>
            </w:r>
          </w:p>
          <w:p w14:paraId="463AC341" w14:textId="77777777" w:rsidR="00462F4A" w:rsidRDefault="00462F4A" w:rsidP="00F3507A">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2F4A" w14:paraId="64F0E683" w14:textId="77777777" w:rsidTr="00F3507A">
        <w:trPr>
          <w:trHeight w:val="97"/>
        </w:trPr>
        <w:tc>
          <w:tcPr>
            <w:tcW w:w="951" w:type="pct"/>
            <w:vMerge/>
            <w:tcBorders>
              <w:left w:val="single" w:sz="4" w:space="0" w:color="auto"/>
              <w:right w:val="single" w:sz="4" w:space="0" w:color="auto"/>
            </w:tcBorders>
          </w:tcPr>
          <w:p w14:paraId="4F58AF81" w14:textId="77777777" w:rsidR="00462F4A" w:rsidRDefault="00462F4A" w:rsidP="00F3507A">
            <w:pPr>
              <w:pStyle w:val="Geenafstand"/>
            </w:pPr>
          </w:p>
        </w:tc>
        <w:tc>
          <w:tcPr>
            <w:tcW w:w="1772" w:type="pct"/>
            <w:tcBorders>
              <w:left w:val="single" w:sz="4" w:space="0" w:color="auto"/>
              <w:right w:val="single" w:sz="4" w:space="0" w:color="auto"/>
            </w:tcBorders>
          </w:tcPr>
          <w:p w14:paraId="1851B6C4" w14:textId="6E5430B4" w:rsidR="00462F4A" w:rsidRPr="00EF2BCE" w:rsidRDefault="00462F4A" w:rsidP="00F3507A">
            <w:pPr>
              <w:pStyle w:val="Geenafstand"/>
            </w:pPr>
            <w:r w:rsidRPr="00EF2BCE">
              <w:t xml:space="preserve">Opdrachtomvang in </w:t>
            </w:r>
            <w:r w:rsidR="00193BD1">
              <w:t>euro’s</w:t>
            </w:r>
          </w:p>
          <w:p w14:paraId="11DD3AF2" w14:textId="2EDD4B2C" w:rsidR="00462F4A" w:rsidRDefault="00462F4A" w:rsidP="00F3507A">
            <w:pPr>
              <w:pStyle w:val="Geenafstand"/>
            </w:pPr>
            <w:r w:rsidRPr="00EF2BCE">
              <w:t>(</w:t>
            </w:r>
            <w:r w:rsidRPr="00EF2BCE">
              <w:rPr>
                <w:szCs w:val="18"/>
              </w:rPr>
              <w:t>per jaar</w:t>
            </w:r>
            <w:r w:rsidRPr="00EB7D0D">
              <w:rPr>
                <w:szCs w:val="18"/>
              </w:rPr>
              <w:t>)</w:t>
            </w:r>
          </w:p>
        </w:tc>
        <w:tc>
          <w:tcPr>
            <w:tcW w:w="2277" w:type="pct"/>
            <w:gridSpan w:val="2"/>
          </w:tcPr>
          <w:p w14:paraId="6F2B232A" w14:textId="77777777" w:rsidR="00462F4A" w:rsidRDefault="00462F4A" w:rsidP="00F3507A">
            <w:pPr>
              <w:pStyle w:val="Geenafstand"/>
            </w:pPr>
          </w:p>
        </w:tc>
      </w:tr>
      <w:tr w:rsidR="00462F4A" w14:paraId="79139EE0" w14:textId="77777777" w:rsidTr="00F3507A">
        <w:trPr>
          <w:trHeight w:val="97"/>
        </w:trPr>
        <w:tc>
          <w:tcPr>
            <w:tcW w:w="951" w:type="pct"/>
            <w:vMerge/>
            <w:tcBorders>
              <w:left w:val="single" w:sz="4" w:space="0" w:color="auto"/>
              <w:right w:val="single" w:sz="4" w:space="0" w:color="auto"/>
            </w:tcBorders>
          </w:tcPr>
          <w:p w14:paraId="08C80AEE" w14:textId="77777777" w:rsidR="00462F4A" w:rsidRDefault="00462F4A" w:rsidP="00F3507A">
            <w:pPr>
              <w:pStyle w:val="Geenafstand"/>
            </w:pPr>
          </w:p>
        </w:tc>
        <w:tc>
          <w:tcPr>
            <w:tcW w:w="1772" w:type="pct"/>
            <w:tcBorders>
              <w:left w:val="single" w:sz="4" w:space="0" w:color="auto"/>
              <w:right w:val="nil"/>
            </w:tcBorders>
          </w:tcPr>
          <w:p w14:paraId="7D58100B" w14:textId="77777777" w:rsidR="00462F4A" w:rsidRDefault="00462F4A" w:rsidP="00F3507A">
            <w:pPr>
              <w:pStyle w:val="Geenafstand"/>
            </w:pPr>
            <w:r>
              <w:t>Looptijd van de opdracht</w:t>
            </w:r>
          </w:p>
        </w:tc>
        <w:tc>
          <w:tcPr>
            <w:tcW w:w="2277" w:type="pct"/>
            <w:gridSpan w:val="2"/>
            <w:tcBorders>
              <w:left w:val="single" w:sz="4" w:space="0" w:color="auto"/>
              <w:right w:val="single" w:sz="4" w:space="0" w:color="auto"/>
            </w:tcBorders>
          </w:tcPr>
          <w:p w14:paraId="366C700E" w14:textId="77777777" w:rsidR="00462F4A" w:rsidRPr="00A91D54" w:rsidRDefault="00462F4A" w:rsidP="00F3507A">
            <w:pPr>
              <w:pStyle w:val="Geenafstand"/>
              <w:rPr>
                <w:szCs w:val="18"/>
              </w:rPr>
            </w:pPr>
            <w:r>
              <w:t xml:space="preserve">Van  ..-..-....  tot  </w:t>
            </w:r>
            <w:r>
              <w:rPr>
                <w:szCs w:val="18"/>
              </w:rPr>
              <w:t>..-..-....</w:t>
            </w:r>
          </w:p>
        </w:tc>
      </w:tr>
      <w:tr w:rsidR="00462F4A" w14:paraId="3E16A748" w14:textId="77777777" w:rsidTr="00F3507A">
        <w:trPr>
          <w:trHeight w:val="97"/>
        </w:trPr>
        <w:tc>
          <w:tcPr>
            <w:tcW w:w="951" w:type="pct"/>
            <w:tcBorders>
              <w:left w:val="single" w:sz="4" w:space="0" w:color="auto"/>
              <w:bottom w:val="single" w:sz="4" w:space="0" w:color="auto"/>
            </w:tcBorders>
          </w:tcPr>
          <w:p w14:paraId="00C2F6C2" w14:textId="77777777" w:rsidR="00462F4A" w:rsidRDefault="00462F4A" w:rsidP="00F3507A">
            <w:pPr>
              <w:pStyle w:val="Geenafstand"/>
            </w:pPr>
            <w:r>
              <w:t>Overige bijzonderheden</w:t>
            </w:r>
          </w:p>
        </w:tc>
        <w:tc>
          <w:tcPr>
            <w:tcW w:w="4049" w:type="pct"/>
            <w:gridSpan w:val="3"/>
            <w:tcBorders>
              <w:bottom w:val="single" w:sz="4" w:space="0" w:color="auto"/>
              <w:right w:val="single" w:sz="4" w:space="0" w:color="auto"/>
            </w:tcBorders>
          </w:tcPr>
          <w:p w14:paraId="52811BDC" w14:textId="77777777" w:rsidR="00462F4A" w:rsidRDefault="00462F4A" w:rsidP="00F3507A">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7C1D92" w14:textId="77777777" w:rsidR="00462F4A" w:rsidRDefault="00462F4A"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CC6518">
            <w:pPr>
              <w:pStyle w:val="Geenafstand"/>
              <w:rPr>
                <w:b/>
                <w:bCs/>
              </w:rPr>
            </w:pPr>
            <w:r w:rsidRPr="00EB7D0D">
              <w:rPr>
                <w:b/>
                <w:bCs/>
              </w:rPr>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4D8D3E74" w14:textId="77777777" w:rsidR="00CF70C6" w:rsidRPr="00CC6518" w:rsidRDefault="00CF70C6" w:rsidP="00CC6518">
            <w:pPr>
              <w:pStyle w:val="Geenafstand"/>
            </w:pPr>
          </w:p>
          <w:p w14:paraId="3EA1CC8C"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07F32CB5" w14:textId="77777777" w:rsidR="00CF70C6" w:rsidRPr="003E1248" w:rsidRDefault="00CF70C6" w:rsidP="00CF70C6"/>
    <w:p w14:paraId="1706E350" w14:textId="77777777" w:rsidR="00C7660C" w:rsidRPr="00C7660C" w:rsidRDefault="00C7660C" w:rsidP="00C7660C"/>
    <w:sectPr w:rsidR="00C7660C" w:rsidRPr="00C7660C" w:rsidSect="00CC6518">
      <w:footerReference w:type="even" r:id="rId7"/>
      <w:footerReference w:type="default" r:id="rId8"/>
      <w:headerReference w:type="first" r:id="rId9"/>
      <w:footerReference w:type="first" r:id="rId10"/>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63CB" w14:textId="677CE947" w:rsidR="002A2D13" w:rsidRDefault="002A2D13">
    <w:pPr>
      <w:pStyle w:val="Voettekst"/>
    </w:pPr>
    <w:r>
      <w:rPr>
        <w:noProof/>
      </w:rPr>
      <mc:AlternateContent>
        <mc:Choice Requires="wps">
          <w:drawing>
            <wp:anchor distT="0" distB="0" distL="0" distR="0" simplePos="0" relativeHeight="251659264" behindDoc="0" locked="0" layoutInCell="1" allowOverlap="1" wp14:anchorId="3E0E299A" wp14:editId="57269ADA">
              <wp:simplePos x="635" y="635"/>
              <wp:positionH relativeFrom="page">
                <wp:align>left</wp:align>
              </wp:positionH>
              <wp:positionV relativeFrom="page">
                <wp:align>bottom</wp:align>
              </wp:positionV>
              <wp:extent cx="986155" cy="345440"/>
              <wp:effectExtent l="0" t="0" r="4445" b="0"/>
              <wp:wrapNone/>
              <wp:docPr id="35418176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C19B9E" w14:textId="377C004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0E299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C19B9E" w14:textId="377C004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6F6" w14:textId="6FD056EA" w:rsidR="00CE3760" w:rsidRDefault="002A2D13" w:rsidP="009643C8">
    <w:pPr>
      <w:pStyle w:val="Voettekst"/>
      <w:jc w:val="right"/>
    </w:pPr>
    <w:r>
      <w:rPr>
        <w:noProof/>
      </w:rPr>
      <mc:AlternateContent>
        <mc:Choice Requires="wps">
          <w:drawing>
            <wp:anchor distT="0" distB="0" distL="0" distR="0" simplePos="0" relativeHeight="251660288" behindDoc="0" locked="0" layoutInCell="1" allowOverlap="1" wp14:anchorId="35611319" wp14:editId="41AD8F39">
              <wp:simplePos x="901065" y="10119995"/>
              <wp:positionH relativeFrom="page">
                <wp:align>left</wp:align>
              </wp:positionH>
              <wp:positionV relativeFrom="page">
                <wp:align>bottom</wp:align>
              </wp:positionV>
              <wp:extent cx="986155" cy="345440"/>
              <wp:effectExtent l="0" t="0" r="4445" b="0"/>
              <wp:wrapNone/>
              <wp:docPr id="194810936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E8092C7" w14:textId="058BC48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11319"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E8092C7" w14:textId="058BC486"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sdt>
      <w:sdtPr>
        <w:id w:val="776985632"/>
        <w:docPartObj>
          <w:docPartGallery w:val="Page Numbers (Top of Page)"/>
          <w:docPartUnique/>
        </w:docPartObj>
      </w:sdtPr>
      <w:sdtEndPr/>
      <w:sdtContent>
        <w:r w:rsidR="00CE3760" w:rsidRPr="00E60A7E">
          <w:rPr>
            <w:i/>
            <w:iCs/>
            <w:sz w:val="16"/>
            <w:szCs w:val="16"/>
          </w:rPr>
          <w:t xml:space="preserve">Bijlage </w:t>
        </w:r>
        <w:r w:rsidR="00E60A7E" w:rsidRPr="00E60A7E">
          <w:rPr>
            <w:i/>
            <w:iCs/>
            <w:sz w:val="16"/>
            <w:szCs w:val="16"/>
          </w:rPr>
          <w:t>7</w:t>
        </w:r>
        <w:r w:rsidR="00CE3760" w:rsidRPr="00E60A7E">
          <w:rPr>
            <w:i/>
            <w:iCs/>
            <w:sz w:val="16"/>
            <w:szCs w:val="16"/>
          </w:rPr>
          <w:t xml:space="preserve"> Referentieverklaring</w:t>
        </w:r>
        <w:r w:rsidR="00E60A7E" w:rsidRPr="00E60A7E">
          <w:rPr>
            <w:i/>
            <w:iCs/>
            <w:sz w:val="16"/>
            <w:szCs w:val="16"/>
          </w:rPr>
          <w:t xml:space="preserve"> – Perceel 1 en 2</w:t>
        </w:r>
        <w:r w:rsidR="00CE3760" w:rsidRPr="009643C8">
          <w:rPr>
            <w:sz w:val="16"/>
            <w:szCs w:val="16"/>
          </w:rPr>
          <w:tab/>
        </w:r>
        <w:r w:rsidR="00CE3760" w:rsidRPr="009643C8">
          <w:rPr>
            <w:sz w:val="16"/>
            <w:szCs w:val="16"/>
          </w:rPr>
          <w:tab/>
          <w:t xml:space="preserve">Pagina </w:t>
        </w:r>
        <w:r w:rsidR="00CE3760" w:rsidRPr="009643C8">
          <w:rPr>
            <w:b/>
            <w:bCs/>
            <w:sz w:val="16"/>
            <w:szCs w:val="16"/>
          </w:rPr>
          <w:fldChar w:fldCharType="begin"/>
        </w:r>
        <w:r w:rsidR="00CE3760" w:rsidRPr="009643C8">
          <w:rPr>
            <w:b/>
            <w:bCs/>
            <w:sz w:val="16"/>
            <w:szCs w:val="16"/>
          </w:rPr>
          <w:instrText>PAGE</w:instrText>
        </w:r>
        <w:r w:rsidR="00CE3760" w:rsidRPr="009643C8">
          <w:rPr>
            <w:b/>
            <w:bCs/>
            <w:sz w:val="16"/>
            <w:szCs w:val="16"/>
          </w:rPr>
          <w:fldChar w:fldCharType="separate"/>
        </w:r>
        <w:r w:rsidR="00CE3760">
          <w:rPr>
            <w:b/>
            <w:bCs/>
            <w:sz w:val="16"/>
            <w:szCs w:val="16"/>
          </w:rPr>
          <w:t>1</w:t>
        </w:r>
        <w:r w:rsidR="00CE3760" w:rsidRPr="009643C8">
          <w:rPr>
            <w:b/>
            <w:bCs/>
            <w:sz w:val="16"/>
            <w:szCs w:val="16"/>
          </w:rPr>
          <w:fldChar w:fldCharType="end"/>
        </w:r>
        <w:r w:rsidR="00CE3760" w:rsidRPr="009643C8">
          <w:rPr>
            <w:sz w:val="16"/>
            <w:szCs w:val="16"/>
          </w:rPr>
          <w:t xml:space="preserve"> van </w:t>
        </w:r>
        <w:r w:rsidR="00CE3760" w:rsidRPr="009643C8">
          <w:rPr>
            <w:b/>
            <w:bCs/>
            <w:sz w:val="16"/>
            <w:szCs w:val="16"/>
          </w:rPr>
          <w:fldChar w:fldCharType="begin"/>
        </w:r>
        <w:r w:rsidR="00CE3760" w:rsidRPr="009643C8">
          <w:rPr>
            <w:b/>
            <w:bCs/>
            <w:sz w:val="16"/>
            <w:szCs w:val="16"/>
          </w:rPr>
          <w:instrText>NUMPAGES</w:instrText>
        </w:r>
        <w:r w:rsidR="00CE3760" w:rsidRPr="009643C8">
          <w:rPr>
            <w:b/>
            <w:bCs/>
            <w:sz w:val="16"/>
            <w:szCs w:val="16"/>
          </w:rPr>
          <w:fldChar w:fldCharType="separate"/>
        </w:r>
        <w:r w:rsidR="00CE3760">
          <w:rPr>
            <w:b/>
            <w:bCs/>
            <w:sz w:val="16"/>
            <w:szCs w:val="16"/>
          </w:rPr>
          <w:t>2</w:t>
        </w:r>
        <w:r w:rsidR="00CE3760" w:rsidRPr="009643C8">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479" w14:textId="249D16F7" w:rsidR="00CE3760" w:rsidRDefault="002A2D13" w:rsidP="009643C8">
    <w:pPr>
      <w:pStyle w:val="Voettekst"/>
      <w:jc w:val="right"/>
    </w:pPr>
    <w:r>
      <w:rPr>
        <w:noProof/>
      </w:rPr>
      <mc:AlternateContent>
        <mc:Choice Requires="wps">
          <w:drawing>
            <wp:anchor distT="0" distB="0" distL="0" distR="0" simplePos="0" relativeHeight="251658240" behindDoc="0" locked="0" layoutInCell="1" allowOverlap="1" wp14:anchorId="31CCDCDA" wp14:editId="7E7FBA4A">
              <wp:simplePos x="899160" y="10119360"/>
              <wp:positionH relativeFrom="page">
                <wp:align>left</wp:align>
              </wp:positionH>
              <wp:positionV relativeFrom="page">
                <wp:align>bottom</wp:align>
              </wp:positionV>
              <wp:extent cx="986155" cy="345440"/>
              <wp:effectExtent l="0" t="0" r="4445" b="0"/>
              <wp:wrapNone/>
              <wp:docPr id="90356630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6E0B8A" w14:textId="5DBD5D3C"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CCDCD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96E0B8A" w14:textId="5DBD5D3C" w:rsidR="002A2D13" w:rsidRPr="002A2D13" w:rsidRDefault="002A2D13" w:rsidP="002A2D13">
                    <w:pPr>
                      <w:rPr>
                        <w:rFonts w:ascii="Calibri" w:eastAsia="Calibri" w:hAnsi="Calibri" w:cs="Calibri"/>
                        <w:noProof/>
                        <w:color w:val="000000"/>
                        <w:sz w:val="20"/>
                        <w:szCs w:val="20"/>
                      </w:rPr>
                    </w:pPr>
                    <w:r w:rsidRPr="002A2D13">
                      <w:rPr>
                        <w:rFonts w:ascii="Calibri" w:eastAsia="Calibri" w:hAnsi="Calibri" w:cs="Calibri"/>
                        <w:noProof/>
                        <w:color w:val="000000"/>
                        <w:sz w:val="20"/>
                        <w:szCs w:val="20"/>
                      </w:rPr>
                      <w:t>Intern gebruik</w:t>
                    </w:r>
                  </w:p>
                </w:txbxContent>
              </v:textbox>
              <w10:wrap anchorx="page" anchory="page"/>
            </v:shape>
          </w:pict>
        </mc:Fallback>
      </mc:AlternateContent>
    </w:r>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r w:rsidR="00E60A7E" w:rsidRPr="00E60A7E">
              <w:rPr>
                <w:i/>
                <w:iCs/>
                <w:sz w:val="16"/>
                <w:szCs w:val="16"/>
              </w:rPr>
              <w:t>Bijlage 7 Referentieverklaring – Perceel 1 en 2</w:t>
            </w:r>
            <w:r w:rsidR="00CE3760" w:rsidRPr="009643C8">
              <w:rPr>
                <w:sz w:val="16"/>
                <w:szCs w:val="16"/>
              </w:rPr>
              <w:tab/>
            </w:r>
            <w:r w:rsidR="00CE3760" w:rsidRPr="009643C8">
              <w:rPr>
                <w:sz w:val="16"/>
                <w:szCs w:val="16"/>
              </w:rPr>
              <w:tab/>
              <w:t xml:space="preserve">Pagina </w:t>
            </w:r>
            <w:r w:rsidR="00CE3760" w:rsidRPr="009643C8">
              <w:rPr>
                <w:b/>
                <w:bCs/>
                <w:sz w:val="16"/>
                <w:szCs w:val="16"/>
              </w:rPr>
              <w:fldChar w:fldCharType="begin"/>
            </w:r>
            <w:r w:rsidR="00CE3760" w:rsidRPr="009643C8">
              <w:rPr>
                <w:b/>
                <w:bCs/>
                <w:sz w:val="16"/>
                <w:szCs w:val="16"/>
              </w:rPr>
              <w:instrText>PAGE</w:instrText>
            </w:r>
            <w:r w:rsidR="00CE3760" w:rsidRPr="009643C8">
              <w:rPr>
                <w:b/>
                <w:bCs/>
                <w:sz w:val="16"/>
                <w:szCs w:val="16"/>
              </w:rPr>
              <w:fldChar w:fldCharType="separate"/>
            </w:r>
            <w:r w:rsidR="00CE3760" w:rsidRPr="009643C8">
              <w:rPr>
                <w:b/>
                <w:bCs/>
                <w:sz w:val="16"/>
                <w:szCs w:val="16"/>
              </w:rPr>
              <w:t>2</w:t>
            </w:r>
            <w:r w:rsidR="00CE3760" w:rsidRPr="009643C8">
              <w:rPr>
                <w:b/>
                <w:bCs/>
                <w:sz w:val="16"/>
                <w:szCs w:val="16"/>
              </w:rPr>
              <w:fldChar w:fldCharType="end"/>
            </w:r>
            <w:r w:rsidR="00CE3760" w:rsidRPr="009643C8">
              <w:rPr>
                <w:sz w:val="16"/>
                <w:szCs w:val="16"/>
              </w:rPr>
              <w:t xml:space="preserve"> van </w:t>
            </w:r>
            <w:r w:rsidR="00CE3760" w:rsidRPr="009643C8">
              <w:rPr>
                <w:b/>
                <w:bCs/>
                <w:sz w:val="16"/>
                <w:szCs w:val="16"/>
              </w:rPr>
              <w:fldChar w:fldCharType="begin"/>
            </w:r>
            <w:r w:rsidR="00CE3760" w:rsidRPr="009643C8">
              <w:rPr>
                <w:b/>
                <w:bCs/>
                <w:sz w:val="16"/>
                <w:szCs w:val="16"/>
              </w:rPr>
              <w:instrText>NUMPAGES</w:instrText>
            </w:r>
            <w:r w:rsidR="00CE3760" w:rsidRPr="009643C8">
              <w:rPr>
                <w:b/>
                <w:bCs/>
                <w:sz w:val="16"/>
                <w:szCs w:val="16"/>
              </w:rPr>
              <w:fldChar w:fldCharType="separate"/>
            </w:r>
            <w:r w:rsidR="00CE3760" w:rsidRPr="009643C8">
              <w:rPr>
                <w:b/>
                <w:bCs/>
                <w:sz w:val="16"/>
                <w:szCs w:val="16"/>
              </w:rPr>
              <w:t>2</w:t>
            </w:r>
            <w:r w:rsidR="00CE3760" w:rsidRPr="009643C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BC7" w14:textId="6DAD09F7" w:rsidR="00CE3760" w:rsidRDefault="00CE3760" w:rsidP="009643C8">
    <w:pPr>
      <w:pStyle w:val="Geenafstand"/>
    </w:pPr>
    <w:r w:rsidRPr="009643C8">
      <w:rPr>
        <w:b/>
        <w:bCs/>
        <w:sz w:val="24"/>
        <w:szCs w:val="36"/>
      </w:rPr>
      <w:t xml:space="preserve">Bijlage </w:t>
    </w:r>
    <w:r w:rsidR="00193BD1">
      <w:rPr>
        <w:b/>
        <w:bCs/>
        <w:sz w:val="24"/>
        <w:szCs w:val="36"/>
      </w:rPr>
      <w:t>7</w:t>
    </w:r>
    <w:r w:rsidRPr="009643C8">
      <w:rPr>
        <w:b/>
        <w:bCs/>
        <w:sz w:val="24"/>
        <w:szCs w:val="36"/>
      </w:rPr>
      <w:t xml:space="preserve"> Referentieverklaring</w:t>
    </w:r>
    <w:r w:rsidR="00E8504F">
      <w:rPr>
        <w:b/>
        <w:bCs/>
        <w:sz w:val="24"/>
        <w:szCs w:val="36"/>
      </w:rPr>
      <w:t xml:space="preserve"> </w:t>
    </w:r>
    <w:r w:rsidR="00E60A7E">
      <w:rPr>
        <w:b/>
        <w:bCs/>
        <w:sz w:val="24"/>
        <w:szCs w:val="36"/>
      </w:rPr>
      <w:t>– Perceel 1 en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5"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8" w15:restartNumberingAfterBreak="0">
    <w:nsid w:val="3EE813E1"/>
    <w:multiLevelType w:val="hybridMultilevel"/>
    <w:tmpl w:val="CB88B092"/>
    <w:lvl w:ilvl="0" w:tplc="D84EAC1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3187588">
    <w:abstractNumId w:val="9"/>
  </w:num>
  <w:num w:numId="2" w16cid:durableId="1571237080">
    <w:abstractNumId w:val="13"/>
  </w:num>
  <w:num w:numId="3" w16cid:durableId="1039553496">
    <w:abstractNumId w:val="17"/>
  </w:num>
  <w:num w:numId="4" w16cid:durableId="1308168990">
    <w:abstractNumId w:val="14"/>
  </w:num>
  <w:num w:numId="5" w16cid:durableId="1175223996">
    <w:abstractNumId w:val="12"/>
  </w:num>
  <w:num w:numId="6" w16cid:durableId="1265458546">
    <w:abstractNumId w:val="7"/>
  </w:num>
  <w:num w:numId="7" w16cid:durableId="1246643436">
    <w:abstractNumId w:val="6"/>
  </w:num>
  <w:num w:numId="8" w16cid:durableId="109594224">
    <w:abstractNumId w:val="5"/>
  </w:num>
  <w:num w:numId="9" w16cid:durableId="2079742728">
    <w:abstractNumId w:val="4"/>
  </w:num>
  <w:num w:numId="10" w16cid:durableId="311563636">
    <w:abstractNumId w:val="8"/>
  </w:num>
  <w:num w:numId="11" w16cid:durableId="2028016240">
    <w:abstractNumId w:val="3"/>
  </w:num>
  <w:num w:numId="12" w16cid:durableId="2130195300">
    <w:abstractNumId w:val="2"/>
  </w:num>
  <w:num w:numId="13" w16cid:durableId="1484010728">
    <w:abstractNumId w:val="1"/>
  </w:num>
  <w:num w:numId="14" w16cid:durableId="1506676185">
    <w:abstractNumId w:val="0"/>
  </w:num>
  <w:num w:numId="15" w16cid:durableId="1530488294">
    <w:abstractNumId w:val="20"/>
  </w:num>
  <w:num w:numId="16" w16cid:durableId="145322113">
    <w:abstractNumId w:val="19"/>
  </w:num>
  <w:num w:numId="17" w16cid:durableId="1477456562">
    <w:abstractNumId w:val="21"/>
  </w:num>
  <w:num w:numId="18" w16cid:durableId="1904563014">
    <w:abstractNumId w:val="15"/>
  </w:num>
  <w:num w:numId="19" w16cid:durableId="845897942">
    <w:abstractNumId w:val="16"/>
  </w:num>
  <w:num w:numId="20" w16cid:durableId="313611073">
    <w:abstractNumId w:val="22"/>
  </w:num>
  <w:num w:numId="21" w16cid:durableId="1256744535">
    <w:abstractNumId w:val="11"/>
  </w:num>
  <w:num w:numId="22" w16cid:durableId="1920014806">
    <w:abstractNumId w:val="10"/>
  </w:num>
  <w:num w:numId="23" w16cid:durableId="1019697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0F7C58"/>
    <w:rsid w:val="00173ABB"/>
    <w:rsid w:val="00193BD1"/>
    <w:rsid w:val="002201E2"/>
    <w:rsid w:val="00226E83"/>
    <w:rsid w:val="00263ABB"/>
    <w:rsid w:val="002862F8"/>
    <w:rsid w:val="002A2D13"/>
    <w:rsid w:val="00302716"/>
    <w:rsid w:val="00316344"/>
    <w:rsid w:val="003F7400"/>
    <w:rsid w:val="00462F4A"/>
    <w:rsid w:val="00477116"/>
    <w:rsid w:val="004A3937"/>
    <w:rsid w:val="004B41A8"/>
    <w:rsid w:val="004C35C9"/>
    <w:rsid w:val="00567376"/>
    <w:rsid w:val="005770E6"/>
    <w:rsid w:val="00594BA8"/>
    <w:rsid w:val="005B502B"/>
    <w:rsid w:val="005C33DB"/>
    <w:rsid w:val="00696035"/>
    <w:rsid w:val="006B41F4"/>
    <w:rsid w:val="006C6218"/>
    <w:rsid w:val="00732653"/>
    <w:rsid w:val="00741420"/>
    <w:rsid w:val="00745CEC"/>
    <w:rsid w:val="0077035E"/>
    <w:rsid w:val="007C48F0"/>
    <w:rsid w:val="007D0383"/>
    <w:rsid w:val="00887B10"/>
    <w:rsid w:val="008B58C9"/>
    <w:rsid w:val="008C7CE3"/>
    <w:rsid w:val="00912D33"/>
    <w:rsid w:val="00915700"/>
    <w:rsid w:val="00941E87"/>
    <w:rsid w:val="009643C8"/>
    <w:rsid w:val="009C2DFD"/>
    <w:rsid w:val="009C4DFC"/>
    <w:rsid w:val="00A91A12"/>
    <w:rsid w:val="00AC5E51"/>
    <w:rsid w:val="00B84873"/>
    <w:rsid w:val="00C022E0"/>
    <w:rsid w:val="00C03A31"/>
    <w:rsid w:val="00C30876"/>
    <w:rsid w:val="00C40571"/>
    <w:rsid w:val="00C7660C"/>
    <w:rsid w:val="00CB3705"/>
    <w:rsid w:val="00CC6518"/>
    <w:rsid w:val="00CE3760"/>
    <w:rsid w:val="00CF1C7D"/>
    <w:rsid w:val="00CF70C6"/>
    <w:rsid w:val="00D106A6"/>
    <w:rsid w:val="00D544F0"/>
    <w:rsid w:val="00D6141F"/>
    <w:rsid w:val="00D912EF"/>
    <w:rsid w:val="00DE7659"/>
    <w:rsid w:val="00E17ECD"/>
    <w:rsid w:val="00E60A7E"/>
    <w:rsid w:val="00E8504F"/>
    <w:rsid w:val="00EA64B6"/>
    <w:rsid w:val="00EA6F12"/>
    <w:rsid w:val="00EB7D0D"/>
    <w:rsid w:val="00EC6E53"/>
    <w:rsid w:val="00EE6C4F"/>
    <w:rsid w:val="00EF2BCE"/>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aliases w:val="Opsomblokjes en substreepjes,Reference List,Lijst opsomming 1,Hoofdstuk 1,Paragraaf zonder nummering,Kop 1.1,List - Number,Bulletlijst NS,List Paragraph11,List Paragraph2,List Paragraph Char Char,lp1,Number_1,SGLText List Paragraph,new,b1"/>
    <w:basedOn w:val="Standaard"/>
    <w:link w:val="LijstalineaChar"/>
    <w:uiPriority w:val="34"/>
    <w:qFormat/>
    <w:rsid w:val="00CC6518"/>
    <w:pPr>
      <w:ind w:left="720"/>
      <w:contextualSpacing/>
    </w:pPr>
  </w:style>
  <w:style w:type="character" w:customStyle="1" w:styleId="LijstalineaChar">
    <w:name w:val="Lijstalinea Char"/>
    <w:aliases w:val="Opsomblokjes en substreepjes Char,Reference List Char,Lijst opsomming 1 Char,Hoofdstuk 1 Char,Paragraaf zonder nummering Char,Kop 1.1 Char,List - Number Char,Bulletlijst NS Char,List Paragraph11 Char,List Paragraph2 Char,lp1 Char"/>
    <w:link w:val="Lijstalinea"/>
    <w:uiPriority w:val="34"/>
    <w:qFormat/>
    <w:locked/>
    <w:rsid w:val="00193BD1"/>
    <w:rPr>
      <w:rFonts w:ascii="Verdana" w:hAnsi="Verdana"/>
      <w:sz w:val="18"/>
      <w:szCs w:val="24"/>
    </w:rPr>
  </w:style>
  <w:style w:type="paragraph" w:customStyle="1" w:styleId="Bullet">
    <w:name w:val="Bullet"/>
    <w:basedOn w:val="Standaard"/>
    <w:link w:val="BulletChar"/>
    <w:autoRedefine/>
    <w:rsid w:val="00193BD1"/>
    <w:pPr>
      <w:widowControl w:val="0"/>
      <w:spacing w:line="240" w:lineRule="auto"/>
      <w:ind w:left="360" w:hanging="360"/>
    </w:pPr>
    <w:rPr>
      <w:bCs/>
      <w:szCs w:val="20"/>
      <w:lang w:val="nl"/>
    </w:rPr>
  </w:style>
  <w:style w:type="character" w:customStyle="1" w:styleId="BulletChar">
    <w:name w:val="Bullet Char"/>
    <w:link w:val="Bullet"/>
    <w:rsid w:val="00193BD1"/>
    <w:rPr>
      <w:rFonts w:ascii="Verdana" w:hAnsi="Verdana"/>
      <w:bCs/>
      <w:sz w:val="18"/>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Kerkhoff, T. van den (Tom)</cp:lastModifiedBy>
  <cp:revision>8</cp:revision>
  <cp:lastPrinted>2018-06-29T13:52:00Z</cp:lastPrinted>
  <dcterms:created xsi:type="dcterms:W3CDTF">2025-06-26T15:21:00Z</dcterms:created>
  <dcterms:modified xsi:type="dcterms:W3CDTF">2026-03-03T08:04:00Z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35db53e5,151c6287,741dca37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