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6445D31D" w14:textId="1B4D7138" w:rsidR="00C366B3" w:rsidRDefault="00C366B3" w:rsidP="00C366B3">
      <w:pPr>
        <w:spacing w:line="260" w:lineRule="exact"/>
        <w:rPr>
          <w:szCs w:val="20"/>
        </w:rPr>
      </w:pPr>
      <w:r w:rsidRPr="00382DB3">
        <w:rPr>
          <w:szCs w:val="20"/>
        </w:rPr>
        <w:t>Voor kerncompetentie</w:t>
      </w:r>
      <w:r>
        <w:rPr>
          <w:szCs w:val="20"/>
        </w:rPr>
        <w:t xml:space="preserve"> A en B </w:t>
      </w:r>
      <w:r w:rsidRPr="00382DB3">
        <w:rPr>
          <w:szCs w:val="20"/>
        </w:rPr>
        <w:t xml:space="preserve">overlegt </w:t>
      </w:r>
      <w:r>
        <w:rPr>
          <w:szCs w:val="20"/>
        </w:rPr>
        <w:t>i</w:t>
      </w:r>
      <w:r w:rsidRPr="00382DB3">
        <w:rPr>
          <w:szCs w:val="20"/>
        </w:rPr>
        <w:t>nschrijver per kerncompetentie minimaal één (1) referentie. Eén referentie mag meerdere kerncompetenties afdekken.</w:t>
      </w:r>
      <w:r>
        <w:rPr>
          <w:szCs w:val="20"/>
        </w:rPr>
        <w:t xml:space="preserve"> Beide kerncompetenties dienen te voldoen aan de volgende voorwaarden:</w:t>
      </w:r>
    </w:p>
    <w:p w14:paraId="65C0FE3D" w14:textId="77777777" w:rsidR="00C366B3" w:rsidRPr="00382DB3" w:rsidRDefault="00C366B3" w:rsidP="00C366B3">
      <w:pPr>
        <w:spacing w:line="260" w:lineRule="exact"/>
        <w:rPr>
          <w:szCs w:val="20"/>
        </w:rPr>
      </w:pPr>
    </w:p>
    <w:p w14:paraId="37E649EB" w14:textId="77777777" w:rsidR="00C366B3" w:rsidRDefault="00C366B3" w:rsidP="00C366B3">
      <w:pPr>
        <w:pStyle w:val="Lijstalinea"/>
        <w:numPr>
          <w:ilvl w:val="1"/>
          <w:numId w:val="1"/>
        </w:numPr>
        <w:ind w:left="720"/>
        <w:rPr>
          <w:szCs w:val="20"/>
        </w:rPr>
      </w:pPr>
      <w:r>
        <w:rPr>
          <w:szCs w:val="20"/>
        </w:rPr>
        <w:t>Z</w:t>
      </w:r>
      <w:r w:rsidRPr="00382DB3">
        <w:rPr>
          <w:szCs w:val="20"/>
        </w:rPr>
        <w:t xml:space="preserve">ijn lopend of afgerond in de laatste </w:t>
      </w:r>
      <w:r>
        <w:rPr>
          <w:szCs w:val="20"/>
        </w:rPr>
        <w:t>drie (</w:t>
      </w:r>
      <w:r w:rsidRPr="00382DB3">
        <w:rPr>
          <w:szCs w:val="20"/>
        </w:rPr>
        <w:t>3</w:t>
      </w:r>
      <w:r>
        <w:rPr>
          <w:szCs w:val="20"/>
        </w:rPr>
        <w:t>)</w:t>
      </w:r>
      <w:r w:rsidRPr="00382DB3">
        <w:rPr>
          <w:szCs w:val="20"/>
        </w:rPr>
        <w:t xml:space="preserve"> jaar (gerekend vanaf de inschrijvingsdeadline) en beslaan minimaal </w:t>
      </w:r>
      <w:r>
        <w:rPr>
          <w:szCs w:val="20"/>
        </w:rPr>
        <w:t>twaalf (</w:t>
      </w:r>
      <w:r w:rsidRPr="00382DB3">
        <w:rPr>
          <w:szCs w:val="20"/>
        </w:rPr>
        <w:t>12</w:t>
      </w:r>
      <w:r>
        <w:rPr>
          <w:szCs w:val="20"/>
        </w:rPr>
        <w:t>)</w:t>
      </w:r>
      <w:r w:rsidRPr="00382DB3">
        <w:rPr>
          <w:szCs w:val="20"/>
        </w:rPr>
        <w:t xml:space="preserve"> aaneengesloten maanden dienstverlening</w:t>
      </w:r>
      <w:r>
        <w:rPr>
          <w:szCs w:val="20"/>
        </w:rPr>
        <w:t>.</w:t>
      </w:r>
    </w:p>
    <w:p w14:paraId="18AE9B75" w14:textId="77777777" w:rsidR="00C366B3" w:rsidRDefault="00C366B3" w:rsidP="00C366B3">
      <w:pPr>
        <w:pStyle w:val="Lijstalinea"/>
        <w:numPr>
          <w:ilvl w:val="1"/>
          <w:numId w:val="1"/>
        </w:numPr>
        <w:ind w:left="720"/>
        <w:rPr>
          <w:szCs w:val="20"/>
        </w:rPr>
      </w:pPr>
      <w:r w:rsidRPr="00F85C8A">
        <w:rPr>
          <w:szCs w:val="20"/>
        </w:rPr>
        <w:t xml:space="preserve">Beschrijven opdrachtgever, periode, locaties, scope/activiteiten, bezetting (posten/FTE), gebruikte systemen/procedures. </w:t>
      </w:r>
    </w:p>
    <w:p w14:paraId="40EEE6FA" w14:textId="6F341D66" w:rsidR="00EB1BCA" w:rsidRPr="00EB1BCA" w:rsidRDefault="00C366B3" w:rsidP="00EB1BCA">
      <w:pPr>
        <w:pStyle w:val="Lijstalinea"/>
        <w:numPr>
          <w:ilvl w:val="1"/>
          <w:numId w:val="1"/>
        </w:numPr>
        <w:ind w:left="709"/>
        <w:rPr>
          <w:lang w:eastAsia="nl-NL"/>
        </w:rPr>
      </w:pPr>
      <w:r w:rsidRPr="00EB1BCA">
        <w:rPr>
          <w:szCs w:val="20"/>
        </w:rPr>
        <w:t xml:space="preserve">Indien inschrijver voor het aantonen van een kerncompetentie een </w:t>
      </w:r>
      <w:proofErr w:type="spellStart"/>
      <w:r w:rsidRPr="00EB1BCA">
        <w:rPr>
          <w:szCs w:val="20"/>
        </w:rPr>
        <w:t>combinant</w:t>
      </w:r>
      <w:proofErr w:type="spellEnd"/>
      <w:r w:rsidRPr="00EB1BCA">
        <w:rPr>
          <w:szCs w:val="20"/>
        </w:rPr>
        <w:t xml:space="preserve"> of derde inzet, geldt dat diezelfde partij in de nieuwe opdracht (de te sluiten overeenkomst) de overeenkomstige werkzaamheden uitvoert waarop die kerncompetentie ziet.</w:t>
      </w:r>
    </w:p>
    <w:p w14:paraId="29A19ED9" w14:textId="77777777" w:rsidR="00EB1BCA" w:rsidRDefault="00EB1BCA" w:rsidP="00EB1BCA">
      <w:pPr>
        <w:rPr>
          <w:lang w:eastAsia="nl-NL"/>
        </w:rPr>
      </w:pPr>
    </w:p>
    <w:p w14:paraId="2F1F15AC" w14:textId="77777777" w:rsidR="002D65F3" w:rsidRPr="002D65F3" w:rsidRDefault="002D65F3" w:rsidP="002D65F3">
      <w:pPr>
        <w:rPr>
          <w:u w:val="single"/>
          <w:lang w:eastAsia="nl-NL"/>
        </w:rPr>
      </w:pPr>
      <w:r w:rsidRPr="002D65F3">
        <w:rPr>
          <w:u w:val="single"/>
          <w:lang w:eastAsia="nl-NL"/>
        </w:rPr>
        <w:t>Privacy &amp; Anonimiseren (AVG) – Referenties</w:t>
      </w:r>
    </w:p>
    <w:p w14:paraId="568F39C1" w14:textId="77777777" w:rsidR="002D65F3" w:rsidRPr="002D65F3" w:rsidRDefault="002D65F3" w:rsidP="002D65F3">
      <w:pPr>
        <w:rPr>
          <w:lang w:eastAsia="nl-NL"/>
        </w:rPr>
      </w:pPr>
      <w:r w:rsidRPr="002D65F3">
        <w:rPr>
          <w:lang w:eastAsia="nl-NL"/>
        </w:rPr>
        <w:t>Alle aangeleverde referenties, SLA</w:t>
      </w:r>
      <w:r w:rsidRPr="002D65F3">
        <w:rPr>
          <w:lang w:eastAsia="nl-NL"/>
        </w:rPr>
        <w:noBreakHyphen/>
        <w:t>overzichten en incidentrapportages worden geanonimiseerd aangeleverd. De Aanbesteder kan referentiegegevens verifiëren bij de opgegeven contactpersoon; deze verificatie vindt vertrouwelijk plaats.</w:t>
      </w:r>
    </w:p>
    <w:p w14:paraId="3A30A105" w14:textId="77777777" w:rsidR="00EB1BCA" w:rsidRPr="00C366B3" w:rsidRDefault="00EB1BCA" w:rsidP="00EB1BCA">
      <w:pPr>
        <w:pStyle w:val="Lijstalinea"/>
        <w:numPr>
          <w:ilvl w:val="0"/>
          <w:numId w:val="0"/>
        </w:numPr>
        <w:ind w:left="420"/>
      </w:pPr>
    </w:p>
    <w:p w14:paraId="2DB76676" w14:textId="77777777" w:rsidR="00E2161E" w:rsidRDefault="00E2161E">
      <w:pPr>
        <w:spacing w:after="160" w:line="278" w:lineRule="auto"/>
        <w:jc w:val="left"/>
        <w:rPr>
          <w:rFonts w:eastAsiaTheme="majorEastAsia" w:cstheme="majorBidi"/>
          <w:b/>
          <w:color w:val="0F4761" w:themeColor="accent1" w:themeShade="BF"/>
          <w:szCs w:val="28"/>
        </w:rPr>
      </w:pPr>
      <w:bookmarkStart w:id="0" w:name="_Toc221007991"/>
      <w:r>
        <w:rPr>
          <w:rFonts w:eastAsiaTheme="majorEastAsia" w:cstheme="majorBidi"/>
          <w:b/>
          <w:color w:val="0F4761" w:themeColor="accent1" w:themeShade="BF"/>
          <w:szCs w:val="28"/>
        </w:rPr>
        <w:br w:type="page"/>
      </w:r>
    </w:p>
    <w:p w14:paraId="01022707" w14:textId="6E898B71" w:rsidR="00E2161E" w:rsidRPr="00D40B33" w:rsidRDefault="00E2161E" w:rsidP="00E2161E">
      <w:pPr>
        <w:rPr>
          <w:rFonts w:eastAsiaTheme="majorEastAsia" w:cstheme="majorBidi"/>
          <w:b/>
          <w:color w:val="0F4761" w:themeColor="accent1" w:themeShade="BF"/>
          <w:szCs w:val="28"/>
        </w:rPr>
      </w:pPr>
      <w:r w:rsidRPr="00D40B33">
        <w:rPr>
          <w:rFonts w:eastAsiaTheme="majorEastAsia" w:cstheme="majorBidi"/>
          <w:b/>
          <w:color w:val="0F4761" w:themeColor="accent1" w:themeShade="BF"/>
          <w:szCs w:val="28"/>
        </w:rPr>
        <w:lastRenderedPageBreak/>
        <w:t>Kerncompetentie A — Geïntegreerde objectbeveiliging (onderwijs)</w:t>
      </w:r>
      <w:bookmarkEnd w:id="0"/>
    </w:p>
    <w:p w14:paraId="4A9FE493" w14:textId="77777777" w:rsidR="00E2161E" w:rsidRDefault="00E2161E" w:rsidP="00E2161E">
      <w:pPr>
        <w:spacing w:line="260" w:lineRule="exact"/>
        <w:rPr>
          <w:rFonts w:ascii="Aptos" w:eastAsia="Times New Roman" w:hAnsi="Aptos" w:cs="Segoe UI"/>
          <w:kern w:val="0"/>
          <w:szCs w:val="20"/>
          <w:lang w:eastAsia="nl-NL"/>
          <w14:ligatures w14:val="none"/>
        </w:rPr>
      </w:pPr>
      <w:r w:rsidRPr="009B677B">
        <w:rPr>
          <w:rFonts w:ascii="Aptos" w:eastAsia="Times New Roman" w:hAnsi="Aptos" w:cs="Segoe UI"/>
          <w:kern w:val="0"/>
          <w:szCs w:val="20"/>
          <w:lang w:eastAsia="nl-NL"/>
          <w14:ligatures w14:val="none"/>
        </w:rPr>
        <w:t>De referentie toont aan dat Inschrijver bij één onderwijsorganisatie geïntegreerde objectbeveiliging heeft geleverd die minimaal het volgende omvat:</w:t>
      </w:r>
    </w:p>
    <w:p w14:paraId="7310BB9C" w14:textId="77777777" w:rsidR="00E2161E" w:rsidRPr="009B677B" w:rsidRDefault="00E2161E" w:rsidP="00E2161E">
      <w:pPr>
        <w:spacing w:line="260" w:lineRule="exact"/>
        <w:rPr>
          <w:rFonts w:ascii="Aptos" w:eastAsia="Times New Roman" w:hAnsi="Aptos" w:cs="Segoe UI"/>
          <w:kern w:val="0"/>
          <w:szCs w:val="20"/>
          <w:lang w:eastAsia="nl-NL"/>
          <w14:ligatures w14:val="none"/>
        </w:rPr>
      </w:pPr>
    </w:p>
    <w:p w14:paraId="63FA3DAA" w14:textId="77777777" w:rsidR="00E2161E" w:rsidRPr="009B677B" w:rsidRDefault="00E2161E" w:rsidP="00E2161E">
      <w:pPr>
        <w:numPr>
          <w:ilvl w:val="0"/>
          <w:numId w:val="29"/>
        </w:numPr>
        <w:spacing w:line="260" w:lineRule="exact"/>
        <w:rPr>
          <w:rFonts w:ascii="Aptos" w:eastAsia="Times New Roman" w:hAnsi="Aptos" w:cs="Segoe UI"/>
          <w:kern w:val="0"/>
          <w:szCs w:val="20"/>
          <w:lang w:eastAsia="nl-NL"/>
          <w14:ligatures w14:val="none"/>
        </w:rPr>
      </w:pPr>
      <w:r w:rsidRPr="00FE3C96">
        <w:rPr>
          <w:rFonts w:ascii="Aptos" w:eastAsia="Times New Roman" w:hAnsi="Aptos" w:cs="Segoe UI"/>
          <w:color w:val="000000" w:themeColor="text1"/>
          <w:kern w:val="0"/>
          <w:szCs w:val="20"/>
          <w:lang w:eastAsia="nl-NL"/>
          <w14:ligatures w14:val="none"/>
        </w:rPr>
        <w:t xml:space="preserve">Vaste posten: </w:t>
      </w:r>
      <w:r w:rsidRPr="009B677B">
        <w:rPr>
          <w:rFonts w:ascii="Aptos" w:eastAsia="Times New Roman" w:hAnsi="Aptos" w:cs="Segoe UI"/>
          <w:kern w:val="0"/>
          <w:szCs w:val="20"/>
          <w:lang w:eastAsia="nl-NL"/>
          <w14:ligatures w14:val="none"/>
        </w:rPr>
        <w:t>een centrale post met VMS en een bemand(e) toegangspost (poort/entree), in combinatie met mobiele surveillancerondes.</w:t>
      </w:r>
    </w:p>
    <w:p w14:paraId="121C957A" w14:textId="77777777" w:rsidR="00E2161E" w:rsidRPr="009B677B" w:rsidRDefault="00E2161E" w:rsidP="00E2161E">
      <w:pPr>
        <w:numPr>
          <w:ilvl w:val="0"/>
          <w:numId w:val="29"/>
        </w:numPr>
        <w:spacing w:line="260" w:lineRule="exact"/>
        <w:rPr>
          <w:rFonts w:ascii="Aptos" w:eastAsia="Times New Roman" w:hAnsi="Aptos" w:cs="Segoe UI"/>
          <w:kern w:val="0"/>
          <w:szCs w:val="20"/>
          <w:lang w:eastAsia="nl-NL"/>
          <w14:ligatures w14:val="none"/>
        </w:rPr>
      </w:pPr>
      <w:r w:rsidRPr="00FE3C96">
        <w:rPr>
          <w:rFonts w:ascii="Aptos" w:eastAsia="Times New Roman" w:hAnsi="Aptos" w:cs="Segoe UI"/>
          <w:color w:val="000000" w:themeColor="text1"/>
          <w:kern w:val="0"/>
          <w:szCs w:val="20"/>
          <w:lang w:eastAsia="nl-NL"/>
          <w14:ligatures w14:val="none"/>
        </w:rPr>
        <w:t>VMS</w:t>
      </w:r>
      <w:r w:rsidRPr="00FE3C96">
        <w:rPr>
          <w:rFonts w:ascii="Aptos" w:eastAsia="Times New Roman" w:hAnsi="Aptos" w:cs="Segoe UI"/>
          <w:color w:val="000000" w:themeColor="text1"/>
          <w:kern w:val="0"/>
          <w:szCs w:val="20"/>
          <w:lang w:eastAsia="nl-NL"/>
          <w14:ligatures w14:val="none"/>
        </w:rPr>
        <w:noBreakHyphen/>
        <w:t xml:space="preserve">bediening: </w:t>
      </w:r>
      <w:r w:rsidRPr="009B677B">
        <w:rPr>
          <w:rFonts w:ascii="Aptos" w:eastAsia="Times New Roman" w:hAnsi="Aptos" w:cs="Segoe UI"/>
          <w:kern w:val="0"/>
          <w:szCs w:val="20"/>
          <w:lang w:eastAsia="nl-NL"/>
          <w14:ligatures w14:val="none"/>
        </w:rPr>
        <w:t>live monitoren en terugkijken/exporteren van beelden bij incidenten, uitgevoerd volgens een aantoonbaar vastgelegde werkwijze (werkinstructie).</w:t>
      </w:r>
    </w:p>
    <w:p w14:paraId="6D9F2051" w14:textId="77777777" w:rsidR="00E2161E" w:rsidRDefault="00E2161E" w:rsidP="00E2161E">
      <w:pPr>
        <w:numPr>
          <w:ilvl w:val="0"/>
          <w:numId w:val="29"/>
        </w:numPr>
        <w:spacing w:line="260" w:lineRule="exact"/>
        <w:rPr>
          <w:rFonts w:ascii="Aptos" w:eastAsia="Times New Roman" w:hAnsi="Aptos" w:cs="Segoe UI"/>
          <w:kern w:val="0"/>
          <w:szCs w:val="20"/>
          <w:lang w:eastAsia="nl-NL"/>
          <w14:ligatures w14:val="none"/>
        </w:rPr>
      </w:pPr>
      <w:r w:rsidRPr="00FE3C96">
        <w:rPr>
          <w:rFonts w:ascii="Aptos" w:eastAsia="Times New Roman" w:hAnsi="Aptos" w:cs="Segoe UI"/>
          <w:color w:val="000000" w:themeColor="text1"/>
          <w:kern w:val="0"/>
          <w:szCs w:val="20"/>
          <w:lang w:eastAsia="nl-NL"/>
          <w14:ligatures w14:val="none"/>
        </w:rPr>
        <w:t xml:space="preserve">Meertalige omgeving (NL/EN): </w:t>
      </w:r>
      <w:r w:rsidRPr="009B677B">
        <w:rPr>
          <w:rFonts w:ascii="Aptos" w:eastAsia="Times New Roman" w:hAnsi="Aptos" w:cs="Segoe UI"/>
          <w:kern w:val="0"/>
          <w:szCs w:val="20"/>
          <w:lang w:eastAsia="nl-NL"/>
          <w14:ligatures w14:val="none"/>
        </w:rPr>
        <w:t>dagelijkse interactie in Nederlands en Engels met leerlingen, ouders, medewerkers en bezoekers.</w:t>
      </w:r>
    </w:p>
    <w:p w14:paraId="420B36AF" w14:textId="77777777" w:rsidR="00E2161E" w:rsidRDefault="00E2161E" w:rsidP="00E2161E">
      <w:pPr>
        <w:spacing w:line="260" w:lineRule="exact"/>
        <w:rPr>
          <w:rFonts w:ascii="Aptos" w:eastAsia="Times New Roman" w:hAnsi="Aptos" w:cs="Segoe UI"/>
          <w:kern w:val="0"/>
          <w:szCs w:val="20"/>
          <w:lang w:eastAsia="nl-NL"/>
          <w14:ligatures w14:val="none"/>
        </w:rPr>
      </w:pPr>
    </w:p>
    <w:p w14:paraId="5A114183" w14:textId="77777777" w:rsidR="00A862AD" w:rsidRPr="00FE3C96" w:rsidRDefault="00A862AD" w:rsidP="00A862AD">
      <w:pPr>
        <w:spacing w:line="260" w:lineRule="exact"/>
        <w:rPr>
          <w:rFonts w:ascii="Aptos" w:eastAsia="Times New Roman" w:hAnsi="Aptos" w:cs="Segoe UI"/>
          <w:color w:val="000000" w:themeColor="text1"/>
          <w:kern w:val="0"/>
          <w:szCs w:val="20"/>
          <w:u w:val="single"/>
          <w:lang w:eastAsia="nl-NL"/>
          <w14:ligatures w14:val="none"/>
        </w:rPr>
      </w:pPr>
      <w:r w:rsidRPr="00FE3C96">
        <w:rPr>
          <w:rFonts w:ascii="Aptos" w:eastAsia="Times New Roman" w:hAnsi="Aptos" w:cs="Segoe UI"/>
          <w:color w:val="000000" w:themeColor="text1"/>
          <w:kern w:val="0"/>
          <w:szCs w:val="20"/>
          <w:u w:val="single"/>
          <w:lang w:eastAsia="nl-NL"/>
          <w14:ligatures w14:val="none"/>
        </w:rPr>
        <w:t>Kaders</w:t>
      </w:r>
      <w:r w:rsidRPr="00FE3C96">
        <w:rPr>
          <w:rFonts w:ascii="Aptos" w:eastAsia="Times New Roman" w:hAnsi="Aptos" w:cs="Segoe UI"/>
          <w:b/>
          <w:bCs/>
          <w:color w:val="000000" w:themeColor="text1"/>
          <w:kern w:val="0"/>
          <w:szCs w:val="20"/>
          <w:u w:val="single"/>
          <w:lang w:eastAsia="nl-NL"/>
          <w14:ligatures w14:val="none"/>
        </w:rPr>
        <w:t>:</w:t>
      </w:r>
    </w:p>
    <w:p w14:paraId="630B15A8" w14:textId="77777777" w:rsidR="00A862AD" w:rsidRDefault="00A862AD" w:rsidP="00A862AD">
      <w:pPr>
        <w:numPr>
          <w:ilvl w:val="0"/>
          <w:numId w:val="30"/>
        </w:numPr>
        <w:spacing w:line="260" w:lineRule="exact"/>
        <w:rPr>
          <w:rFonts w:ascii="Aptos" w:eastAsia="Times New Roman" w:hAnsi="Aptos" w:cs="Segoe UI"/>
          <w:kern w:val="0"/>
          <w:szCs w:val="20"/>
          <w:lang w:eastAsia="nl-NL"/>
          <w14:ligatures w14:val="none"/>
        </w:rPr>
      </w:pPr>
      <w:r w:rsidRPr="0058230C">
        <w:rPr>
          <w:rFonts w:ascii="Aptos" w:eastAsia="Times New Roman" w:hAnsi="Aptos" w:cs="Segoe UI"/>
          <w:kern w:val="0"/>
          <w:szCs w:val="20"/>
          <w:lang w:eastAsia="nl-NL"/>
          <w14:ligatures w14:val="none"/>
        </w:rPr>
        <w:t>VMS</w:t>
      </w:r>
      <w:r w:rsidRPr="0058230C">
        <w:rPr>
          <w:rFonts w:ascii="Cambria Math" w:eastAsia="Times New Roman" w:hAnsi="Cambria Math" w:cs="Cambria Math"/>
          <w:kern w:val="0"/>
          <w:szCs w:val="20"/>
          <w:lang w:eastAsia="nl-NL"/>
          <w14:ligatures w14:val="none"/>
        </w:rPr>
        <w:t>‑</w:t>
      </w:r>
      <w:r w:rsidRPr="0058230C">
        <w:rPr>
          <w:rFonts w:ascii="Aptos" w:eastAsia="Times New Roman" w:hAnsi="Aptos" w:cs="Segoe UI"/>
          <w:kern w:val="0"/>
          <w:szCs w:val="20"/>
          <w:lang w:eastAsia="nl-NL"/>
          <w14:ligatures w14:val="none"/>
        </w:rPr>
        <w:t xml:space="preserve">platform (bijvoorbeeld </w:t>
      </w:r>
      <w:proofErr w:type="spellStart"/>
      <w:r w:rsidRPr="0058230C">
        <w:rPr>
          <w:rFonts w:ascii="Aptos" w:eastAsia="Times New Roman" w:hAnsi="Aptos" w:cs="Segoe UI"/>
          <w:kern w:val="0"/>
          <w:szCs w:val="20"/>
          <w:lang w:eastAsia="nl-NL"/>
          <w14:ligatures w14:val="none"/>
        </w:rPr>
        <w:t>Genetec</w:t>
      </w:r>
      <w:proofErr w:type="spellEnd"/>
      <w:r w:rsidRPr="0058230C">
        <w:rPr>
          <w:rFonts w:ascii="Aptos" w:eastAsia="Times New Roman" w:hAnsi="Aptos" w:cs="Segoe UI"/>
          <w:kern w:val="0"/>
          <w:szCs w:val="20"/>
          <w:lang w:eastAsia="nl-NL"/>
          <w14:ligatures w14:val="none"/>
        </w:rPr>
        <w:t>, zoals in gebruik bij ISH/ESH, of een ander VMS met vergelijkbare functionaliteiten)</w:t>
      </w:r>
    </w:p>
    <w:p w14:paraId="3B4AAA6B" w14:textId="77777777" w:rsidR="00A862AD" w:rsidRPr="009B677B" w:rsidRDefault="00A862AD" w:rsidP="00A862AD">
      <w:pPr>
        <w:numPr>
          <w:ilvl w:val="0"/>
          <w:numId w:val="30"/>
        </w:numPr>
        <w:spacing w:line="260" w:lineRule="exact"/>
        <w:rPr>
          <w:rFonts w:ascii="Aptos" w:eastAsia="Times New Roman" w:hAnsi="Aptos" w:cs="Segoe UI"/>
          <w:kern w:val="0"/>
          <w:szCs w:val="20"/>
          <w:lang w:eastAsia="nl-NL"/>
          <w14:ligatures w14:val="none"/>
        </w:rPr>
      </w:pPr>
      <w:r w:rsidRPr="009B677B">
        <w:rPr>
          <w:rFonts w:ascii="Aptos" w:eastAsia="Times New Roman" w:hAnsi="Aptos" w:cs="Segoe UI"/>
          <w:kern w:val="0"/>
          <w:szCs w:val="20"/>
          <w:lang w:eastAsia="nl-NL"/>
          <w14:ligatures w14:val="none"/>
        </w:rPr>
        <w:t>Camerasysteem: ≥ 50 camera’s binnen de referentiescope.</w:t>
      </w:r>
    </w:p>
    <w:p w14:paraId="3A78A34A" w14:textId="77777777" w:rsidR="00A862AD" w:rsidRDefault="00A862AD" w:rsidP="00A862AD">
      <w:pPr>
        <w:spacing w:line="260" w:lineRule="exact"/>
        <w:rPr>
          <w:rFonts w:ascii="Aptos" w:eastAsia="Times New Roman" w:hAnsi="Aptos" w:cs="Segoe UI"/>
          <w:b/>
          <w:bCs/>
          <w:kern w:val="0"/>
          <w:szCs w:val="20"/>
          <w:lang w:eastAsia="nl-NL"/>
          <w14:ligatures w14:val="none"/>
        </w:rPr>
      </w:pPr>
    </w:p>
    <w:p w14:paraId="411D0E3F" w14:textId="77777777" w:rsidR="00A862AD" w:rsidRPr="00FE3C96" w:rsidRDefault="00A862AD" w:rsidP="00A862AD">
      <w:pPr>
        <w:spacing w:line="260" w:lineRule="exact"/>
        <w:rPr>
          <w:rFonts w:ascii="Aptos" w:eastAsia="Times New Roman" w:hAnsi="Aptos" w:cs="Segoe UI"/>
          <w:color w:val="000000" w:themeColor="text1"/>
          <w:kern w:val="0"/>
          <w:szCs w:val="20"/>
          <w:u w:val="single"/>
          <w:lang w:eastAsia="nl-NL"/>
          <w14:ligatures w14:val="none"/>
        </w:rPr>
      </w:pPr>
      <w:r w:rsidRPr="00FE3C96">
        <w:rPr>
          <w:rFonts w:ascii="Aptos" w:eastAsia="Times New Roman" w:hAnsi="Aptos" w:cs="Segoe UI"/>
          <w:color w:val="000000" w:themeColor="text1"/>
          <w:kern w:val="0"/>
          <w:szCs w:val="20"/>
          <w:u w:val="single"/>
          <w:lang w:eastAsia="nl-NL"/>
          <w14:ligatures w14:val="none"/>
        </w:rPr>
        <w:t>Te overleggen (bewijs):</w:t>
      </w:r>
    </w:p>
    <w:p w14:paraId="12B861DA" w14:textId="77777777" w:rsidR="00A862AD" w:rsidRPr="009B677B" w:rsidRDefault="00A862AD" w:rsidP="00A862AD">
      <w:pPr>
        <w:numPr>
          <w:ilvl w:val="0"/>
          <w:numId w:val="31"/>
        </w:numPr>
        <w:spacing w:line="260" w:lineRule="exact"/>
        <w:rPr>
          <w:rFonts w:ascii="Aptos" w:eastAsia="Times New Roman" w:hAnsi="Aptos" w:cs="Segoe UI"/>
          <w:kern w:val="0"/>
          <w:szCs w:val="20"/>
          <w:lang w:eastAsia="nl-NL"/>
          <w14:ligatures w14:val="none"/>
        </w:rPr>
      </w:pPr>
      <w:r w:rsidRPr="009B677B">
        <w:rPr>
          <w:rFonts w:ascii="Aptos" w:eastAsia="Times New Roman" w:hAnsi="Aptos" w:cs="Segoe UI"/>
          <w:kern w:val="0"/>
          <w:szCs w:val="20"/>
          <w:lang w:eastAsia="nl-NL"/>
          <w14:ligatures w14:val="none"/>
        </w:rPr>
        <w:t>Korte referentiebeschrijving met scope en context (type onderwijsinstelling, locaties, openingsregime).</w:t>
      </w:r>
    </w:p>
    <w:p w14:paraId="468EAF4D" w14:textId="77777777" w:rsidR="00A862AD" w:rsidRPr="009B677B" w:rsidRDefault="00A862AD" w:rsidP="00A862AD">
      <w:pPr>
        <w:numPr>
          <w:ilvl w:val="0"/>
          <w:numId w:val="31"/>
        </w:numPr>
        <w:spacing w:line="260" w:lineRule="exact"/>
        <w:rPr>
          <w:rFonts w:ascii="Aptos" w:eastAsia="Times New Roman" w:hAnsi="Aptos" w:cs="Segoe UI"/>
          <w:kern w:val="0"/>
          <w:szCs w:val="20"/>
          <w:lang w:eastAsia="nl-NL"/>
          <w14:ligatures w14:val="none"/>
        </w:rPr>
      </w:pPr>
      <w:r w:rsidRPr="009B677B">
        <w:rPr>
          <w:rFonts w:ascii="Aptos" w:eastAsia="Times New Roman" w:hAnsi="Aptos" w:cs="Segoe UI"/>
          <w:kern w:val="0"/>
          <w:szCs w:val="20"/>
          <w:lang w:eastAsia="nl-NL"/>
          <w14:ligatures w14:val="none"/>
        </w:rPr>
        <w:t>Uitleg posten &amp; werkwijze: centrale post/VMS, toegangspost, mobiele surveillance; procedure voor live monitoring en terugkijken/export (werkinstructie).</w:t>
      </w:r>
    </w:p>
    <w:p w14:paraId="621F2246" w14:textId="77777777" w:rsidR="00A862AD" w:rsidRPr="009B677B" w:rsidRDefault="00A862AD" w:rsidP="00A862AD">
      <w:pPr>
        <w:numPr>
          <w:ilvl w:val="0"/>
          <w:numId w:val="31"/>
        </w:numPr>
        <w:spacing w:line="260" w:lineRule="exact"/>
        <w:rPr>
          <w:rFonts w:ascii="Aptos" w:eastAsia="Times New Roman" w:hAnsi="Aptos" w:cs="Segoe UI"/>
          <w:kern w:val="0"/>
          <w:szCs w:val="20"/>
          <w:lang w:eastAsia="nl-NL"/>
          <w14:ligatures w14:val="none"/>
        </w:rPr>
      </w:pPr>
      <w:r w:rsidRPr="009B677B">
        <w:rPr>
          <w:rFonts w:ascii="Aptos" w:eastAsia="Times New Roman" w:hAnsi="Aptos" w:cs="Segoe UI"/>
          <w:kern w:val="0"/>
          <w:szCs w:val="20"/>
          <w:lang w:eastAsia="nl-NL"/>
          <w14:ligatures w14:val="none"/>
        </w:rPr>
        <w:t>Specificatie: VMS</w:t>
      </w:r>
      <w:r w:rsidRPr="009B677B">
        <w:rPr>
          <w:rFonts w:ascii="Aptos" w:eastAsia="Times New Roman" w:hAnsi="Aptos" w:cs="Segoe UI"/>
          <w:kern w:val="0"/>
          <w:szCs w:val="20"/>
          <w:lang w:eastAsia="nl-NL"/>
          <w14:ligatures w14:val="none"/>
        </w:rPr>
        <w:noBreakHyphen/>
        <w:t>platform en aantal camera’s (≥ 50)</w:t>
      </w:r>
      <w:r>
        <w:rPr>
          <w:rFonts w:ascii="Aptos" w:eastAsia="Times New Roman" w:hAnsi="Aptos" w:cs="Segoe UI"/>
          <w:kern w:val="0"/>
          <w:szCs w:val="20"/>
          <w:lang w:eastAsia="nl-NL"/>
          <w14:ligatures w14:val="none"/>
        </w:rPr>
        <w:t xml:space="preserve">. </w:t>
      </w:r>
      <w:r w:rsidRPr="00ED4CCA">
        <w:rPr>
          <w:rFonts w:ascii="Aptos" w:eastAsia="Times New Roman" w:hAnsi="Aptos" w:cs="Segoe UI"/>
          <w:kern w:val="0"/>
          <w:szCs w:val="20"/>
          <w:lang w:eastAsia="nl-NL"/>
          <w14:ligatures w14:val="none"/>
        </w:rPr>
        <w:t>De referentie toont aan dat het VMS structureel wordt gebruikt met aantoonbare procedures voor het veilig exporteren van camerabeelden en het automatisch loggen van gebruikershandelingen (zoals inloggen, bekijken, terugkijken en exporteren van beelden).</w:t>
      </w:r>
    </w:p>
    <w:p w14:paraId="5F72BB28" w14:textId="77777777" w:rsidR="00A862AD" w:rsidRDefault="00A862AD" w:rsidP="00A862AD">
      <w:pPr>
        <w:numPr>
          <w:ilvl w:val="0"/>
          <w:numId w:val="31"/>
        </w:numPr>
        <w:spacing w:line="260" w:lineRule="exact"/>
        <w:rPr>
          <w:rFonts w:ascii="Aptos" w:eastAsia="Times New Roman" w:hAnsi="Aptos" w:cs="Segoe UI"/>
          <w:kern w:val="0"/>
          <w:szCs w:val="20"/>
          <w:lang w:eastAsia="nl-NL"/>
          <w14:ligatures w14:val="none"/>
        </w:rPr>
      </w:pPr>
      <w:r w:rsidRPr="009B677B">
        <w:rPr>
          <w:rFonts w:ascii="Aptos" w:eastAsia="Times New Roman" w:hAnsi="Aptos" w:cs="Segoe UI"/>
          <w:kern w:val="0"/>
          <w:szCs w:val="20"/>
          <w:lang w:eastAsia="nl-NL"/>
          <w14:ligatures w14:val="none"/>
        </w:rPr>
        <w:t>Verificatiecontact bij de opdrachtgever (naam, functie, e</w:t>
      </w:r>
      <w:r w:rsidRPr="009B677B">
        <w:rPr>
          <w:rFonts w:ascii="Aptos" w:eastAsia="Times New Roman" w:hAnsi="Aptos" w:cs="Segoe UI"/>
          <w:kern w:val="0"/>
          <w:szCs w:val="20"/>
          <w:lang w:eastAsia="nl-NL"/>
          <w14:ligatures w14:val="none"/>
        </w:rPr>
        <w:noBreakHyphen/>
        <w:t>mail, telefoon).</w:t>
      </w:r>
    </w:p>
    <w:p w14:paraId="5F6FD06B" w14:textId="77777777" w:rsidR="00E2161E" w:rsidRPr="009B677B" w:rsidRDefault="00E2161E" w:rsidP="00E2161E">
      <w:pPr>
        <w:spacing w:line="260" w:lineRule="exact"/>
        <w:rPr>
          <w:rFonts w:ascii="Aptos" w:eastAsia="Times New Roman" w:hAnsi="Aptos" w:cs="Segoe UI"/>
          <w:kern w:val="0"/>
          <w:szCs w:val="20"/>
          <w:lang w:eastAsia="nl-NL"/>
          <w14:ligatures w14:val="none"/>
        </w:rPr>
      </w:pP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p w14:paraId="13AAA8A1" w14:textId="77777777" w:rsidR="00E2161E" w:rsidRDefault="00E2161E">
      <w:pPr>
        <w:spacing w:after="160" w:line="278" w:lineRule="auto"/>
        <w:jc w:val="left"/>
        <w:rPr>
          <w:rFonts w:eastAsiaTheme="majorEastAsia" w:cstheme="majorBidi"/>
          <w:b/>
          <w:color w:val="0E2841"/>
          <w:szCs w:val="28"/>
        </w:rPr>
      </w:pPr>
      <w:r>
        <w:br w:type="page"/>
      </w:r>
    </w:p>
    <w:p w14:paraId="23228F94" w14:textId="77777777" w:rsidR="002B64FE" w:rsidRPr="00D40B33" w:rsidRDefault="002B64FE" w:rsidP="002B64FE">
      <w:pPr>
        <w:rPr>
          <w:rFonts w:eastAsiaTheme="majorEastAsia" w:cstheme="majorBidi"/>
          <w:b/>
          <w:color w:val="0F4761" w:themeColor="accent1" w:themeShade="BF"/>
          <w:szCs w:val="28"/>
        </w:rPr>
      </w:pPr>
      <w:bookmarkStart w:id="1" w:name="_Toc221007992"/>
      <w:r w:rsidRPr="00D40B33">
        <w:rPr>
          <w:rFonts w:eastAsiaTheme="majorEastAsia" w:cstheme="majorBidi"/>
          <w:b/>
          <w:color w:val="0F4761" w:themeColor="accent1" w:themeShade="BF"/>
          <w:szCs w:val="28"/>
        </w:rPr>
        <w:lastRenderedPageBreak/>
        <w:t>Kerncompetentie B — Alarmopvolging via erkende meldkamer (PAC) + mobiele surveillance</w:t>
      </w:r>
      <w:bookmarkEnd w:id="1"/>
    </w:p>
    <w:p w14:paraId="7FEAE0C0" w14:textId="77777777" w:rsidR="002B64FE" w:rsidRDefault="002B64FE" w:rsidP="002B64FE">
      <w:pPr>
        <w:spacing w:line="260" w:lineRule="exact"/>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De referentie toont aan dat Inschrijver buiten openingstijden alarmopvolging levert via een erkende Particuliere Alarmcentrale (PAC) met inzet van mobiele surveillanten, die minimaal het volgende omvat:</w:t>
      </w:r>
    </w:p>
    <w:p w14:paraId="70BD2A98" w14:textId="77777777" w:rsidR="002B64FE" w:rsidRPr="00CB4662" w:rsidRDefault="002B64FE" w:rsidP="002B64FE">
      <w:pPr>
        <w:spacing w:line="260" w:lineRule="exact"/>
        <w:rPr>
          <w:rFonts w:ascii="Aptos" w:eastAsia="Times New Roman" w:hAnsi="Aptos" w:cs="Segoe UI"/>
          <w:kern w:val="0"/>
          <w:szCs w:val="20"/>
          <w:lang w:eastAsia="nl-NL"/>
          <w14:ligatures w14:val="none"/>
        </w:rPr>
      </w:pPr>
    </w:p>
    <w:p w14:paraId="24180B5F" w14:textId="77777777" w:rsidR="002B64FE" w:rsidRPr="009B677B" w:rsidRDefault="002B64FE" w:rsidP="002B64FE">
      <w:pPr>
        <w:numPr>
          <w:ilvl w:val="0"/>
          <w:numId w:val="32"/>
        </w:numPr>
        <w:spacing w:line="260" w:lineRule="exact"/>
        <w:rPr>
          <w:rFonts w:ascii="Aptos" w:eastAsia="Times New Roman" w:hAnsi="Aptos" w:cs="Segoe UI"/>
          <w:kern w:val="0"/>
          <w:szCs w:val="20"/>
          <w:lang w:eastAsia="nl-NL"/>
          <w14:ligatures w14:val="none"/>
        </w:rPr>
      </w:pPr>
      <w:r w:rsidRPr="00FE3C96">
        <w:rPr>
          <w:rFonts w:ascii="Aptos" w:eastAsia="Times New Roman" w:hAnsi="Aptos" w:cs="Segoe UI"/>
          <w:kern w:val="0"/>
          <w:szCs w:val="20"/>
          <w:lang w:eastAsia="nl-NL"/>
          <w14:ligatures w14:val="none"/>
        </w:rPr>
        <w:t>PAC</w:t>
      </w:r>
      <w:r w:rsidRPr="00FE3C96">
        <w:rPr>
          <w:rFonts w:ascii="Aptos" w:eastAsia="Times New Roman" w:hAnsi="Aptos" w:cs="Segoe UI"/>
          <w:kern w:val="0"/>
          <w:szCs w:val="20"/>
          <w:lang w:eastAsia="nl-NL"/>
          <w14:ligatures w14:val="none"/>
        </w:rPr>
        <w:noBreakHyphen/>
        <w:t>koppeling &amp; uitruk:</w:t>
      </w:r>
      <w:r w:rsidRPr="009B677B">
        <w:rPr>
          <w:rFonts w:ascii="Aptos" w:eastAsia="Times New Roman" w:hAnsi="Aptos" w:cs="Segoe UI"/>
          <w:kern w:val="0"/>
          <w:szCs w:val="20"/>
          <w:lang w:eastAsia="nl-NL"/>
          <w14:ligatures w14:val="none"/>
        </w:rPr>
        <w:t xml:space="preserve"> </w:t>
      </w:r>
      <w:r w:rsidRPr="00CB4662">
        <w:rPr>
          <w:rFonts w:ascii="Aptos" w:eastAsia="Times New Roman" w:hAnsi="Aptos" w:cs="Segoe UI"/>
          <w:kern w:val="0"/>
          <w:szCs w:val="20"/>
          <w:lang w:eastAsia="nl-NL"/>
          <w14:ligatures w14:val="none"/>
        </w:rPr>
        <w:t>aantoonbare, operationele koppeling met een erkende PAC en daadwerkelijke uitrukken naar (onderwijs)locaties</w:t>
      </w:r>
      <w:r w:rsidRPr="009B677B">
        <w:rPr>
          <w:rFonts w:ascii="Aptos" w:eastAsia="Times New Roman" w:hAnsi="Aptos" w:cs="Segoe UI"/>
          <w:kern w:val="0"/>
          <w:szCs w:val="20"/>
          <w:lang w:eastAsia="nl-NL"/>
          <w14:ligatures w14:val="none"/>
        </w:rPr>
        <w:t>.</w:t>
      </w:r>
    </w:p>
    <w:p w14:paraId="4979029E" w14:textId="77777777" w:rsidR="002B64FE" w:rsidRPr="00CB4662" w:rsidRDefault="002B64FE" w:rsidP="002B64FE">
      <w:pPr>
        <w:numPr>
          <w:ilvl w:val="0"/>
          <w:numId w:val="32"/>
        </w:numPr>
        <w:spacing w:line="260" w:lineRule="exact"/>
        <w:rPr>
          <w:rFonts w:ascii="Aptos" w:eastAsia="Times New Roman" w:hAnsi="Aptos" w:cs="Segoe UI"/>
          <w:kern w:val="0"/>
          <w:szCs w:val="20"/>
          <w:lang w:eastAsia="nl-NL"/>
          <w14:ligatures w14:val="none"/>
        </w:rPr>
      </w:pPr>
      <w:r w:rsidRPr="00FE3C96">
        <w:rPr>
          <w:rFonts w:ascii="Aptos" w:eastAsia="Times New Roman" w:hAnsi="Aptos" w:cs="Segoe UI"/>
          <w:kern w:val="0"/>
          <w:szCs w:val="20"/>
          <w:lang w:eastAsia="nl-NL"/>
          <w14:ligatures w14:val="none"/>
        </w:rPr>
        <w:t>Responstijd (percentielen):</w:t>
      </w:r>
      <w:r w:rsidRPr="009B677B">
        <w:rPr>
          <w:rFonts w:ascii="Aptos" w:eastAsia="Times New Roman" w:hAnsi="Aptos" w:cs="Segoe UI"/>
          <w:kern w:val="0"/>
          <w:szCs w:val="20"/>
          <w:lang w:eastAsia="nl-NL"/>
          <w14:ligatures w14:val="none"/>
        </w:rPr>
        <w:t xml:space="preserve"> </w:t>
      </w:r>
      <w:r w:rsidRPr="00CB4662">
        <w:rPr>
          <w:rFonts w:ascii="Aptos" w:eastAsia="Times New Roman" w:hAnsi="Aptos" w:cs="Segoe UI"/>
          <w:kern w:val="0"/>
          <w:szCs w:val="20"/>
          <w:lang w:eastAsia="nl-NL"/>
          <w14:ligatures w14:val="none"/>
        </w:rPr>
        <w:t>de gekozen percentielnorm (P90 of P95) is consequent gehaald binnen de in het referentiecontract vastgelegde responstijdvensters (SLA</w:t>
      </w:r>
      <w:r w:rsidRPr="00CB4662">
        <w:rPr>
          <w:rFonts w:ascii="Aptos" w:eastAsia="Times New Roman" w:hAnsi="Aptos" w:cs="Segoe UI"/>
          <w:kern w:val="0"/>
          <w:szCs w:val="20"/>
          <w:lang w:eastAsia="nl-NL"/>
          <w14:ligatures w14:val="none"/>
        </w:rPr>
        <w:noBreakHyphen/>
        <w:t xml:space="preserve">vensters). </w:t>
      </w:r>
    </w:p>
    <w:p w14:paraId="42664FB3" w14:textId="77777777" w:rsidR="002B64FE" w:rsidRPr="00CB4662" w:rsidRDefault="002B64FE" w:rsidP="002B64FE">
      <w:pPr>
        <w:numPr>
          <w:ilvl w:val="1"/>
          <w:numId w:val="33"/>
        </w:numPr>
        <w:tabs>
          <w:tab w:val="num" w:pos="1440"/>
        </w:tabs>
        <w:spacing w:line="260" w:lineRule="exact"/>
        <w:ind w:left="1276"/>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Meetperiode: maandelijks of per kwartaal (één kiezen en consequent toepassen).</w:t>
      </w:r>
    </w:p>
    <w:p w14:paraId="6A0C59DF" w14:textId="77777777" w:rsidR="002B64FE" w:rsidRPr="00CB4662" w:rsidRDefault="002B64FE" w:rsidP="002B64FE">
      <w:pPr>
        <w:numPr>
          <w:ilvl w:val="1"/>
          <w:numId w:val="33"/>
        </w:numPr>
        <w:tabs>
          <w:tab w:val="num" w:pos="1440"/>
        </w:tabs>
        <w:spacing w:line="260" w:lineRule="exact"/>
        <w:ind w:left="1276"/>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Definitie responstijd: PAC</w:t>
      </w:r>
      <w:r w:rsidRPr="00CB4662">
        <w:rPr>
          <w:rFonts w:ascii="Aptos" w:eastAsia="Times New Roman" w:hAnsi="Aptos" w:cs="Segoe UI"/>
          <w:kern w:val="0"/>
          <w:szCs w:val="20"/>
          <w:lang w:eastAsia="nl-NL"/>
          <w14:ligatures w14:val="none"/>
        </w:rPr>
        <w:noBreakHyphen/>
        <w:t>doormelding → aankomst ter plaatse.</w:t>
      </w:r>
    </w:p>
    <w:p w14:paraId="76E0A3AA" w14:textId="77777777" w:rsidR="002B64FE" w:rsidRPr="009B677B" w:rsidRDefault="002B64FE" w:rsidP="002B64FE">
      <w:pPr>
        <w:numPr>
          <w:ilvl w:val="0"/>
          <w:numId w:val="32"/>
        </w:numPr>
        <w:spacing w:line="260" w:lineRule="exact"/>
        <w:rPr>
          <w:rFonts w:ascii="Aptos" w:eastAsia="Times New Roman" w:hAnsi="Aptos" w:cs="Segoe UI"/>
          <w:kern w:val="0"/>
          <w:szCs w:val="20"/>
          <w:lang w:eastAsia="nl-NL"/>
          <w14:ligatures w14:val="none"/>
        </w:rPr>
      </w:pPr>
      <w:r w:rsidRPr="00FE3C96">
        <w:rPr>
          <w:rFonts w:ascii="Aptos" w:eastAsia="Times New Roman" w:hAnsi="Aptos" w:cs="Segoe UI"/>
          <w:kern w:val="0"/>
          <w:szCs w:val="20"/>
          <w:lang w:eastAsia="nl-NL"/>
          <w14:ligatures w14:val="none"/>
        </w:rPr>
        <w:t>Incidentrapportage:</w:t>
      </w:r>
      <w:r w:rsidRPr="009B677B">
        <w:rPr>
          <w:rFonts w:ascii="Aptos" w:eastAsia="Times New Roman" w:hAnsi="Aptos" w:cs="Segoe UI"/>
          <w:kern w:val="0"/>
          <w:szCs w:val="20"/>
          <w:lang w:eastAsia="nl-NL"/>
          <w14:ligatures w14:val="none"/>
        </w:rPr>
        <w:t xml:space="preserve"> </w:t>
      </w:r>
      <w:r w:rsidRPr="00CB4662">
        <w:rPr>
          <w:rFonts w:ascii="Aptos" w:eastAsia="Times New Roman" w:hAnsi="Aptos" w:cs="Segoe UI"/>
          <w:kern w:val="0"/>
          <w:szCs w:val="20"/>
          <w:lang w:eastAsia="nl-NL"/>
          <w14:ligatures w14:val="none"/>
        </w:rPr>
        <w:t>gestandaardiseerd en tijdig digitaal aangeleverd, binnen het in de referentiecontracten vastgelegde rapportagevenster na afronding.</w:t>
      </w:r>
    </w:p>
    <w:p w14:paraId="22F3A0ED" w14:textId="77777777" w:rsidR="002B64FE" w:rsidRDefault="002B64FE" w:rsidP="002B64FE">
      <w:pPr>
        <w:spacing w:line="260" w:lineRule="exact"/>
        <w:rPr>
          <w:rFonts w:ascii="Aptos" w:eastAsia="Times New Roman" w:hAnsi="Aptos" w:cs="Segoe UI"/>
          <w:b/>
          <w:bCs/>
          <w:kern w:val="0"/>
          <w:szCs w:val="20"/>
          <w:lang w:eastAsia="nl-NL"/>
          <w14:ligatures w14:val="none"/>
        </w:rPr>
      </w:pPr>
    </w:p>
    <w:p w14:paraId="77717AC9" w14:textId="77777777" w:rsidR="002B64FE" w:rsidRPr="00BB4E80" w:rsidRDefault="002B64FE" w:rsidP="002B64FE">
      <w:pPr>
        <w:rPr>
          <w:rFonts w:eastAsiaTheme="majorEastAsia" w:cstheme="majorBidi"/>
          <w:bCs/>
          <w:color w:val="000000" w:themeColor="text1"/>
          <w:szCs w:val="28"/>
          <w:u w:val="single"/>
        </w:rPr>
      </w:pPr>
      <w:r w:rsidRPr="00BB4E80">
        <w:rPr>
          <w:rFonts w:eastAsiaTheme="majorEastAsia" w:cstheme="majorBidi"/>
          <w:bCs/>
          <w:color w:val="000000" w:themeColor="text1"/>
          <w:szCs w:val="28"/>
          <w:u w:val="single"/>
        </w:rPr>
        <w:t>Te overleggen (bewijs):</w:t>
      </w:r>
    </w:p>
    <w:p w14:paraId="5780774A" w14:textId="77777777" w:rsidR="002B64FE" w:rsidRPr="00CB4662" w:rsidRDefault="002B64FE" w:rsidP="002B64FE">
      <w:pPr>
        <w:numPr>
          <w:ilvl w:val="0"/>
          <w:numId w:val="33"/>
        </w:numPr>
        <w:spacing w:line="260" w:lineRule="exact"/>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Korte referentiebeschrijving met scope en context (type onderwijsinstelling, aantal locaties, referentieperiode).</w:t>
      </w:r>
    </w:p>
    <w:p w14:paraId="766D3EE7" w14:textId="77777777" w:rsidR="002B64FE" w:rsidRPr="00CB4662" w:rsidRDefault="002B64FE" w:rsidP="002B64FE">
      <w:pPr>
        <w:numPr>
          <w:ilvl w:val="0"/>
          <w:numId w:val="33"/>
        </w:numPr>
        <w:spacing w:line="260" w:lineRule="exact"/>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Omschrijving PAC</w:t>
      </w:r>
      <w:r w:rsidRPr="00CB4662">
        <w:rPr>
          <w:rFonts w:ascii="Aptos" w:eastAsia="Times New Roman" w:hAnsi="Aptos" w:cs="Segoe UI"/>
          <w:kern w:val="0"/>
          <w:szCs w:val="20"/>
          <w:lang w:eastAsia="nl-NL"/>
          <w14:ligatures w14:val="none"/>
        </w:rPr>
        <w:noBreakHyphen/>
        <w:t>koppeling &amp; werkwijze alarmopvolging; indicatieve aantallen uitrukken.</w:t>
      </w:r>
    </w:p>
    <w:p w14:paraId="581308C5" w14:textId="77777777" w:rsidR="002B64FE" w:rsidRPr="00CB4662" w:rsidRDefault="002B64FE" w:rsidP="002B64FE">
      <w:pPr>
        <w:numPr>
          <w:ilvl w:val="0"/>
          <w:numId w:val="33"/>
        </w:numPr>
        <w:spacing w:line="260" w:lineRule="exact"/>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SLA</w:t>
      </w:r>
      <w:r w:rsidRPr="00CB4662">
        <w:rPr>
          <w:rFonts w:ascii="Aptos" w:eastAsia="Times New Roman" w:hAnsi="Aptos" w:cs="Segoe UI"/>
          <w:kern w:val="0"/>
          <w:szCs w:val="20"/>
          <w:lang w:eastAsia="nl-NL"/>
          <w14:ligatures w14:val="none"/>
        </w:rPr>
        <w:noBreakHyphen/>
        <w:t xml:space="preserve">overzicht uit de referentie met: </w:t>
      </w:r>
    </w:p>
    <w:p w14:paraId="6D445A49" w14:textId="77777777" w:rsidR="002B64FE" w:rsidRPr="00CB4662" w:rsidRDefault="002B64FE" w:rsidP="002B64FE">
      <w:pPr>
        <w:numPr>
          <w:ilvl w:val="1"/>
          <w:numId w:val="33"/>
        </w:numPr>
        <w:spacing w:line="260" w:lineRule="exact"/>
        <w:ind w:left="1276"/>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de percentielnorm (P90/P95),</w:t>
      </w:r>
    </w:p>
    <w:p w14:paraId="724891DC" w14:textId="77777777" w:rsidR="002B64FE" w:rsidRPr="00CB4662" w:rsidRDefault="002B64FE" w:rsidP="002B64FE">
      <w:pPr>
        <w:numPr>
          <w:ilvl w:val="1"/>
          <w:numId w:val="33"/>
        </w:numPr>
        <w:spacing w:line="260" w:lineRule="exact"/>
        <w:ind w:left="1276"/>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de SLA</w:t>
      </w:r>
      <w:r w:rsidRPr="00CB4662">
        <w:rPr>
          <w:rFonts w:ascii="Aptos" w:eastAsia="Times New Roman" w:hAnsi="Aptos" w:cs="Segoe UI"/>
          <w:kern w:val="0"/>
          <w:szCs w:val="20"/>
          <w:lang w:eastAsia="nl-NL"/>
          <w14:ligatures w14:val="none"/>
        </w:rPr>
        <w:noBreakHyphen/>
        <w:t>vensters zoals contractueel vastgelegd,</w:t>
      </w:r>
    </w:p>
    <w:p w14:paraId="6510A220" w14:textId="77777777" w:rsidR="002B64FE" w:rsidRPr="00CB4662" w:rsidRDefault="002B64FE" w:rsidP="002B64FE">
      <w:pPr>
        <w:numPr>
          <w:ilvl w:val="1"/>
          <w:numId w:val="33"/>
        </w:numPr>
        <w:spacing w:line="260" w:lineRule="exact"/>
        <w:ind w:left="1276"/>
        <w:rPr>
          <w:rFonts w:ascii="Aptos" w:eastAsia="Times New Roman" w:hAnsi="Aptos" w:cs="Segoe UI"/>
          <w:kern w:val="0"/>
          <w:szCs w:val="20"/>
          <w:lang w:eastAsia="nl-NL"/>
          <w14:ligatures w14:val="none"/>
        </w:rPr>
      </w:pPr>
      <w:r w:rsidRPr="007714AD">
        <w:rPr>
          <w:rFonts w:ascii="Aptos" w:eastAsia="Times New Roman" w:hAnsi="Aptos" w:cs="Segoe UI"/>
          <w:kern w:val="0"/>
          <w:szCs w:val="20"/>
          <w:lang w:eastAsia="nl-NL"/>
          <w14:ligatures w14:val="none"/>
        </w:rPr>
        <w:t>de definities van het start- en stopmoment van de meting,</w:t>
      </w:r>
    </w:p>
    <w:p w14:paraId="4A28938B" w14:textId="77777777" w:rsidR="002B64FE" w:rsidRPr="00CB4662" w:rsidRDefault="002B64FE" w:rsidP="002B64FE">
      <w:pPr>
        <w:numPr>
          <w:ilvl w:val="1"/>
          <w:numId w:val="33"/>
        </w:numPr>
        <w:spacing w:line="260" w:lineRule="exact"/>
        <w:ind w:left="1276"/>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de gerealiseerde percentielen over de gekozen meetperioden.</w:t>
      </w:r>
    </w:p>
    <w:p w14:paraId="11B1273F" w14:textId="77777777" w:rsidR="002B64FE" w:rsidRPr="00CB4662" w:rsidRDefault="002B64FE" w:rsidP="002B64FE">
      <w:pPr>
        <w:numPr>
          <w:ilvl w:val="0"/>
          <w:numId w:val="33"/>
        </w:numPr>
        <w:spacing w:line="260" w:lineRule="exact"/>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Voorbeeld geanonimiseerde incidentrapportage (tijden + acties) waaruit blijkt dat rapportages binnen het contractuele venster beschikbaar komen.</w:t>
      </w:r>
    </w:p>
    <w:p w14:paraId="543B5701" w14:textId="77777777" w:rsidR="002B64FE" w:rsidRDefault="002B64FE" w:rsidP="002B64FE">
      <w:pPr>
        <w:numPr>
          <w:ilvl w:val="0"/>
          <w:numId w:val="33"/>
        </w:numPr>
        <w:spacing w:line="260" w:lineRule="exact"/>
        <w:rPr>
          <w:rFonts w:ascii="Aptos" w:eastAsia="Times New Roman" w:hAnsi="Aptos" w:cs="Segoe UI"/>
          <w:kern w:val="0"/>
          <w:szCs w:val="20"/>
          <w:lang w:eastAsia="nl-NL"/>
          <w14:ligatures w14:val="none"/>
        </w:rPr>
      </w:pPr>
      <w:r w:rsidRPr="00CB4662">
        <w:rPr>
          <w:rFonts w:ascii="Aptos" w:eastAsia="Times New Roman" w:hAnsi="Aptos" w:cs="Segoe UI"/>
          <w:kern w:val="0"/>
          <w:szCs w:val="20"/>
          <w:lang w:eastAsia="nl-NL"/>
          <w14:ligatures w14:val="none"/>
        </w:rPr>
        <w:t>Verificatiecontact bij de opdrachtgever (naam, functie, e</w:t>
      </w:r>
      <w:r w:rsidRPr="00CB4662">
        <w:rPr>
          <w:rFonts w:ascii="Aptos" w:eastAsia="Times New Roman" w:hAnsi="Aptos" w:cs="Segoe UI"/>
          <w:kern w:val="0"/>
          <w:szCs w:val="20"/>
          <w:lang w:eastAsia="nl-NL"/>
          <w14:ligatures w14:val="none"/>
        </w:rPr>
        <w:noBreakHyphen/>
        <w:t>mail, telefoon).</w:t>
      </w:r>
    </w:p>
    <w:p w14:paraId="0385A745" w14:textId="77777777" w:rsidR="002B64FE" w:rsidRPr="00CB4662" w:rsidRDefault="002B64FE" w:rsidP="002B64FE">
      <w:pPr>
        <w:spacing w:line="260" w:lineRule="exact"/>
        <w:ind w:left="720"/>
        <w:rPr>
          <w:rFonts w:ascii="Aptos" w:eastAsia="Times New Roman" w:hAnsi="Aptos" w:cs="Segoe UI"/>
          <w:kern w:val="0"/>
          <w:szCs w:val="20"/>
          <w:lang w:eastAsia="nl-NL"/>
          <w14:ligatures w14:val="none"/>
        </w:rPr>
      </w:pPr>
    </w:p>
    <w:p w14:paraId="396EB6BE" w14:textId="77777777" w:rsidR="002B64FE" w:rsidRPr="00407266" w:rsidRDefault="002B64FE" w:rsidP="002B64FE">
      <w:pPr>
        <w:rPr>
          <w:rFonts w:eastAsiaTheme="majorEastAsia" w:cstheme="majorBidi"/>
          <w:bCs/>
          <w:color w:val="000000" w:themeColor="text1"/>
          <w:szCs w:val="28"/>
          <w:u w:val="single"/>
        </w:rPr>
      </w:pPr>
      <w:bookmarkStart w:id="2" w:name="_Toc221007993"/>
      <w:r w:rsidRPr="00407266">
        <w:rPr>
          <w:rFonts w:eastAsiaTheme="majorEastAsia" w:cstheme="majorBidi"/>
          <w:bCs/>
          <w:color w:val="000000" w:themeColor="text1"/>
          <w:szCs w:val="28"/>
          <w:u w:val="single"/>
        </w:rPr>
        <w:t>Verificatie &amp; plausibiliteitstoets</w:t>
      </w:r>
      <w:bookmarkEnd w:id="2"/>
    </w:p>
    <w:p w14:paraId="67656519" w14:textId="77777777" w:rsidR="002B64FE" w:rsidRPr="006E4D5A" w:rsidRDefault="002B64FE" w:rsidP="002B64FE">
      <w:pPr>
        <w:spacing w:line="260" w:lineRule="exact"/>
        <w:rPr>
          <w:rFonts w:ascii="Aptos" w:eastAsia="Times New Roman" w:hAnsi="Aptos" w:cs="Segoe UI"/>
          <w:kern w:val="0"/>
          <w:szCs w:val="20"/>
          <w:lang w:eastAsia="nl-NL"/>
          <w14:ligatures w14:val="none"/>
        </w:rPr>
      </w:pPr>
      <w:r w:rsidRPr="006E4D5A">
        <w:rPr>
          <w:rFonts w:ascii="Aptos" w:eastAsia="Times New Roman" w:hAnsi="Aptos" w:cs="Segoe UI"/>
          <w:kern w:val="0"/>
          <w:szCs w:val="20"/>
          <w:lang w:eastAsia="nl-NL"/>
          <w14:ligatures w14:val="none"/>
        </w:rPr>
        <w:t>De Aanbesteder kan een plausibiliteitstoets uitvoeren op de opgegeven SLA</w:t>
      </w:r>
      <w:r w:rsidRPr="006E4D5A">
        <w:rPr>
          <w:rFonts w:ascii="Aptos" w:eastAsia="Times New Roman" w:hAnsi="Aptos" w:cs="Segoe UI"/>
          <w:kern w:val="0"/>
          <w:szCs w:val="20"/>
          <w:lang w:eastAsia="nl-NL"/>
          <w14:ligatures w14:val="none"/>
        </w:rPr>
        <w:noBreakHyphen/>
        <w:t xml:space="preserve">vensters (marktconformiteit voor onderwijsobjecten) en bij twijfel verificatie doen bij de referentiegever. </w:t>
      </w:r>
    </w:p>
    <w:p w14:paraId="4182F24B" w14:textId="77777777" w:rsidR="00564113" w:rsidRDefault="00564113" w:rsidP="00564113"/>
    <w:tbl>
      <w:tblPr>
        <w:tblStyle w:val="Stijl1"/>
        <w:tblW w:w="0" w:type="auto"/>
        <w:tblLook w:val="04A0" w:firstRow="1" w:lastRow="0" w:firstColumn="1" w:lastColumn="0" w:noHBand="0" w:noVBand="1"/>
      </w:tblPr>
      <w:tblGrid>
        <w:gridCol w:w="2133"/>
        <w:gridCol w:w="1737"/>
        <w:gridCol w:w="5190"/>
      </w:tblGrid>
      <w:tr w:rsidR="00E27883" w14:paraId="79525F55" w14:textId="77777777" w:rsidTr="009A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77777777" w:rsidR="00E27883" w:rsidRDefault="00E27883" w:rsidP="00B2596B"/>
        </w:tc>
      </w:tr>
      <w:tr w:rsidR="00F65160" w14:paraId="37B00F4E" w14:textId="77777777" w:rsidTr="005D7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F65160" w:rsidRDefault="00F65160" w:rsidP="00B2596B">
            <w:r>
              <w:t>Gegevens referent</w:t>
            </w:r>
          </w:p>
        </w:tc>
        <w:tc>
          <w:tcPr>
            <w:tcW w:w="1737" w:type="dxa"/>
          </w:tcPr>
          <w:p w14:paraId="356A384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A5D4F93" w14:textId="77777777" w:rsidTr="00591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F65160" w:rsidRDefault="00F65160" w:rsidP="00B2596B"/>
        </w:tc>
        <w:tc>
          <w:tcPr>
            <w:tcW w:w="1737" w:type="dxa"/>
          </w:tcPr>
          <w:p w14:paraId="7B3EAAB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3E1646DC" w14:textId="77777777" w:rsidTr="007B3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F65160" w:rsidRDefault="00F65160" w:rsidP="00B2596B"/>
        </w:tc>
        <w:tc>
          <w:tcPr>
            <w:tcW w:w="1737" w:type="dxa"/>
          </w:tcPr>
          <w:p w14:paraId="5E1C64E8" w14:textId="77777777" w:rsidR="00F65160" w:rsidRDefault="00F6516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03935B40" w14:textId="77777777" w:rsidTr="009B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F65160" w:rsidRDefault="00F65160" w:rsidP="00B2596B"/>
        </w:tc>
        <w:tc>
          <w:tcPr>
            <w:tcW w:w="1737" w:type="dxa"/>
          </w:tcPr>
          <w:p w14:paraId="319E5D6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264F8A44" w14:textId="77777777" w:rsidTr="001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F65160" w:rsidRDefault="00F65160" w:rsidP="00B2596B"/>
        </w:tc>
        <w:tc>
          <w:tcPr>
            <w:tcW w:w="1737" w:type="dxa"/>
          </w:tcPr>
          <w:p w14:paraId="3D503B10"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0309527" w14:textId="77777777" w:rsidTr="00013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F65160" w:rsidRDefault="00F65160" w:rsidP="00B2596B"/>
        </w:tc>
        <w:tc>
          <w:tcPr>
            <w:tcW w:w="1737" w:type="dxa"/>
          </w:tcPr>
          <w:p w14:paraId="1D6C2F0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5338AC23"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17B0EB80" w14:textId="77777777" w:rsidTr="00FD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F65160" w:rsidRDefault="00F65160" w:rsidP="00B2596B">
            <w:r>
              <w:t>Looptijd opdracht</w:t>
            </w:r>
          </w:p>
        </w:tc>
        <w:tc>
          <w:tcPr>
            <w:tcW w:w="1737" w:type="dxa"/>
          </w:tcPr>
          <w:p w14:paraId="27CB557E"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284EFB2D" w14:textId="77777777" w:rsidTr="00EC56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F65160" w:rsidRDefault="00F65160" w:rsidP="00B2596B"/>
        </w:tc>
        <w:tc>
          <w:tcPr>
            <w:tcW w:w="1737" w:type="dxa"/>
          </w:tcPr>
          <w:p w14:paraId="40C203E5"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77777777" w:rsidR="00564113" w:rsidRPr="00920E07" w:rsidRDefault="00564113" w:rsidP="00564113"/>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8B3B" w14:textId="77777777" w:rsidR="002F0944" w:rsidRDefault="002F0944" w:rsidP="007B39DC">
      <w:r>
        <w:separator/>
      </w:r>
    </w:p>
  </w:endnote>
  <w:endnote w:type="continuationSeparator" w:id="0">
    <w:p w14:paraId="2C9061C3" w14:textId="77777777" w:rsidR="002F0944" w:rsidRDefault="002F0944"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11999CC8"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2B64FE">
      <w:rPr>
        <w:noProof/>
        <w:color w:val="FFFFFF" w:themeColor="background1"/>
        <w:szCs w:val="20"/>
      </w:rPr>
      <w:t>3</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945F" w14:textId="77777777" w:rsidR="002F0944" w:rsidRDefault="002F0944" w:rsidP="007B39DC">
      <w:r>
        <w:separator/>
      </w:r>
    </w:p>
  </w:footnote>
  <w:footnote w:type="continuationSeparator" w:id="0">
    <w:p w14:paraId="3A5BABD2" w14:textId="77777777" w:rsidR="002F0944" w:rsidRDefault="002F0944"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2F7"/>
    <w:multiLevelType w:val="multilevel"/>
    <w:tmpl w:val="B088D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3"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4042B87"/>
    <w:multiLevelType w:val="multilevel"/>
    <w:tmpl w:val="E020AF26"/>
    <w:lvl w:ilvl="0">
      <w:start w:val="1"/>
      <w:numFmt w:val="bullet"/>
      <w:lvlText w:val=""/>
      <w:lvlJc w:val="left"/>
      <w:pPr>
        <w:tabs>
          <w:tab w:val="num" w:pos="720"/>
        </w:tabs>
        <w:ind w:left="720" w:hanging="360"/>
      </w:pPr>
      <w:rPr>
        <w:rFonts w:ascii="Symbol" w:hAnsi="Symbol" w:hint="default"/>
        <w:color w:val="000000" w:themeColor="text1"/>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AC9220D"/>
    <w:multiLevelType w:val="multilevel"/>
    <w:tmpl w:val="FFE0C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1"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00D7B9E"/>
    <w:multiLevelType w:val="multilevel"/>
    <w:tmpl w:val="93EAED36"/>
    <w:lvl w:ilvl="0">
      <w:start w:val="1"/>
      <w:numFmt w:val="bullet"/>
      <w:lvlText w:val=""/>
      <w:lvlJc w:val="left"/>
      <w:pPr>
        <w:tabs>
          <w:tab w:val="num" w:pos="720"/>
        </w:tabs>
        <w:ind w:left="720" w:hanging="360"/>
      </w:pPr>
      <w:rPr>
        <w:rFonts w:ascii="Symbol" w:hAnsi="Symbol" w:hint="default"/>
        <w:color w:val="000000" w:themeColor="text1"/>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A06E78"/>
    <w:multiLevelType w:val="multilevel"/>
    <w:tmpl w:val="C9683318"/>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6" w15:restartNumberingAfterBreak="0">
    <w:nsid w:val="7A20733C"/>
    <w:multiLevelType w:val="hybridMultilevel"/>
    <w:tmpl w:val="BD027822"/>
    <w:lvl w:ilvl="0" w:tplc="A8C4D746">
      <w:start w:val="1"/>
      <w:numFmt w:val="bullet"/>
      <w:pStyle w:val="Lijstalinea"/>
      <w:lvlText w:val=""/>
      <w:lvlJc w:val="left"/>
      <w:pPr>
        <w:ind w:left="420" w:hanging="360"/>
      </w:pPr>
      <w:rPr>
        <w:rFonts w:ascii="Symbol" w:hAnsi="Symbol" w:hint="default"/>
      </w:rPr>
    </w:lvl>
    <w:lvl w:ilvl="1" w:tplc="04130001">
      <w:start w:val="1"/>
      <w:numFmt w:val="bullet"/>
      <w:lvlText w:val=""/>
      <w:lvlJc w:val="left"/>
      <w:pPr>
        <w:ind w:left="1140" w:hanging="360"/>
      </w:pPr>
      <w:rPr>
        <w:rFonts w:ascii="Symbol" w:hAnsi="Symbol"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7"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6"/>
  </w:num>
  <w:num w:numId="2" w16cid:durableId="2037266699">
    <w:abstractNumId w:val="5"/>
  </w:num>
  <w:num w:numId="3" w16cid:durableId="1486165868">
    <w:abstractNumId w:val="4"/>
  </w:num>
  <w:num w:numId="4" w16cid:durableId="2014256397">
    <w:abstractNumId w:val="10"/>
  </w:num>
  <w:num w:numId="5" w16cid:durableId="970207765">
    <w:abstractNumId w:val="8"/>
  </w:num>
  <w:num w:numId="6" w16cid:durableId="1687052095">
    <w:abstractNumId w:val="25"/>
  </w:num>
  <w:num w:numId="7" w16cid:durableId="681473624">
    <w:abstractNumId w:val="12"/>
  </w:num>
  <w:num w:numId="8" w16cid:durableId="2131197162">
    <w:abstractNumId w:val="26"/>
  </w:num>
  <w:num w:numId="9" w16cid:durableId="983704960">
    <w:abstractNumId w:val="26"/>
  </w:num>
  <w:num w:numId="10" w16cid:durableId="2146461108">
    <w:abstractNumId w:val="26"/>
  </w:num>
  <w:num w:numId="11" w16cid:durableId="1678994623">
    <w:abstractNumId w:val="2"/>
  </w:num>
  <w:num w:numId="12" w16cid:durableId="1442647523">
    <w:abstractNumId w:val="28"/>
  </w:num>
  <w:num w:numId="13" w16cid:durableId="1835489787">
    <w:abstractNumId w:val="19"/>
  </w:num>
  <w:num w:numId="14" w16cid:durableId="449517519">
    <w:abstractNumId w:val="1"/>
  </w:num>
  <w:num w:numId="15" w16cid:durableId="451679876">
    <w:abstractNumId w:val="15"/>
  </w:num>
  <w:num w:numId="16" w16cid:durableId="268704665">
    <w:abstractNumId w:val="27"/>
  </w:num>
  <w:num w:numId="17" w16cid:durableId="1408264722">
    <w:abstractNumId w:val="23"/>
  </w:num>
  <w:num w:numId="18" w16cid:durableId="1050766034">
    <w:abstractNumId w:val="16"/>
  </w:num>
  <w:num w:numId="19" w16cid:durableId="1688632765">
    <w:abstractNumId w:val="6"/>
  </w:num>
  <w:num w:numId="20" w16cid:durableId="2039701907">
    <w:abstractNumId w:val="9"/>
  </w:num>
  <w:num w:numId="21" w16cid:durableId="408624985">
    <w:abstractNumId w:val="21"/>
  </w:num>
  <w:num w:numId="22" w16cid:durableId="234514759">
    <w:abstractNumId w:val="26"/>
  </w:num>
  <w:num w:numId="23" w16cid:durableId="552548096">
    <w:abstractNumId w:val="14"/>
  </w:num>
  <w:num w:numId="24" w16cid:durableId="52582987">
    <w:abstractNumId w:val="11"/>
  </w:num>
  <w:num w:numId="25" w16cid:durableId="332219376">
    <w:abstractNumId w:val="7"/>
  </w:num>
  <w:num w:numId="26" w16cid:durableId="1186940838">
    <w:abstractNumId w:val="20"/>
  </w:num>
  <w:num w:numId="27" w16cid:durableId="407847636">
    <w:abstractNumId w:val="3"/>
  </w:num>
  <w:num w:numId="28" w16cid:durableId="167326676">
    <w:abstractNumId w:val="17"/>
  </w:num>
  <w:num w:numId="29" w16cid:durableId="1295331190">
    <w:abstractNumId w:val="24"/>
  </w:num>
  <w:num w:numId="30" w16cid:durableId="2078244012">
    <w:abstractNumId w:val="0"/>
  </w:num>
  <w:num w:numId="31" w16cid:durableId="647628945">
    <w:abstractNumId w:val="13"/>
  </w:num>
  <w:num w:numId="32" w16cid:durableId="621807715">
    <w:abstractNumId w:val="18"/>
  </w:num>
  <w:num w:numId="33" w16cid:durableId="14560236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100"/>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177"/>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4F66"/>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4FE"/>
    <w:rsid w:val="002B6C54"/>
    <w:rsid w:val="002B6FD8"/>
    <w:rsid w:val="002B7AC8"/>
    <w:rsid w:val="002C0096"/>
    <w:rsid w:val="002C3244"/>
    <w:rsid w:val="002C4008"/>
    <w:rsid w:val="002C44BA"/>
    <w:rsid w:val="002C48FE"/>
    <w:rsid w:val="002C5E66"/>
    <w:rsid w:val="002C625F"/>
    <w:rsid w:val="002C7C84"/>
    <w:rsid w:val="002D3171"/>
    <w:rsid w:val="002D3D95"/>
    <w:rsid w:val="002D65F3"/>
    <w:rsid w:val="002E11EB"/>
    <w:rsid w:val="002E2557"/>
    <w:rsid w:val="002E2E84"/>
    <w:rsid w:val="002E46CF"/>
    <w:rsid w:val="002E4F42"/>
    <w:rsid w:val="002E7059"/>
    <w:rsid w:val="002E7108"/>
    <w:rsid w:val="002F0944"/>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69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A1C"/>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6B2F"/>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62AD"/>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91"/>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6B3"/>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9572D"/>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161E"/>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BCA"/>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BD4391"/>
    <w:pPr>
      <w:keepNext/>
      <w:keepLines/>
      <w:numPr>
        <w:ilvl w:val="1"/>
        <w:numId w:val="26"/>
      </w:numPr>
      <w:jc w:val="left"/>
      <w:outlineLvl w:val="1"/>
    </w:pPr>
    <w:rPr>
      <w:rFonts w:asciiTheme="majorHAnsi" w:eastAsiaTheme="majorEastAsia" w:hAnsiTheme="majorHAnsi" w:cstheme="majorBidi"/>
      <w:b/>
      <w:color w:val="0E2841"/>
      <w:sz w:val="24"/>
      <w:szCs w:val="32"/>
    </w:rPr>
  </w:style>
  <w:style w:type="paragraph" w:styleId="Kop3">
    <w:name w:val="heading 3"/>
    <w:basedOn w:val="Standaard"/>
    <w:next w:val="Standaard"/>
    <w:link w:val="Kop3Char"/>
    <w:uiPriority w:val="9"/>
    <w:unhideWhenUsed/>
    <w:qFormat/>
    <w:rsid w:val="00BD4391"/>
    <w:pPr>
      <w:keepNext/>
      <w:keepLines/>
      <w:numPr>
        <w:ilvl w:val="2"/>
        <w:numId w:val="26"/>
      </w:numPr>
      <w:outlineLvl w:val="2"/>
    </w:pPr>
    <w:rPr>
      <w:rFonts w:eastAsiaTheme="majorEastAsia" w:cstheme="majorBidi"/>
      <w:b/>
      <w:color w:val="0E2841"/>
      <w:szCs w:val="28"/>
    </w:rPr>
  </w:style>
  <w:style w:type="paragraph" w:styleId="Kop4">
    <w:name w:val="heading 4"/>
    <w:basedOn w:val="Standaard"/>
    <w:next w:val="Standaard"/>
    <w:link w:val="Kop4Char"/>
    <w:uiPriority w:val="9"/>
    <w:unhideWhenUsed/>
    <w:qFormat/>
    <w:rsid w:val="00BD4391"/>
    <w:pPr>
      <w:keepNext/>
      <w:keepLines/>
      <w:numPr>
        <w:ilvl w:val="3"/>
        <w:numId w:val="26"/>
      </w:numPr>
      <w:outlineLvl w:val="3"/>
    </w:pPr>
    <w:rPr>
      <w:rFonts w:eastAsiaTheme="majorEastAsia" w:cstheme="majorBidi"/>
      <w:i/>
      <w:iCs/>
      <w:color w:val="0E2841"/>
    </w:rPr>
  </w:style>
  <w:style w:type="paragraph" w:styleId="Kop5">
    <w:name w:val="heading 5"/>
    <w:basedOn w:val="Standaard"/>
    <w:next w:val="Standaard"/>
    <w:link w:val="Kop5Char"/>
    <w:uiPriority w:val="9"/>
    <w:semiHidden/>
    <w:unhideWhenUsed/>
    <w:qFormat/>
    <w:rsid w:val="00BD4391"/>
    <w:pPr>
      <w:keepNext/>
      <w:keepLines/>
      <w:numPr>
        <w:ilvl w:val="4"/>
        <w:numId w:val="26"/>
      </w:numPr>
      <w:spacing w:before="80" w:after="40"/>
      <w:outlineLvl w:val="4"/>
    </w:pPr>
    <w:rPr>
      <w:rFonts w:eastAsiaTheme="majorEastAsia" w:cstheme="majorBidi"/>
      <w:color w:val="0E2841"/>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BD4391"/>
    <w:rPr>
      <w:rFonts w:asciiTheme="majorHAnsi" w:eastAsiaTheme="majorEastAsia" w:hAnsiTheme="majorHAnsi" w:cstheme="majorBidi"/>
      <w:b/>
      <w:color w:val="0E2841"/>
      <w:szCs w:val="32"/>
    </w:rPr>
  </w:style>
  <w:style w:type="character" w:customStyle="1" w:styleId="Kop3Char">
    <w:name w:val="Kop 3 Char"/>
    <w:basedOn w:val="Standaardalinea-lettertype"/>
    <w:link w:val="Kop3"/>
    <w:uiPriority w:val="9"/>
    <w:rsid w:val="00BD4391"/>
    <w:rPr>
      <w:rFonts w:eastAsiaTheme="majorEastAsia" w:cstheme="majorBidi"/>
      <w:b/>
      <w:color w:val="0E2841"/>
      <w:sz w:val="20"/>
      <w:szCs w:val="28"/>
    </w:rPr>
  </w:style>
  <w:style w:type="character" w:customStyle="1" w:styleId="Kop4Char">
    <w:name w:val="Kop 4 Char"/>
    <w:basedOn w:val="Standaardalinea-lettertype"/>
    <w:link w:val="Kop4"/>
    <w:uiPriority w:val="9"/>
    <w:rsid w:val="00BD4391"/>
    <w:rPr>
      <w:rFonts w:eastAsiaTheme="majorEastAsia" w:cstheme="majorBidi"/>
      <w:i/>
      <w:iCs/>
      <w:color w:val="0E2841"/>
      <w:sz w:val="20"/>
    </w:rPr>
  </w:style>
  <w:style w:type="character" w:customStyle="1" w:styleId="Kop5Char">
    <w:name w:val="Kop 5 Char"/>
    <w:basedOn w:val="Standaardalinea-lettertype"/>
    <w:link w:val="Kop5"/>
    <w:uiPriority w:val="9"/>
    <w:semiHidden/>
    <w:rsid w:val="00BD4391"/>
    <w:rPr>
      <w:rFonts w:eastAsiaTheme="majorEastAsia" w:cstheme="majorBidi"/>
      <w:color w:val="0E2841"/>
      <w:sz w:val="20"/>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BD4391"/>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shd w:val="clear" w:color="auto" w:fill="0E2841"/>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2.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3.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4.xml><?xml version="1.0" encoding="utf-8"?>
<ds:datastoreItem xmlns:ds="http://schemas.openxmlformats.org/officeDocument/2006/customXml" ds:itemID="{1CC4F677-FF5F-450C-BCF8-B28A5D8F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798</Words>
  <Characters>4391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5179</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Elke Ambergen - Kienhuis | Inkada Inkoop &amp; Advies</cp:lastModifiedBy>
  <cp:revision>19</cp:revision>
  <dcterms:created xsi:type="dcterms:W3CDTF">2025-07-24T13:38:00Z</dcterms:created>
  <dcterms:modified xsi:type="dcterms:W3CDTF">2026-02-27T08:55:00Z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