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BC1B" w14:textId="4B0114E7" w:rsidR="00F94C7A" w:rsidRPr="006D4589" w:rsidRDefault="00F94C7A" w:rsidP="004549FB">
      <w:pPr>
        <w:pStyle w:val="Titel"/>
        <w:rPr>
          <w:rFonts w:ascii="Open Sans" w:hAnsi="Open Sans"/>
          <w:b/>
          <w:color w:val="DF2E20"/>
          <w:spacing w:val="0"/>
          <w:kern w:val="0"/>
          <w:sz w:val="32"/>
          <w:szCs w:val="32"/>
          <w:lang w:eastAsia="ja-JP"/>
          <w14:ligatures w14:val="none"/>
        </w:rPr>
      </w:pPr>
      <w:r w:rsidRPr="006D4589">
        <w:rPr>
          <w:rFonts w:ascii="Open Sans" w:hAnsi="Open Sans"/>
          <w:b/>
          <w:color w:val="DF2E20"/>
          <w:spacing w:val="0"/>
          <w:kern w:val="0"/>
          <w:sz w:val="32"/>
          <w:szCs w:val="32"/>
          <w:lang w:eastAsia="ja-JP"/>
          <w14:ligatures w14:val="none"/>
        </w:rPr>
        <w:t>Bijlage</w:t>
      </w:r>
      <w:r w:rsidR="004549FB">
        <w:rPr>
          <w:rFonts w:ascii="Open Sans" w:hAnsi="Open Sans"/>
          <w:b/>
          <w:color w:val="DF2E20"/>
          <w:spacing w:val="0"/>
          <w:kern w:val="0"/>
          <w:sz w:val="32"/>
          <w:szCs w:val="32"/>
          <w:lang w:eastAsia="ja-JP"/>
          <w14:ligatures w14:val="none"/>
        </w:rPr>
        <w:t xml:space="preserve"> </w:t>
      </w:r>
      <w:proofErr w:type="gramStart"/>
      <w:r w:rsidRPr="006D4589">
        <w:rPr>
          <w:rFonts w:ascii="Open Sans" w:hAnsi="Open Sans"/>
          <w:b/>
          <w:color w:val="DF2E20"/>
          <w:spacing w:val="0"/>
          <w:kern w:val="0"/>
          <w:sz w:val="32"/>
          <w:szCs w:val="32"/>
          <w:lang w:eastAsia="ja-JP"/>
          <w14:ligatures w14:val="none"/>
        </w:rPr>
        <w:t>MVOI diensten</w:t>
      </w:r>
      <w:proofErr w:type="gramEnd"/>
      <w:r w:rsidRPr="006D4589">
        <w:rPr>
          <w:rFonts w:ascii="Open Sans" w:hAnsi="Open Sans"/>
          <w:b/>
          <w:color w:val="DF2E20"/>
          <w:spacing w:val="0"/>
          <w:kern w:val="0"/>
          <w:sz w:val="32"/>
          <w:szCs w:val="32"/>
          <w:lang w:eastAsia="ja-JP"/>
          <w14:ligatures w14:val="none"/>
        </w:rPr>
        <w:t xml:space="preserve"> en leveringen</w:t>
      </w:r>
    </w:p>
    <w:p w14:paraId="2E64194C" w14:textId="77777777" w:rsidR="00F94C7A" w:rsidRDefault="00F94C7A" w:rsidP="00F94C7A">
      <w:pPr>
        <w:pStyle w:val="Introtekst"/>
        <w:numPr>
          <w:ilvl w:val="1"/>
          <w:numId w:val="0"/>
        </w:numPr>
      </w:pPr>
      <w:r>
        <w:t>In deze bijlage staat de beschrijving wat MVOI is, hoe de Aanbestedende dienst hiermee omgaat en welke (</w:t>
      </w:r>
      <w:proofErr w:type="spellStart"/>
      <w:r>
        <w:t>beleids</w:t>
      </w:r>
      <w:proofErr w:type="spellEnd"/>
      <w:r>
        <w:t xml:space="preserve">)doelen onder deze thema’s vallen verschillende thema’s uitgeschreven. Daarnaast zijn de thema’s gekoppeld aan de </w:t>
      </w:r>
      <w:proofErr w:type="spellStart"/>
      <w:r>
        <w:t>Sustainable</w:t>
      </w:r>
      <w:proofErr w:type="spellEnd"/>
      <w:r>
        <w:t xml:space="preserve"> Development Goals (SDG’). Ook geeft deze bijlage achtergrondinformatie waar de gemeentelijke organisatie zich mee bezig </w:t>
      </w:r>
      <w:proofErr w:type="gramStart"/>
      <w:r>
        <w:t>houd</w:t>
      </w:r>
      <w:proofErr w:type="gramEnd"/>
      <w:r>
        <w:t xml:space="preserve">. </w:t>
      </w:r>
    </w:p>
    <w:p w14:paraId="512B4902" w14:textId="77777777" w:rsidR="00F94C7A" w:rsidRPr="006F0389" w:rsidRDefault="00F94C7A" w:rsidP="00EE1CB0">
      <w:pPr>
        <w:pStyle w:val="Kop2"/>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Doel</w:t>
      </w:r>
    </w:p>
    <w:p w14:paraId="049CA7C0" w14:textId="3DF7057B" w:rsidR="00F94C7A" w:rsidRPr="00292241" w:rsidRDefault="00F94C7A" w:rsidP="00EE1CB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Het doel van Maatschappelijk Verantwoord Inkopen is om via inkoop maatschappelijke effecten te bereiken. Dit krachtige instrument en beleidskader wordt ook op Europees en mondiaal niveau steeds vaker ingezet. In Nederland is het beleid hiervoor vastgelegd in het Nationaal Plan MVI 2021-2025.  Dit plan heeft als doel dat steeds meer organisaties maatschappelijk verantwoord opdrachtgeven en inkopen vaker en effectiever gaan toepassen. Dit is in lijn met de visie over inkopen binnen het Rijk, zoals verwoord in de strategie ‘Inkopen met Impact’. Het hoofddoel van het inkopen door het Rijk is om maatschappelijke effecten te bereiken, zaken te realiseren en resultaten te boeken. Het draait om meer dan rechtmatig en efficiënt inkopen. </w:t>
      </w:r>
    </w:p>
    <w:p w14:paraId="08DC11F2" w14:textId="77777777" w:rsidR="00F94C7A" w:rsidRPr="00B134C9" w:rsidRDefault="00F94C7A" w:rsidP="00EE1CB0">
      <w:pPr>
        <w:spacing w:line="276" w:lineRule="auto"/>
        <w:rPr>
          <w:rFonts w:ascii="Arial" w:eastAsia="Arial" w:hAnsi="Arial" w:cs="Arial"/>
          <w:sz w:val="20"/>
          <w:szCs w:val="20"/>
        </w:rPr>
      </w:pPr>
    </w:p>
    <w:p w14:paraId="7DA9364B" w14:textId="77777777" w:rsidR="00F94C7A" w:rsidRDefault="00F94C7A" w:rsidP="00EE1CB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Het Nationaal Plan MVI beschrijft zes thema’s voor maatschappelijk verantwoord inkopen, gericht op de in de illustratie</w:t>
      </w:r>
      <w:r>
        <w:rPr>
          <w:rFonts w:ascii="Open Sans" w:eastAsiaTheme="minorEastAsia" w:hAnsi="Open Sans" w:cstheme="minorBidi"/>
          <w:lang w:eastAsia="ja-JP"/>
          <w14:ligatures w14:val="none"/>
        </w:rPr>
        <w:t xml:space="preserve"> 1</w:t>
      </w:r>
      <w:r w:rsidRPr="00292241">
        <w:rPr>
          <w:rFonts w:ascii="Open Sans" w:eastAsiaTheme="minorEastAsia" w:hAnsi="Open Sans" w:cstheme="minorBidi"/>
          <w:lang w:eastAsia="ja-JP"/>
          <w14:ligatures w14:val="none"/>
        </w:rPr>
        <w:t xml:space="preserve"> weergegeven maatschappelijke doelen. Al deze doelen zijn gekoppeld aan </w:t>
      </w:r>
      <w:proofErr w:type="spellStart"/>
      <w:r w:rsidRPr="00292241">
        <w:rPr>
          <w:rFonts w:ascii="Open Sans" w:eastAsiaTheme="minorEastAsia" w:hAnsi="Open Sans" w:cstheme="minorBidi"/>
          <w:lang w:eastAsia="ja-JP"/>
          <w14:ligatures w14:val="none"/>
        </w:rPr>
        <w:t>Sustainable</w:t>
      </w:r>
      <w:proofErr w:type="spellEnd"/>
      <w:r w:rsidRPr="00292241">
        <w:rPr>
          <w:rFonts w:ascii="Open Sans" w:eastAsiaTheme="minorEastAsia" w:hAnsi="Open Sans" w:cstheme="minorBidi"/>
          <w:lang w:eastAsia="ja-JP"/>
          <w14:ligatures w14:val="none"/>
        </w:rPr>
        <w:t xml:space="preserve"> Development Goal (SDG) ‘Verantwoorde consumptie en productie’ en aanvullend daarop ook aan de </w:t>
      </w:r>
      <w:proofErr w:type="spellStart"/>
      <w:r w:rsidRPr="00292241">
        <w:rPr>
          <w:rFonts w:ascii="Open Sans" w:eastAsiaTheme="minorEastAsia" w:hAnsi="Open Sans" w:cstheme="minorBidi"/>
          <w:lang w:eastAsia="ja-JP"/>
          <w14:ligatures w14:val="none"/>
        </w:rPr>
        <w:t>Sustainable</w:t>
      </w:r>
      <w:proofErr w:type="spellEnd"/>
      <w:r w:rsidRPr="00292241">
        <w:rPr>
          <w:rFonts w:ascii="Open Sans" w:eastAsiaTheme="minorEastAsia" w:hAnsi="Open Sans" w:cstheme="minorBidi"/>
          <w:lang w:eastAsia="ja-JP"/>
          <w14:ligatures w14:val="none"/>
        </w:rPr>
        <w:t xml:space="preserve"> Development Goals (</w:t>
      </w:r>
      <w:proofErr w:type="spellStart"/>
      <w:r w:rsidRPr="00292241">
        <w:rPr>
          <w:rFonts w:ascii="Open Sans" w:eastAsiaTheme="minorEastAsia" w:hAnsi="Open Sans" w:cstheme="minorBidi"/>
          <w:lang w:eastAsia="ja-JP"/>
          <w14:ligatures w14:val="none"/>
        </w:rPr>
        <w:t>SDG’s</w:t>
      </w:r>
      <w:proofErr w:type="spellEnd"/>
      <w:r w:rsidRPr="00292241">
        <w:rPr>
          <w:rFonts w:ascii="Open Sans" w:eastAsiaTheme="minorEastAsia" w:hAnsi="Open Sans" w:cstheme="minorBidi"/>
          <w:lang w:eastAsia="ja-JP"/>
          <w14:ligatures w14:val="none"/>
        </w:rPr>
        <w:t xml:space="preserve">) die in de illustratie ‘Relatie maatschappelijke doelen en </w:t>
      </w:r>
      <w:proofErr w:type="spellStart"/>
      <w:r w:rsidRPr="00292241">
        <w:rPr>
          <w:rFonts w:ascii="Open Sans" w:eastAsiaTheme="minorEastAsia" w:hAnsi="Open Sans" w:cstheme="minorBidi"/>
          <w:lang w:eastAsia="ja-JP"/>
          <w14:ligatures w14:val="none"/>
        </w:rPr>
        <w:t>SDG’s</w:t>
      </w:r>
      <w:proofErr w:type="spellEnd"/>
      <w:r w:rsidRPr="00292241">
        <w:rPr>
          <w:rFonts w:ascii="Open Sans" w:eastAsiaTheme="minorEastAsia" w:hAnsi="Open Sans" w:cstheme="minorBidi"/>
          <w:lang w:eastAsia="ja-JP"/>
          <w14:ligatures w14:val="none"/>
        </w:rPr>
        <w:t>’ zijn weergegeven.</w:t>
      </w:r>
    </w:p>
    <w:p w14:paraId="5F94E317" w14:textId="77777777" w:rsidR="00F94C7A" w:rsidRDefault="00F94C7A" w:rsidP="00F94C7A">
      <w:pPr>
        <w:spacing w:after="160" w:line="259" w:lineRule="auto"/>
        <w:rPr>
          <w:rFonts w:ascii="Open Sans" w:hAnsi="Open Sans"/>
          <w:bCs/>
          <w:sz w:val="28"/>
          <w:szCs w:val="28"/>
          <w:lang w:eastAsia="ja-JP"/>
          <w14:ligatures w14:val="none"/>
        </w:rPr>
      </w:pPr>
    </w:p>
    <w:p w14:paraId="6DD8CF55" w14:textId="77777777" w:rsidR="00F94C7A" w:rsidRDefault="00F94C7A" w:rsidP="00F94C7A">
      <w:pPr>
        <w:spacing w:after="160" w:line="259" w:lineRule="auto"/>
        <w:rPr>
          <w:rFonts w:ascii="Open Sans" w:eastAsiaTheme="majorEastAsia" w:hAnsi="Open Sans" w:cstheme="majorBidi"/>
          <w:b/>
          <w:bCs/>
          <w:sz w:val="28"/>
          <w:szCs w:val="28"/>
          <w:lang w:eastAsia="ja-JP"/>
          <w14:ligatures w14:val="none"/>
        </w:rPr>
      </w:pPr>
      <w:r>
        <w:rPr>
          <w:rFonts w:ascii="Open Sans" w:hAnsi="Open Sans"/>
          <w:bCs/>
          <w:sz w:val="28"/>
          <w:szCs w:val="28"/>
          <w:lang w:eastAsia="ja-JP"/>
          <w14:ligatures w14:val="none"/>
        </w:rPr>
        <w:br w:type="page"/>
      </w:r>
    </w:p>
    <w:p w14:paraId="3196D1E3" w14:textId="77777777" w:rsidR="00F94C7A" w:rsidRPr="00435ECA" w:rsidRDefault="00F94C7A" w:rsidP="00F94C7A">
      <w:pPr>
        <w:pStyle w:val="Kop2"/>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435ECA">
        <w:rPr>
          <w:rFonts w:ascii="Open Sans" w:hAnsi="Open Sans"/>
          <w:bCs/>
          <w:color w:val="auto"/>
          <w:sz w:val="28"/>
          <w:szCs w:val="28"/>
          <w:lang w:eastAsia="ja-JP"/>
          <w14:ligatures w14:val="none"/>
        </w:rPr>
        <w:lastRenderedPageBreak/>
        <w:t>MVOI- thema’s</w:t>
      </w:r>
    </w:p>
    <w:p w14:paraId="01FEBB6C"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Milieu (inclusief biodiversiteit) (SDG 12, 14, 15, 2, 6, 11)</w:t>
      </w:r>
    </w:p>
    <w:p w14:paraId="2468DC6D"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Klimaat (SDG 12, 13, 7 en 9)</w:t>
      </w:r>
    </w:p>
    <w:p w14:paraId="65DD124C"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 xml:space="preserve">Circulair </w:t>
      </w:r>
      <w:proofErr w:type="gramStart"/>
      <w:r>
        <w:rPr>
          <w:rFonts w:ascii="Open Sans" w:eastAsiaTheme="minorEastAsia" w:hAnsi="Open Sans" w:cstheme="minorBidi"/>
          <w:lang w:eastAsia="ja-JP"/>
          <w14:ligatures w14:val="none"/>
        </w:rPr>
        <w:t>( SDG</w:t>
      </w:r>
      <w:proofErr w:type="gramEnd"/>
      <w:r>
        <w:rPr>
          <w:rFonts w:ascii="Open Sans" w:eastAsiaTheme="minorEastAsia" w:hAnsi="Open Sans" w:cstheme="minorBidi"/>
          <w:lang w:eastAsia="ja-JP"/>
          <w14:ligatures w14:val="none"/>
        </w:rPr>
        <w:t xml:space="preserve"> 2, 6, 7, 8, 9, 11, 12, 14 en 15)</w:t>
      </w:r>
    </w:p>
    <w:p w14:paraId="6D13D023"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Internationale Sociale voorwaarden (Ketenverantwoordelijkheid (SDG 8, 12,1 en 2)</w:t>
      </w:r>
    </w:p>
    <w:p w14:paraId="2C24C973"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Diversiteit en Inclusie (SDG 10, 12,4, 5,78 en 11)</w:t>
      </w:r>
    </w:p>
    <w:p w14:paraId="1A5108A3" w14:textId="77777777" w:rsidR="00F94C7A" w:rsidRPr="00B82F98"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sidRPr="00292241">
        <w:rPr>
          <w:rFonts w:ascii="Open Sans" w:eastAsiaTheme="minorEastAsia" w:hAnsi="Open Sans" w:cstheme="minorBidi"/>
          <w:noProof/>
          <w:lang w:eastAsia="ja-JP"/>
          <w14:ligatures w14:val="none"/>
        </w:rPr>
        <w:drawing>
          <wp:anchor distT="0" distB="0" distL="114300" distR="114300" simplePos="0" relativeHeight="251658240" behindDoc="0" locked="0" layoutInCell="1" allowOverlap="1" wp14:anchorId="3DADCDFA" wp14:editId="4FC3D114">
            <wp:simplePos x="0" y="0"/>
            <wp:positionH relativeFrom="page">
              <wp:align>left</wp:align>
            </wp:positionH>
            <wp:positionV relativeFrom="paragraph">
              <wp:posOffset>363220</wp:posOffset>
            </wp:positionV>
            <wp:extent cx="7562258" cy="6447611"/>
            <wp:effectExtent l="0" t="0" r="635" b="0"/>
            <wp:wrapThrough wrapText="bothSides">
              <wp:wrapPolygon edited="0">
                <wp:start x="0" y="0"/>
                <wp:lineTo x="0" y="21509"/>
                <wp:lineTo x="21547" y="21509"/>
                <wp:lineTo x="21547" y="0"/>
                <wp:lineTo x="0" y="0"/>
              </wp:wrapPolygon>
            </wp:wrapThrough>
            <wp:docPr id="35079005" name="Afbeelding 35079005" descr="MVOI Thema's inclusief SDG'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9005" name="Afbeelding 35079005" descr="MVOI Thema's inclusief SDG's ">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2258" cy="6447611"/>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Open Sans" w:eastAsiaTheme="minorEastAsia" w:hAnsi="Open Sans" w:cstheme="minorBidi"/>
          <w:lang w:eastAsia="ja-JP"/>
          <w14:ligatures w14:val="none"/>
        </w:rPr>
        <w:t>Social</w:t>
      </w:r>
      <w:proofErr w:type="spellEnd"/>
      <w:r>
        <w:rPr>
          <w:rFonts w:ascii="Open Sans" w:eastAsiaTheme="minorEastAsia" w:hAnsi="Open Sans" w:cstheme="minorBidi"/>
          <w:lang w:eastAsia="ja-JP"/>
          <w14:ligatures w14:val="none"/>
        </w:rPr>
        <w:t xml:space="preserve"> Return (SDG 8, 10, 12, 1 en 4)</w:t>
      </w:r>
    </w:p>
    <w:p w14:paraId="31C5101C"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Pr>
          <w:rFonts w:ascii="Open Sans" w:hAnsi="Open Sans"/>
          <w:bCs/>
          <w:color w:val="auto"/>
          <w:sz w:val="28"/>
          <w:szCs w:val="28"/>
          <w:lang w:eastAsia="ja-JP"/>
          <w14:ligatures w14:val="none"/>
        </w:rPr>
        <w:lastRenderedPageBreak/>
        <w:t xml:space="preserve"> </w:t>
      </w:r>
      <w:r w:rsidRPr="006F0389">
        <w:rPr>
          <w:rFonts w:ascii="Open Sans" w:hAnsi="Open Sans"/>
          <w:bCs/>
          <w:color w:val="auto"/>
          <w:sz w:val="28"/>
          <w:szCs w:val="28"/>
          <w:lang w:eastAsia="ja-JP"/>
          <w14:ligatures w14:val="none"/>
        </w:rPr>
        <w:t>Milieu en biodiversiteit</w:t>
      </w:r>
    </w:p>
    <w:p w14:paraId="7007D32B" w14:textId="77777777" w:rsidR="00F94C7A" w:rsidRDefault="00F94C7A" w:rsidP="00F94C7A">
      <w:pPr>
        <w:pStyle w:val="Introtekst"/>
        <w:numPr>
          <w:ilvl w:val="1"/>
          <w:numId w:val="0"/>
        </w:numPr>
      </w:pPr>
      <w:r w:rsidRPr="008764F3">
        <w:t xml:space="preserve">Het thema milieu is voor het tegengaan van milieuverontreiniging, mede te bescherming van de biodiversiteit. SDG 12 ‘verantwoordelijk consumptie en productie’, SDG 14 ‘Leven in het water’, SDG 15 ‘leven op het land’ en mogelijk SDG 2 ‘geen honger’, SDG 6 ‘schoonwater en sanitair’ en SDG 11 ‘duurzame steden en gemeenschappen’ vallen onder dit thema. </w:t>
      </w:r>
    </w:p>
    <w:p w14:paraId="773D0005" w14:textId="77777777" w:rsidR="00F94C7A" w:rsidRPr="00D77B93" w:rsidRDefault="00F94C7A" w:rsidP="00F94C7A">
      <w:pPr>
        <w:spacing w:after="160" w:line="259" w:lineRule="auto"/>
        <w:rPr>
          <w:rFonts w:ascii="Open Sans" w:eastAsiaTheme="minorEastAsia" w:hAnsi="Open Sans" w:cstheme="minorBidi"/>
          <w:sz w:val="24"/>
          <w:szCs w:val="24"/>
          <w:lang w:eastAsia="ja-JP"/>
          <w14:ligatures w14:val="none"/>
        </w:rPr>
      </w:pPr>
      <w:r w:rsidRPr="00D77B93">
        <w:rPr>
          <w:rFonts w:ascii="Open Sans" w:eastAsiaTheme="minorEastAsia" w:hAnsi="Open Sans" w:cstheme="minorBidi"/>
          <w:sz w:val="24"/>
          <w:szCs w:val="24"/>
          <w:lang w:eastAsia="ja-JP"/>
          <w14:ligatures w14:val="none"/>
        </w:rPr>
        <w:t>Milieubewust inkopen omvat het tegengaan van milieuverontreiniging (stikstofuitstoot), luchtverontreiniging en gebruik van schadelijke stoffen en pesticiden. Dit mede ter bescherming van de biodiversiteit. Ook het tegengaan van voedselverspilling en het verminderen van water- en energiegebruik vallen hieronder. De Aanbestedende dienst streeft naar het inkopen van producten met een lage milieu-impact of die een positieve bijdrage leveren aan bijvoorbeeld biodiversiteit.</w:t>
      </w:r>
      <w:r>
        <w:rPr>
          <w:rFonts w:ascii="Open Sans" w:eastAsiaTheme="minorEastAsia" w:hAnsi="Open Sans" w:cstheme="minorBidi"/>
          <w:sz w:val="24"/>
          <w:szCs w:val="24"/>
          <w:lang w:eastAsia="ja-JP"/>
          <w14:ligatures w14:val="none"/>
        </w:rPr>
        <w:t xml:space="preserve"> </w:t>
      </w:r>
      <w:r w:rsidRPr="00D77B93">
        <w:rPr>
          <w:rFonts w:ascii="Open Sans" w:eastAsiaTheme="minorEastAsia" w:hAnsi="Open Sans" w:cstheme="minorBidi"/>
          <w:sz w:val="24"/>
          <w:szCs w:val="24"/>
          <w:lang w:eastAsia="ja-JP"/>
          <w14:ligatures w14:val="none"/>
        </w:rPr>
        <w:t xml:space="preserve">Er zijn verschillende hulpmiddelen die worden toegepast om bij te dragen aan dit thema. </w:t>
      </w:r>
    </w:p>
    <w:p w14:paraId="318C4D40" w14:textId="77777777" w:rsidR="00F94C7A" w:rsidRDefault="00F94C7A">
      <w:pPr>
        <w:spacing w:after="160" w:line="259" w:lineRule="auto"/>
        <w:rPr>
          <w:rFonts w:ascii="Open Sans" w:eastAsiaTheme="majorEastAsia" w:hAnsi="Open Sans" w:cstheme="majorBidi"/>
          <w:b/>
          <w:bCs/>
          <w:sz w:val="28"/>
          <w:szCs w:val="28"/>
          <w:lang w:eastAsia="ja-JP"/>
          <w14:ligatures w14:val="none"/>
        </w:rPr>
      </w:pPr>
      <w:r>
        <w:rPr>
          <w:rFonts w:ascii="Open Sans" w:hAnsi="Open Sans"/>
          <w:bCs/>
          <w:sz w:val="28"/>
          <w:szCs w:val="28"/>
          <w:lang w:eastAsia="ja-JP"/>
          <w14:ligatures w14:val="none"/>
        </w:rPr>
        <w:br w:type="page"/>
      </w:r>
    </w:p>
    <w:p w14:paraId="562E07D8" w14:textId="0D69DE92"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Klimaat</w:t>
      </w:r>
    </w:p>
    <w:p w14:paraId="3EEFD631" w14:textId="77777777" w:rsidR="00F94C7A" w:rsidRPr="00331895" w:rsidRDefault="00F94C7A" w:rsidP="00F94C7A">
      <w:pPr>
        <w:pStyle w:val="Ondertitel"/>
        <w:numPr>
          <w:ilvl w:val="0"/>
          <w:numId w:val="0"/>
        </w:numPr>
        <w:spacing w:line="276" w:lineRule="auto"/>
        <w:rPr>
          <w:rFonts w:cs="Arial"/>
          <w:szCs w:val="20"/>
        </w:rPr>
      </w:pPr>
      <w:r w:rsidRPr="008764F3">
        <w:rPr>
          <w:rFonts w:ascii="Open Sans SemiBold" w:hAnsi="Open Sans SemiBold"/>
          <w:color w:val="auto"/>
          <w:spacing w:val="0"/>
          <w:sz w:val="24"/>
          <w:lang w:eastAsia="ja-JP"/>
          <w14:ligatures w14:val="none"/>
        </w:rPr>
        <w:t>Het thema klimaat gaat om het tegengaan van de klimaatverandering, vooral door afname van de CO2- Uitstoot. SDG 12 ‘verantwoordelijk consumptie en productie’, SDG 13 ‘Klimaatactie’ en mogelijk SDG 7 ‘betaalbare en duurzame energie’ en SDG 9 ‘Industrie, innovatie en infrastructuur’ vallen onder dit thema. Daarnaast zijn de onderstaande onderwerpen in het beleid opgenomen</w:t>
      </w:r>
      <w:r w:rsidRPr="00331895">
        <w:rPr>
          <w:rFonts w:cs="Arial"/>
          <w:szCs w:val="20"/>
        </w:rPr>
        <w:t xml:space="preserve">. </w:t>
      </w:r>
    </w:p>
    <w:p w14:paraId="11F8DEC9" w14:textId="77777777" w:rsidR="00F94C7A" w:rsidRPr="00B05CFD" w:rsidRDefault="00F94C7A" w:rsidP="00F94C7A">
      <w:pPr>
        <w:pStyle w:val="Lijstalinea"/>
        <w:numPr>
          <w:ilvl w:val="0"/>
          <w:numId w:val="4"/>
        </w:numPr>
        <w:spacing w:line="276" w:lineRule="auto"/>
        <w:rPr>
          <w:rFonts w:ascii="Open Sans" w:eastAsiaTheme="minorEastAsia" w:hAnsi="Open Sans" w:cstheme="minorBidi"/>
          <w:b/>
          <w:bCs/>
          <w:vanish/>
          <w:color w:val="DF2E20"/>
          <w:sz w:val="24"/>
          <w:szCs w:val="24"/>
          <w:lang w:val="en-US" w:eastAsia="ja-JP"/>
          <w14:ligatures w14:val="none"/>
        </w:rPr>
      </w:pPr>
    </w:p>
    <w:p w14:paraId="1387755A" w14:textId="77777777" w:rsidR="00F94C7A" w:rsidRPr="00B05CFD" w:rsidRDefault="00F94C7A" w:rsidP="00F94C7A">
      <w:pPr>
        <w:pStyle w:val="Lijstalinea"/>
        <w:numPr>
          <w:ilvl w:val="0"/>
          <w:numId w:val="4"/>
        </w:numPr>
        <w:spacing w:line="276" w:lineRule="auto"/>
        <w:rPr>
          <w:rFonts w:ascii="Open Sans" w:eastAsiaTheme="minorEastAsia" w:hAnsi="Open Sans" w:cstheme="minorBidi"/>
          <w:b/>
          <w:bCs/>
          <w:vanish/>
          <w:color w:val="DF2E20"/>
          <w:sz w:val="24"/>
          <w:szCs w:val="24"/>
          <w:lang w:val="en-US" w:eastAsia="ja-JP"/>
          <w14:ligatures w14:val="none"/>
        </w:rPr>
      </w:pPr>
    </w:p>
    <w:p w14:paraId="4EADB73D" w14:textId="77777777" w:rsidR="00F94C7A" w:rsidRPr="00A45EEF" w:rsidRDefault="00F94C7A" w:rsidP="00F94C7A">
      <w:pPr>
        <w:spacing w:line="276" w:lineRule="auto"/>
        <w:rPr>
          <w:rFonts w:ascii="Open Sans" w:eastAsiaTheme="minorEastAsia" w:hAnsi="Open Sans" w:cstheme="minorBidi"/>
          <w:lang w:eastAsia="ja-JP"/>
          <w14:ligatures w14:val="none"/>
        </w:rPr>
      </w:pPr>
      <w:r w:rsidRPr="00DC3889">
        <w:rPr>
          <w:rFonts w:ascii="Open Sans" w:eastAsiaTheme="minorEastAsia" w:hAnsi="Open Sans" w:cstheme="minorBidi"/>
          <w:b/>
          <w:bCs/>
          <w:color w:val="DF2E20"/>
          <w:sz w:val="24"/>
          <w:szCs w:val="24"/>
          <w:lang w:eastAsia="ja-JP"/>
          <w14:ligatures w14:val="none"/>
        </w:rPr>
        <w:t>Klimaatakkoord 2019</w:t>
      </w:r>
    </w:p>
    <w:p w14:paraId="795B8C2D" w14:textId="77777777" w:rsidR="00F94C7A" w:rsidRPr="00A45EEF" w:rsidRDefault="00F94C7A" w:rsidP="00F94C7A">
      <w:pPr>
        <w:spacing w:line="276" w:lineRule="auto"/>
        <w:rPr>
          <w:rFonts w:ascii="Open Sans" w:eastAsiaTheme="minorEastAsia" w:hAnsi="Open Sans" w:cstheme="minorBidi"/>
          <w:lang w:eastAsia="ja-JP"/>
          <w14:ligatures w14:val="none"/>
        </w:rPr>
      </w:pPr>
      <w:r w:rsidRPr="00A45EEF">
        <w:rPr>
          <w:rFonts w:ascii="Open Sans" w:eastAsiaTheme="minorEastAsia" w:hAnsi="Open Sans" w:cstheme="minorBidi"/>
          <w:lang w:eastAsia="ja-JP"/>
          <w14:ligatures w14:val="none"/>
        </w:rPr>
        <w:t xml:space="preserve">Het Klimaatakkoord is een onderdeel van het Nederlandse klimaatbeleid. Het is een overeenkomst tussen veel organisaties en bedrijven in Nederland om de opwarming van de </w:t>
      </w:r>
      <w:proofErr w:type="gramStart"/>
      <w:r w:rsidRPr="00A45EEF">
        <w:rPr>
          <w:rFonts w:ascii="Open Sans" w:eastAsiaTheme="minorEastAsia" w:hAnsi="Open Sans" w:cstheme="minorBidi"/>
          <w:lang w:eastAsia="ja-JP"/>
          <w14:ligatures w14:val="none"/>
        </w:rPr>
        <w:t>aarde  tegen</w:t>
      </w:r>
      <w:proofErr w:type="gramEnd"/>
      <w:r w:rsidRPr="00A45EEF">
        <w:rPr>
          <w:rFonts w:ascii="Open Sans" w:eastAsiaTheme="minorEastAsia" w:hAnsi="Open Sans" w:cstheme="minorBidi"/>
          <w:lang w:eastAsia="ja-JP"/>
          <w14:ligatures w14:val="none"/>
        </w:rPr>
        <w:t xml:space="preserve"> te gaan. Het doel is om de CO2-uitstoot in 2030 met 49% verminderen. Om deze doelstelling te realiseren, heeft het kabinet het pakket aan maatregelen voor het Klimaatakkoord vastgesteld. Deze “klimaatregelen” hebben impact op alle Nederlanders, dus ook op ons en de manier waarop we aanbesteden. Dat komt tot uiting in de volgende subdoelstellingen:</w:t>
      </w:r>
    </w:p>
    <w:p w14:paraId="481DA590" w14:textId="77777777" w:rsidR="00F94C7A" w:rsidRPr="002C1FEB"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In 2026 zero emissie voor alle bouwplaatsen. Dit geldt zowel voor het eigen gebruik van materieel door de gemeente als voor Aanbestedingen voor projecten.</w:t>
      </w:r>
    </w:p>
    <w:p w14:paraId="34657209" w14:textId="77777777" w:rsidR="00F94C7A" w:rsidRPr="002C1FEB"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Streven dat in 2030:</w:t>
      </w:r>
    </w:p>
    <w:p w14:paraId="32D48C40" w14:textId="77777777" w:rsidR="00F94C7A" w:rsidRPr="002C1FEB" w:rsidRDefault="00F94C7A" w:rsidP="00F94C7A">
      <w:pPr>
        <w:pStyle w:val="Lijstalinea"/>
        <w:numPr>
          <w:ilvl w:val="1"/>
          <w:numId w:val="2"/>
        </w:num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Daling van de broeikasgassen met 49% t.o.v. 1990. </w:t>
      </w:r>
    </w:p>
    <w:p w14:paraId="1F1549F2" w14:textId="77777777" w:rsidR="00F94C7A" w:rsidRPr="002C1FEB" w:rsidRDefault="00F94C7A" w:rsidP="00F94C7A">
      <w:pPr>
        <w:pStyle w:val="Lijstalinea"/>
        <w:numPr>
          <w:ilvl w:val="1"/>
          <w:numId w:val="2"/>
        </w:num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Een klimaat neutrale circulaire GWW. </w:t>
      </w:r>
    </w:p>
    <w:p w14:paraId="0EC28276" w14:textId="77777777" w:rsidR="00F94C7A" w:rsidRPr="00DC3889" w:rsidRDefault="00F94C7A" w:rsidP="00F94C7A">
      <w:pPr>
        <w:spacing w:line="276" w:lineRule="auto"/>
        <w:rPr>
          <w:rFonts w:ascii="Open Sans" w:eastAsiaTheme="minorEastAsia" w:hAnsi="Open Sans" w:cstheme="minorBidi"/>
          <w:b/>
          <w:bCs/>
          <w:color w:val="DF2E20"/>
          <w:sz w:val="24"/>
          <w:szCs w:val="24"/>
          <w:lang w:eastAsia="ja-JP"/>
          <w14:ligatures w14:val="none"/>
        </w:rPr>
      </w:pPr>
    </w:p>
    <w:p w14:paraId="5713AF86" w14:textId="77777777" w:rsidR="00F94C7A" w:rsidRPr="00A45EEF" w:rsidRDefault="00F94C7A" w:rsidP="00F94C7A">
      <w:pPr>
        <w:spacing w:line="276" w:lineRule="auto"/>
        <w:rPr>
          <w:rFonts w:ascii="Open Sans" w:eastAsiaTheme="minorEastAsia" w:hAnsi="Open Sans" w:cstheme="minorBidi"/>
          <w:lang w:eastAsia="ja-JP"/>
          <w14:ligatures w14:val="none"/>
        </w:rPr>
      </w:pPr>
      <w:r w:rsidRPr="00DC3889">
        <w:rPr>
          <w:rFonts w:ascii="Open Sans" w:eastAsiaTheme="minorEastAsia" w:hAnsi="Open Sans" w:cstheme="minorBidi"/>
          <w:b/>
          <w:bCs/>
          <w:color w:val="DF2E20"/>
          <w:sz w:val="24"/>
          <w:szCs w:val="24"/>
          <w:lang w:eastAsia="ja-JP"/>
          <w14:ligatures w14:val="none"/>
        </w:rPr>
        <w:t>Zero Emissie Stadslogistiek (ZES)</w:t>
      </w:r>
      <w:r w:rsidRPr="00A45EEF">
        <w:rPr>
          <w:rFonts w:ascii="Arial" w:hAnsi="Arial" w:cs="Arial"/>
          <w:b/>
          <w:bCs/>
          <w:sz w:val="20"/>
          <w:szCs w:val="20"/>
        </w:rPr>
        <w:br/>
      </w:r>
      <w:r w:rsidRPr="00A45EEF">
        <w:rPr>
          <w:rFonts w:ascii="Open Sans" w:eastAsiaTheme="minorEastAsia" w:hAnsi="Open Sans" w:cstheme="minorBidi"/>
          <w:lang w:eastAsia="ja-JP"/>
          <w14:ligatures w14:val="none"/>
        </w:rPr>
        <w:t xml:space="preserve">Leiden heeft in 2019 de Green Deal Zero Emissie </w:t>
      </w:r>
      <w:proofErr w:type="gramStart"/>
      <w:r w:rsidRPr="00A45EEF">
        <w:rPr>
          <w:rFonts w:ascii="Open Sans" w:eastAsiaTheme="minorEastAsia" w:hAnsi="Open Sans" w:cstheme="minorBidi"/>
          <w:lang w:eastAsia="ja-JP"/>
          <w14:ligatures w14:val="none"/>
        </w:rPr>
        <w:t>Stadslogistiek(</w:t>
      </w:r>
      <w:proofErr w:type="gramEnd"/>
      <w:r w:rsidRPr="00A45EEF">
        <w:rPr>
          <w:rFonts w:ascii="Open Sans" w:eastAsiaTheme="minorEastAsia" w:hAnsi="Open Sans" w:cstheme="minorBidi"/>
          <w:lang w:eastAsia="ja-JP"/>
          <w14:ligatures w14:val="none"/>
        </w:rPr>
        <w:t>ZES) ondertekend. Hiermee is afgesproken om in 2025 een zero-emissie-zone in te voeren voor goederenvervoer. Alleen schone vervoersmiddelen mogen dan nog in de binnenstad rijden. Het doel van ZES is minder vervoersbewegingen, een schonere lucht en betere bereikbaarheid. Dat is goed voor de leefbaarheid en de economische vitaliteit van de (binnen)stad. Er zijn al mooie initiatieven en pilots waarmee we vooroplopen, zoals het leveren van gymmaterialen met e-vrachtwagens.</w:t>
      </w:r>
    </w:p>
    <w:p w14:paraId="29418C89" w14:textId="77777777" w:rsidR="00F94C7A" w:rsidRPr="002C1FEB" w:rsidRDefault="00F94C7A" w:rsidP="00F94C7A">
      <w:pPr>
        <w:spacing w:line="276" w:lineRule="auto"/>
        <w:rPr>
          <w:rFonts w:ascii="Open Sans" w:eastAsiaTheme="minorEastAsia" w:hAnsi="Open Sans" w:cstheme="minorBidi"/>
          <w:lang w:eastAsia="ja-JP"/>
          <w14:ligatures w14:val="none"/>
        </w:rPr>
      </w:pPr>
    </w:p>
    <w:p w14:paraId="52B929FA" w14:textId="3547426E" w:rsidR="00F94C7A" w:rsidRPr="002C1FEB" w:rsidRDefault="00F94C7A" w:rsidP="00F94C7A">
      <w:p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Vanaf het moment dat de ZES zone van kracht is, ondersteund door een verkeersbesluit, dient elke Opdrachtnemer zich hieraan te houden. (</w:t>
      </w:r>
      <w:r w:rsidRPr="00C4721A">
        <w:rPr>
          <w:rFonts w:ascii="Open Sans" w:eastAsiaTheme="minorEastAsia" w:hAnsi="Open Sans" w:cstheme="minorBidi"/>
          <w:highlight w:val="yellow"/>
          <w:lang w:eastAsia="ja-JP"/>
          <w14:ligatures w14:val="none"/>
        </w:rPr>
        <w:t>Bijlage</w:t>
      </w:r>
      <w:r w:rsidR="00C4721A" w:rsidRPr="00C4721A">
        <w:rPr>
          <w:rFonts w:ascii="Open Sans" w:eastAsiaTheme="minorEastAsia" w:hAnsi="Open Sans" w:cstheme="minorBidi"/>
          <w:highlight w:val="yellow"/>
          <w:lang w:eastAsia="ja-JP"/>
          <w14:ligatures w14:val="none"/>
        </w:rPr>
        <w:t xml:space="preserve"> X</w:t>
      </w:r>
      <w:r w:rsidRPr="002C1FEB">
        <w:rPr>
          <w:rFonts w:ascii="Open Sans" w:eastAsiaTheme="minorEastAsia" w:hAnsi="Open Sans" w:cstheme="minorBidi"/>
          <w:lang w:eastAsia="ja-JP"/>
          <w14:ligatures w14:val="none"/>
        </w:rPr>
        <w:t xml:space="preserve"> Flyer Zero Emissie Stadslogistiek). Landelijk is een overeenkomst bereikt over het toelatings- en overgangsregime voor zero emissie bestel- en vrachtauto’s. Dit houdt in om toegelaten te worden tot de zero-emissiezone: </w:t>
      </w:r>
    </w:p>
    <w:p w14:paraId="248C3D3B" w14:textId="77777777" w:rsidR="00F94C7A" w:rsidRPr="00292241"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Na 1 januari 2025 alle nieuwe voertuigen die op kenteken worden gezet;</w:t>
      </w:r>
    </w:p>
    <w:p w14:paraId="3315B901" w14:textId="77777777" w:rsidR="00F94C7A" w:rsidRPr="00292241" w:rsidRDefault="00F94C7A" w:rsidP="00F94C7A">
      <w:pPr>
        <w:pStyle w:val="Lijstalinea"/>
        <w:numPr>
          <w:ilvl w:val="0"/>
          <w:numId w:val="2"/>
        </w:num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Vanaf 1 januari 2030 alle bestel- en vrachtauto’s zero emissie moeten zijn, zie onderstaand tabel.</w:t>
      </w:r>
      <w:r>
        <w:rPr>
          <w:rFonts w:ascii="Open Sans" w:eastAsiaTheme="minorEastAsia" w:hAnsi="Open Sans" w:cstheme="minorBidi"/>
          <w:lang w:eastAsia="ja-JP"/>
          <w14:ligatures w14:val="none"/>
        </w:rPr>
        <w:br/>
      </w:r>
    </w:p>
    <w:tbl>
      <w:tblPr>
        <w:tblStyle w:val="Tabelraster"/>
        <w:tblW w:w="0" w:type="auto"/>
        <w:tblInd w:w="421" w:type="dxa"/>
        <w:tblLook w:val="04A0" w:firstRow="1" w:lastRow="0" w:firstColumn="1" w:lastColumn="0" w:noHBand="0" w:noVBand="1"/>
      </w:tblPr>
      <w:tblGrid>
        <w:gridCol w:w="1701"/>
        <w:gridCol w:w="6520"/>
      </w:tblGrid>
      <w:tr w:rsidR="00F94C7A" w:rsidRPr="00292241" w14:paraId="5F7814F0" w14:textId="77777777" w:rsidTr="00C4721A">
        <w:tc>
          <w:tcPr>
            <w:tcW w:w="1701" w:type="dxa"/>
          </w:tcPr>
          <w:p w14:paraId="63673A85" w14:textId="77777777" w:rsidR="00F94C7A" w:rsidRPr="00292241" w:rsidRDefault="00F94C7A" w:rsidP="00C4721A">
            <w:pPr>
              <w:spacing w:after="40" w:line="276" w:lineRule="auto"/>
              <w:rPr>
                <w:rFonts w:ascii="Open Sans" w:eastAsiaTheme="minorEastAsia" w:hAnsi="Open Sans" w:cstheme="minorBidi"/>
                <w:b/>
                <w:bCs/>
                <w:lang w:eastAsia="ja-JP"/>
                <w14:ligatures w14:val="none"/>
              </w:rPr>
            </w:pPr>
            <w:r w:rsidRPr="00292241">
              <w:rPr>
                <w:rFonts w:ascii="Open Sans" w:eastAsiaTheme="minorEastAsia" w:hAnsi="Open Sans" w:cstheme="minorBidi"/>
                <w:b/>
                <w:bCs/>
                <w:lang w:eastAsia="ja-JP"/>
                <w14:ligatures w14:val="none"/>
              </w:rPr>
              <w:lastRenderedPageBreak/>
              <w:t>Toegang uiterlijk tot</w:t>
            </w:r>
          </w:p>
        </w:tc>
        <w:tc>
          <w:tcPr>
            <w:tcW w:w="6520" w:type="dxa"/>
          </w:tcPr>
          <w:p w14:paraId="0A3CF462" w14:textId="77777777" w:rsidR="00F94C7A" w:rsidRPr="00292241" w:rsidRDefault="00F94C7A" w:rsidP="00C4721A">
            <w:pPr>
              <w:spacing w:after="40" w:line="276" w:lineRule="auto"/>
              <w:rPr>
                <w:rFonts w:ascii="Open Sans" w:eastAsiaTheme="minorEastAsia" w:hAnsi="Open Sans" w:cstheme="minorBidi"/>
                <w:b/>
                <w:bCs/>
                <w:lang w:eastAsia="ja-JP"/>
                <w14:ligatures w14:val="none"/>
              </w:rPr>
            </w:pPr>
            <w:r w:rsidRPr="00292241">
              <w:rPr>
                <w:rFonts w:ascii="Open Sans" w:eastAsiaTheme="minorEastAsia" w:hAnsi="Open Sans" w:cstheme="minorBidi"/>
                <w:b/>
                <w:bCs/>
                <w:lang w:eastAsia="ja-JP"/>
                <w14:ligatures w14:val="none"/>
              </w:rPr>
              <w:t>Soort vracht- en bestelauto’s</w:t>
            </w:r>
          </w:p>
        </w:tc>
      </w:tr>
      <w:tr w:rsidR="00F94C7A" w:rsidRPr="00292241" w14:paraId="20AEF481" w14:textId="77777777" w:rsidTr="00C4721A">
        <w:tc>
          <w:tcPr>
            <w:tcW w:w="1701" w:type="dxa"/>
          </w:tcPr>
          <w:p w14:paraId="1CC82404"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451A655A"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VI-vrachtwagens - bakwagens (max. 5 jaar oud)</w:t>
            </w:r>
          </w:p>
        </w:tc>
      </w:tr>
      <w:tr w:rsidR="00F94C7A" w:rsidRPr="00292241" w14:paraId="13AED5DA" w14:textId="77777777" w:rsidTr="00C4721A">
        <w:tc>
          <w:tcPr>
            <w:tcW w:w="1701" w:type="dxa"/>
          </w:tcPr>
          <w:p w14:paraId="72E6C54A"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1A2B8C37"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Euro VI-vrachtwagens - trekker-oplegger Combinatie (max. 8 jaar oud) </w:t>
            </w:r>
          </w:p>
        </w:tc>
      </w:tr>
      <w:tr w:rsidR="00F94C7A" w:rsidRPr="00292241" w14:paraId="0DECBD99" w14:textId="77777777" w:rsidTr="00C4721A">
        <w:tc>
          <w:tcPr>
            <w:tcW w:w="1701" w:type="dxa"/>
          </w:tcPr>
          <w:p w14:paraId="354EC4B1"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29DC927E"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Plug-in hybride vrachtauto’s (alleen als zij aantoonbaar en handhaafbaar emissie loos rijden).</w:t>
            </w:r>
          </w:p>
        </w:tc>
      </w:tr>
      <w:tr w:rsidR="00F94C7A" w:rsidRPr="00292241" w14:paraId="71B139F8" w14:textId="77777777" w:rsidTr="00C4721A">
        <w:tc>
          <w:tcPr>
            <w:tcW w:w="1701" w:type="dxa"/>
          </w:tcPr>
          <w:p w14:paraId="4E32578B"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2027</w:t>
            </w:r>
          </w:p>
        </w:tc>
        <w:tc>
          <w:tcPr>
            <w:tcW w:w="6520" w:type="dxa"/>
          </w:tcPr>
          <w:p w14:paraId="7C555BD7"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5 bestelauto’s</w:t>
            </w:r>
          </w:p>
        </w:tc>
      </w:tr>
      <w:tr w:rsidR="00F94C7A" w:rsidRPr="00292241" w14:paraId="2BAFDDD0" w14:textId="77777777" w:rsidTr="00C4721A">
        <w:tc>
          <w:tcPr>
            <w:tcW w:w="1701" w:type="dxa"/>
          </w:tcPr>
          <w:p w14:paraId="3709CA78"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2028</w:t>
            </w:r>
          </w:p>
        </w:tc>
        <w:tc>
          <w:tcPr>
            <w:tcW w:w="6520" w:type="dxa"/>
          </w:tcPr>
          <w:p w14:paraId="0DA91C50"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6 bestelauto’s</w:t>
            </w:r>
          </w:p>
        </w:tc>
      </w:tr>
    </w:tbl>
    <w:p w14:paraId="14DD499C" w14:textId="77777777" w:rsidR="00F94C7A" w:rsidRPr="00292241" w:rsidRDefault="00F94C7A" w:rsidP="00F94C7A">
      <w:pPr>
        <w:rPr>
          <w:rFonts w:ascii="Open Sans" w:eastAsiaTheme="minorEastAsia" w:hAnsi="Open Sans" w:cstheme="minorBidi"/>
          <w:lang w:eastAsia="ja-JP"/>
          <w14:ligatures w14:val="none"/>
        </w:rPr>
      </w:pPr>
    </w:p>
    <w:p w14:paraId="170D8D31"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 xml:space="preserve">Circulair (inclusief </w:t>
      </w:r>
      <w:proofErr w:type="spellStart"/>
      <w:r w:rsidRPr="006F0389">
        <w:rPr>
          <w:rFonts w:ascii="Open Sans" w:hAnsi="Open Sans"/>
          <w:bCs/>
          <w:color w:val="auto"/>
          <w:sz w:val="28"/>
          <w:szCs w:val="28"/>
          <w:lang w:eastAsia="ja-JP"/>
          <w14:ligatures w14:val="none"/>
        </w:rPr>
        <w:t>biobased</w:t>
      </w:r>
      <w:proofErr w:type="spellEnd"/>
      <w:r w:rsidRPr="006F0389">
        <w:rPr>
          <w:rFonts w:ascii="Open Sans" w:hAnsi="Open Sans"/>
          <w:bCs/>
          <w:color w:val="auto"/>
          <w:sz w:val="28"/>
          <w:szCs w:val="28"/>
          <w:lang w:eastAsia="ja-JP"/>
          <w14:ligatures w14:val="none"/>
        </w:rPr>
        <w:t>)</w:t>
      </w:r>
    </w:p>
    <w:p w14:paraId="7DEE50A3" w14:textId="77777777" w:rsidR="00F94C7A" w:rsidRDefault="00F94C7A" w:rsidP="00F94C7A">
      <w:pPr>
        <w:pStyle w:val="Introtekst"/>
        <w:numPr>
          <w:ilvl w:val="1"/>
          <w:numId w:val="0"/>
        </w:numPr>
      </w:pPr>
      <w:r w:rsidRPr="008764F3">
        <w:t xml:space="preserve">Het thema Circulair gaat om het helpen opbouwen van een circulaire economie. SDG 2 ‘geen honger’, SDG 6 ‘schoonwater en sanitair’, SDG 7 ‘betaalbare en duurzame energie’, SDG 8 ‘eerlijk werk en economische groei, SDG 9 ‘Industrie, innovatie en infrastructuur, SDG 11 ‘duurzame steden en gemeenschappen’, SDG 12 ‘verantwoordelijk consumptie en productie’, SDG 14 ‘Leven in het water’ en SDG 15 ‘leven op het land’ vallen onder dit thema.  Daarnaast zijn de onderstaande onderwerpen in het beleid opgenomen. </w:t>
      </w:r>
    </w:p>
    <w:p w14:paraId="3A987420" w14:textId="77777777" w:rsidR="00F94C7A" w:rsidRPr="00DC3889" w:rsidRDefault="00F94C7A" w:rsidP="00F94C7A">
      <w:pPr>
        <w:pStyle w:val="paragraph"/>
        <w:spacing w:before="0" w:beforeAutospacing="0" w:after="0" w:afterAutospacing="0"/>
        <w:textAlignment w:val="baseline"/>
        <w:rPr>
          <w:rFonts w:ascii="Open Sans" w:eastAsiaTheme="minorEastAsia" w:hAnsi="Open Sans" w:cstheme="minorBidi"/>
          <w:b/>
          <w:color w:val="DF2E20"/>
          <w:lang w:eastAsia="ja-JP"/>
        </w:rPr>
      </w:pPr>
    </w:p>
    <w:p w14:paraId="05ABD3A8" w14:textId="77777777" w:rsidR="00F94C7A" w:rsidRPr="006609E6" w:rsidRDefault="00F94C7A" w:rsidP="00F94C7A">
      <w:pPr>
        <w:pStyle w:val="paragraph"/>
        <w:spacing w:before="0" w:beforeAutospacing="0" w:after="0" w:afterAutospacing="0"/>
        <w:textAlignment w:val="baseline"/>
        <w:rPr>
          <w:rFonts w:ascii="Open Sans" w:eastAsiaTheme="minorEastAsia" w:hAnsi="Open Sans" w:cstheme="minorBidi"/>
          <w:sz w:val="22"/>
          <w:szCs w:val="22"/>
          <w:lang w:eastAsia="ja-JP"/>
        </w:rPr>
      </w:pPr>
      <w:r w:rsidRPr="006609E6">
        <w:rPr>
          <w:rFonts w:ascii="Open Sans" w:eastAsiaTheme="minorEastAsia" w:hAnsi="Open Sans" w:cstheme="minorBidi"/>
          <w:sz w:val="22"/>
          <w:szCs w:val="22"/>
          <w:lang w:eastAsia="ja-JP"/>
        </w:rPr>
        <w:t xml:space="preserve">De nationale doelstelling, zoals geformuleerd in het </w:t>
      </w:r>
      <w:proofErr w:type="spellStart"/>
      <w:r w:rsidRPr="006609E6">
        <w:rPr>
          <w:rFonts w:ascii="Open Sans" w:eastAsiaTheme="minorEastAsia" w:hAnsi="Open Sans" w:cstheme="minorBidi"/>
          <w:sz w:val="22"/>
          <w:szCs w:val="22"/>
          <w:lang w:eastAsia="ja-JP"/>
        </w:rPr>
        <w:t>Rijksbrede</w:t>
      </w:r>
      <w:proofErr w:type="spellEnd"/>
      <w:r w:rsidRPr="006609E6">
        <w:rPr>
          <w:rFonts w:ascii="Open Sans" w:eastAsiaTheme="minorEastAsia" w:hAnsi="Open Sans" w:cstheme="minorBidi"/>
          <w:sz w:val="22"/>
          <w:szCs w:val="22"/>
          <w:lang w:eastAsia="ja-JP"/>
        </w:rPr>
        <w:t xml:space="preserve"> programma ‘Nederland Circulair in 2050’ en die onderschreven is door de gemeente Leiden, is om in 2050 circulair te consumeren en te produceren. In 2030 willen we deze doelstelling voor 50% hebben bereikt. Veel natuur- en milieuproblemen zijn toe te schrijven aan grondstofverspilling. Door naar een circulaire economie toe te werken, zorgen we ervoor dat we minder afhankelijk zijn van de winning van nieuwe grondstoffen. We verlagen de milieu-impact door verantwoord om te gaan met materiaalgebruik en type materialen. </w:t>
      </w:r>
    </w:p>
    <w:p w14:paraId="2BE39A51" w14:textId="77777777" w:rsidR="00F94C7A" w:rsidRPr="006609E6" w:rsidRDefault="00F94C7A" w:rsidP="00F94C7A">
      <w:pPr>
        <w:pStyle w:val="paragraph"/>
        <w:spacing w:before="0" w:beforeAutospacing="0" w:after="0" w:afterAutospacing="0"/>
        <w:textAlignment w:val="baseline"/>
        <w:rPr>
          <w:rFonts w:ascii="Open Sans" w:eastAsiaTheme="minorEastAsia" w:hAnsi="Open Sans" w:cstheme="minorBidi"/>
          <w:sz w:val="22"/>
          <w:szCs w:val="22"/>
          <w:lang w:eastAsia="ja-JP"/>
        </w:rPr>
      </w:pPr>
    </w:p>
    <w:p w14:paraId="55A3D770" w14:textId="31615B2E" w:rsidR="00F94C7A" w:rsidRPr="007E1363" w:rsidRDefault="00F94C7A" w:rsidP="00F94C7A">
      <w:pPr>
        <w:pStyle w:val="paragraph"/>
        <w:spacing w:before="0" w:beforeAutospacing="0" w:after="0" w:afterAutospacing="0"/>
        <w:textAlignment w:val="baseline"/>
        <w:rPr>
          <w:rFonts w:ascii="Open Sans" w:eastAsiaTheme="minorEastAsia" w:hAnsi="Open Sans" w:cstheme="minorBidi"/>
          <w:sz w:val="22"/>
          <w:szCs w:val="22"/>
          <w:lang w:eastAsia="ja-JP"/>
        </w:rPr>
      </w:pPr>
      <w:r w:rsidRPr="006609E6">
        <w:rPr>
          <w:rFonts w:ascii="Open Sans" w:eastAsiaTheme="minorEastAsia" w:hAnsi="Open Sans" w:cstheme="minorBidi"/>
          <w:sz w:val="22"/>
          <w:szCs w:val="22"/>
          <w:lang w:eastAsia="ja-JP"/>
        </w:rPr>
        <w:t>De transitie naar een circulaire economie is een zeer grote maatschappelijke verandering met grote impact op bedrijven, maatschappelijke organisaties en inwoners van de stad. Om dat te bereiken zijn forse veranderingen nodig in het huidige economische systeem én in het denken en handelen van bedrijven en consumenten. Circulaire bouw is voor de gemeente een belangrijke pijler.  </w:t>
      </w:r>
      <w:r>
        <w:rPr>
          <w:rFonts w:ascii="Open Sans" w:eastAsiaTheme="minorEastAsia" w:hAnsi="Open Sans" w:cstheme="minorBidi"/>
          <w:color w:val="FF0000"/>
          <w:sz w:val="22"/>
          <w:szCs w:val="22"/>
          <w:lang w:eastAsia="ja-JP"/>
        </w:rPr>
        <w:t xml:space="preserve"> </w:t>
      </w:r>
      <w:r>
        <w:rPr>
          <w:rFonts w:ascii="Open Sans" w:eastAsiaTheme="minorEastAsia" w:hAnsi="Open Sans" w:cstheme="minorBidi"/>
          <w:color w:val="FF0000"/>
          <w:sz w:val="22"/>
          <w:szCs w:val="22"/>
          <w:lang w:eastAsia="ja-JP"/>
        </w:rPr>
        <w:br/>
      </w:r>
    </w:p>
    <w:p w14:paraId="098CBE81" w14:textId="77777777" w:rsidR="00F94C7A" w:rsidRPr="00DC3889" w:rsidRDefault="00F94C7A" w:rsidP="00F94C7A">
      <w:pPr>
        <w:rPr>
          <w:rFonts w:ascii="Open Sans" w:eastAsiaTheme="minorEastAsia" w:hAnsi="Open Sans" w:cstheme="minorBidi"/>
          <w:b/>
          <w:bCs/>
          <w:color w:val="DF2E20"/>
          <w:sz w:val="24"/>
          <w:szCs w:val="24"/>
          <w:lang w:eastAsia="ja-JP"/>
          <w14:ligatures w14:val="none"/>
        </w:rPr>
      </w:pPr>
      <w:r w:rsidRPr="00DC3889">
        <w:rPr>
          <w:rFonts w:ascii="Open Sans" w:eastAsiaTheme="minorEastAsia" w:hAnsi="Open Sans" w:cstheme="minorBidi"/>
          <w:b/>
          <w:bCs/>
          <w:color w:val="DF2E20"/>
          <w:sz w:val="24"/>
          <w:szCs w:val="24"/>
          <w:lang w:eastAsia="ja-JP"/>
          <w14:ligatures w14:val="none"/>
        </w:rPr>
        <w:t>Grondstoffenakkoord 2017</w:t>
      </w:r>
    </w:p>
    <w:p w14:paraId="77751408" w14:textId="77777777" w:rsidR="00F94C7A" w:rsidRPr="002C1FEB" w:rsidRDefault="00F94C7A" w:rsidP="00F94C7A">
      <w:p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Het Grondstoffenakkoord bevat afspraken van de Rijksoverheid met andere partijen over maatregelen om de transitie naar de circulaire economie te versnellen. De ambitie is om zuiniger en slimmer om te gaan met grondstoffen. Vanuit deze afspraken en om deze ambitie te </w:t>
      </w:r>
      <w:proofErr w:type="gramStart"/>
      <w:r w:rsidRPr="002C1FEB">
        <w:rPr>
          <w:rFonts w:ascii="Open Sans" w:eastAsiaTheme="minorEastAsia" w:hAnsi="Open Sans" w:cstheme="minorBidi"/>
          <w:lang w:eastAsia="ja-JP"/>
          <w14:ligatures w14:val="none"/>
        </w:rPr>
        <w:t>realiseren  is</w:t>
      </w:r>
      <w:proofErr w:type="gramEnd"/>
      <w:r w:rsidRPr="002C1FEB">
        <w:rPr>
          <w:rFonts w:ascii="Open Sans" w:eastAsiaTheme="minorEastAsia" w:hAnsi="Open Sans" w:cstheme="minorBidi"/>
          <w:lang w:eastAsia="ja-JP"/>
          <w14:ligatures w14:val="none"/>
        </w:rPr>
        <w:t xml:space="preserve"> het Programma Circulaire Economie ‘Nederland Circulair in </w:t>
      </w:r>
      <w:r w:rsidRPr="002C1FEB">
        <w:rPr>
          <w:rFonts w:ascii="Open Sans" w:eastAsiaTheme="minorEastAsia" w:hAnsi="Open Sans" w:cstheme="minorBidi"/>
          <w:lang w:eastAsia="ja-JP"/>
          <w14:ligatures w14:val="none"/>
        </w:rPr>
        <w:lastRenderedPageBreak/>
        <w:t xml:space="preserve">2050’ opgesteld. De volgende doelstellingen zijn opgesteld naar aanleiding van het grondstofakkoord: </w:t>
      </w:r>
    </w:p>
    <w:p w14:paraId="618E6772" w14:textId="77777777" w:rsidR="00F94C7A" w:rsidRPr="00EC0C93"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Voor Bouw/GWW wordt in 2023 100% circulair uitgevraagd.</w:t>
      </w:r>
    </w:p>
    <w:p w14:paraId="2F237A06" w14:textId="77777777" w:rsidR="00F94C7A" w:rsidRPr="00EC0C93"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Voor Bouw/GWW wordt in 2030 100% circulair aanbesteed.</w:t>
      </w:r>
    </w:p>
    <w:p w14:paraId="7F0D0A73" w14:textId="77777777" w:rsidR="00F94C7A" w:rsidRPr="00EC0C93"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In 2030 wordt 50% minder primaire grondstoffen gebruikt.</w:t>
      </w:r>
    </w:p>
    <w:p w14:paraId="3256C88D" w14:textId="77777777" w:rsidR="00F94C7A" w:rsidRPr="00EC0C93"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In 2050 100% zijn we circulair, dus geen grondstoffen met een negatieve milieu-impact. </w:t>
      </w:r>
    </w:p>
    <w:p w14:paraId="46589CEB" w14:textId="77777777" w:rsidR="00F94C7A" w:rsidRDefault="00F94C7A" w:rsidP="00F94C7A">
      <w:pPr>
        <w:rPr>
          <w:rFonts w:cs="Arial"/>
          <w:b/>
          <w:bCs/>
          <w:szCs w:val="20"/>
        </w:rPr>
      </w:pPr>
    </w:p>
    <w:p w14:paraId="5088B917" w14:textId="77777777" w:rsidR="00F94C7A" w:rsidRPr="00DC3889" w:rsidRDefault="00F94C7A" w:rsidP="00F94C7A">
      <w:pPr>
        <w:rPr>
          <w:rFonts w:ascii="Open Sans" w:eastAsiaTheme="minorEastAsia" w:hAnsi="Open Sans" w:cstheme="minorBidi"/>
          <w:b/>
          <w:bCs/>
          <w:color w:val="DF2E20"/>
          <w:sz w:val="24"/>
          <w:szCs w:val="24"/>
          <w:lang w:eastAsia="ja-JP"/>
          <w14:ligatures w14:val="none"/>
        </w:rPr>
      </w:pPr>
      <w:r w:rsidRPr="00DC3889">
        <w:rPr>
          <w:rFonts w:ascii="Open Sans" w:eastAsiaTheme="minorEastAsia" w:hAnsi="Open Sans" w:cstheme="minorBidi"/>
          <w:b/>
          <w:bCs/>
          <w:color w:val="DF2E20"/>
          <w:sz w:val="24"/>
          <w:szCs w:val="24"/>
          <w:lang w:eastAsia="ja-JP"/>
          <w14:ligatures w14:val="none"/>
        </w:rPr>
        <w:t xml:space="preserve">Betonakkoord </w:t>
      </w:r>
    </w:p>
    <w:p w14:paraId="28317967" w14:textId="77777777" w:rsidR="00F94C7A" w:rsidRPr="002C1FEB" w:rsidRDefault="00F94C7A" w:rsidP="00F94C7A">
      <w:p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Gemeente Leiden heeft zich in 2019 aangesloten bij het Betonakkoord. Het doel van het Betonakkoord is dat Partijen gezamenlijk invulling geven aan een betonsector- en keten brede inzet voor het reduceren van C02-emissie, het bevorderen van circulariteit, natuurlijk kapitaal en sociaal kapitaal als bijdragen aan de verduurzaming van de Nederlandse samenleving en economie. De reikwijdte van het Betonakkoord betreft alle betontoepassingen, zowel constructief als niet-constructief beton en zowel binnen de B&amp;U-sector als de GWW-sector. Partijen richten zich voor 2030 op de volgende doelstellingen: </w:t>
      </w:r>
    </w:p>
    <w:p w14:paraId="0D0B3A4A" w14:textId="77777777" w:rsidR="00F94C7A" w:rsidRPr="00970CC5" w:rsidRDefault="00F94C7A" w:rsidP="00F94C7A">
      <w:pPr>
        <w:spacing w:line="276" w:lineRule="auto"/>
        <w:ind w:left="360"/>
        <w:rPr>
          <w:rFonts w:ascii="Arial" w:hAnsi="Arial" w:cs="Arial"/>
          <w:sz w:val="20"/>
          <w:szCs w:val="18"/>
        </w:rPr>
      </w:pPr>
    </w:p>
    <w:p w14:paraId="02C7E282"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Samenwerking in de betonketen voor verdere verduurzaming; </w:t>
      </w:r>
    </w:p>
    <w:p w14:paraId="49493C7D"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Consistente uitvraag van duurzaam beton; </w:t>
      </w:r>
    </w:p>
    <w:p w14:paraId="19A26826"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Vermindering van de C02-uitstoot in de betonketen met minimaal 30% t.o.v. 1990 gericht op de nationale C02-reductie ambitie van 49%.</w:t>
      </w:r>
    </w:p>
    <w:p w14:paraId="06823108"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100% hergebruik van vrijkomend beton (grondstoffen, elementen en componenten), waarbij transparantie is over de herkomst en samenstelling van het beton dat gerecycleerd wordt, t.b.v. de kwaliteit voor toekomstig hergebruik en aansluiting gezocht wordt bij erkende keurmerken en meetmethodes; </w:t>
      </w:r>
    </w:p>
    <w:p w14:paraId="4B9FAE5D"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Het creëren van een netto positieve waarde van natuurlijk kapitaal in de betonsector; </w:t>
      </w:r>
    </w:p>
    <w:p w14:paraId="47F0F0F0"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Het bevorderen van innovaties en sociaal kapitaal.</w:t>
      </w:r>
    </w:p>
    <w:p w14:paraId="01580826" w14:textId="77777777" w:rsidR="00F94C7A" w:rsidRDefault="00F94C7A" w:rsidP="00F94C7A">
      <w:pPr>
        <w:pStyle w:val="Lijstalinea"/>
        <w:spacing w:line="276" w:lineRule="auto"/>
        <w:ind w:left="0"/>
        <w:rPr>
          <w:rFonts w:ascii="Arial" w:hAnsi="Arial" w:cs="Arial"/>
          <w:sz w:val="20"/>
          <w:szCs w:val="18"/>
        </w:rPr>
      </w:pPr>
    </w:p>
    <w:p w14:paraId="293D4EEE" w14:textId="77777777" w:rsidR="00F94C7A" w:rsidRDefault="00F94C7A" w:rsidP="00F94C7A">
      <w:pPr>
        <w:pStyle w:val="Lijstalinea"/>
        <w:spacing w:line="276" w:lineRule="auto"/>
        <w:ind w:left="0"/>
        <w:rPr>
          <w:rFonts w:ascii="Arial" w:hAnsi="Arial" w:cs="Arial"/>
          <w:sz w:val="20"/>
          <w:szCs w:val="18"/>
        </w:rPr>
      </w:pPr>
      <w:r w:rsidRPr="00EC0C93">
        <w:rPr>
          <w:rFonts w:ascii="Open Sans" w:eastAsiaTheme="minorEastAsia" w:hAnsi="Open Sans" w:cstheme="minorBidi"/>
          <w:lang w:eastAsia="ja-JP"/>
          <w14:ligatures w14:val="none"/>
        </w:rPr>
        <w:t xml:space="preserve">Vanaf 1 oktober zijn er nieuwe MKI- en circulariteitseisen van kracht, die een belangrijke stap betekenen naar een meer duurzame bouwsector. Meer informatie is te vinden op: </w:t>
      </w:r>
      <w:hyperlink r:id="rId11" w:history="1">
        <w:r w:rsidRPr="001E5581">
          <w:rPr>
            <w:rStyle w:val="Hyperlink"/>
            <w:rFonts w:ascii="Arial" w:hAnsi="Arial" w:cs="Arial"/>
            <w:szCs w:val="20"/>
          </w:rPr>
          <w:t>Nieuwe MKI Plafondwaarden en Circulariteitseisen 2023 voor de bouwsector - Betonakkoord</w:t>
        </w:r>
      </w:hyperlink>
      <w:r w:rsidRPr="001E5581">
        <w:rPr>
          <w:rStyle w:val="Hyperlink"/>
          <w:rFonts w:ascii="Arial" w:hAnsi="Arial" w:cs="Arial"/>
          <w:szCs w:val="20"/>
        </w:rPr>
        <w:t>.</w:t>
      </w:r>
      <w:r>
        <w:t xml:space="preserve"> </w:t>
      </w:r>
    </w:p>
    <w:p w14:paraId="65601E9D" w14:textId="0C94A375" w:rsidR="00F94C7A" w:rsidRPr="00907207" w:rsidRDefault="00F94C7A" w:rsidP="006E7B27">
      <w:pPr>
        <w:spacing w:after="160" w:line="259" w:lineRule="auto"/>
        <w:rPr>
          <w:rFonts w:ascii="Open Sans" w:eastAsiaTheme="minorEastAsia" w:hAnsi="Open Sans" w:cstheme="minorBidi"/>
          <w:lang w:eastAsia="ja-JP"/>
        </w:rPr>
      </w:pPr>
      <w:r>
        <w:rPr>
          <w:rFonts w:ascii="Open Sans" w:eastAsiaTheme="minorEastAsia" w:hAnsi="Open Sans" w:cstheme="minorBidi"/>
          <w:lang w:eastAsia="ja-JP"/>
        </w:rPr>
        <w:br w:type="page"/>
      </w:r>
      <w:r w:rsidRPr="00907207">
        <w:rPr>
          <w:rFonts w:ascii="Open Sans" w:eastAsiaTheme="minorEastAsia" w:hAnsi="Open Sans" w:cstheme="minorBidi"/>
          <w:lang w:eastAsia="ja-JP"/>
        </w:rPr>
        <w:lastRenderedPageBreak/>
        <w:t>  </w:t>
      </w:r>
    </w:p>
    <w:p w14:paraId="33835ED1"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proofErr w:type="spellStart"/>
      <w:r w:rsidRPr="006F0389">
        <w:rPr>
          <w:rFonts w:ascii="Open Sans" w:hAnsi="Open Sans"/>
          <w:bCs/>
          <w:color w:val="auto"/>
          <w:sz w:val="28"/>
          <w:szCs w:val="28"/>
          <w:lang w:eastAsia="ja-JP"/>
          <w14:ligatures w14:val="none"/>
        </w:rPr>
        <w:t>Social</w:t>
      </w:r>
      <w:proofErr w:type="spellEnd"/>
      <w:r w:rsidRPr="006F0389">
        <w:rPr>
          <w:rFonts w:ascii="Open Sans" w:hAnsi="Open Sans"/>
          <w:bCs/>
          <w:color w:val="auto"/>
          <w:sz w:val="28"/>
          <w:szCs w:val="28"/>
          <w:lang w:eastAsia="ja-JP"/>
          <w14:ligatures w14:val="none"/>
        </w:rPr>
        <w:t xml:space="preserve"> Return</w:t>
      </w:r>
    </w:p>
    <w:p w14:paraId="51D937C4" w14:textId="77777777" w:rsidR="00F94C7A" w:rsidRDefault="00F94C7A" w:rsidP="00F94C7A">
      <w:pPr>
        <w:pStyle w:val="Introtekst"/>
        <w:numPr>
          <w:ilvl w:val="1"/>
          <w:numId w:val="0"/>
        </w:numPr>
      </w:pPr>
      <w:r w:rsidRPr="008764F3">
        <w:t xml:space="preserve">Het bieden van eerlijke kansen aan mensen met een afstand tot de arbeidsmarkt in lijn met het streven naar een diverse en inclusieve samenleving. </w:t>
      </w:r>
      <w:proofErr w:type="spellStart"/>
      <w:r w:rsidRPr="008764F3">
        <w:t>SDG’s</w:t>
      </w:r>
      <w:proofErr w:type="spellEnd"/>
      <w:r w:rsidRPr="008764F3">
        <w:t xml:space="preserve"> 8 ‘’Eerlijk werk en economische groei, SDG 10 ‘Ongelijkheid verminderen en SDG 12 ‘Verantwoorde consumptie en productie en mogelijk SDG’ 1 ‘Geen armoede’ en SDG 4 ‘Kwaliteitsonderwijs’. Daarnaast wordt SROI toegepast zijn de onderstaande onderwerpen in het beleid opgenomen, dit ook voor de deelgemeentes. </w:t>
      </w:r>
    </w:p>
    <w:p w14:paraId="153D2AC1" w14:textId="77777777" w:rsidR="00F94C7A" w:rsidRDefault="00F94C7A" w:rsidP="00F94C7A"/>
    <w:p w14:paraId="669DEBB4" w14:textId="77777777" w:rsidR="00F94C7A" w:rsidRPr="00DC3889" w:rsidRDefault="00F94C7A" w:rsidP="00F94C7A">
      <w:pPr>
        <w:rPr>
          <w:rFonts w:ascii="Open Sans" w:eastAsiaTheme="minorEastAsia" w:hAnsi="Open Sans" w:cstheme="minorBidi"/>
          <w:b/>
          <w:bCs/>
          <w:color w:val="DF2E20"/>
          <w:sz w:val="24"/>
          <w:szCs w:val="24"/>
          <w:lang w:eastAsia="ja-JP"/>
          <w14:ligatures w14:val="none"/>
        </w:rPr>
      </w:pPr>
      <w:r w:rsidRPr="00DC3889">
        <w:rPr>
          <w:rFonts w:ascii="Open Sans" w:eastAsiaTheme="minorEastAsia" w:hAnsi="Open Sans" w:cstheme="minorBidi"/>
          <w:b/>
          <w:bCs/>
          <w:color w:val="DF2E20"/>
          <w:sz w:val="24"/>
          <w:szCs w:val="24"/>
          <w:lang w:eastAsia="ja-JP"/>
          <w14:ligatures w14:val="none"/>
        </w:rPr>
        <w:t xml:space="preserve">Beleid </w:t>
      </w:r>
      <w:proofErr w:type="spellStart"/>
      <w:r w:rsidRPr="00DC3889">
        <w:rPr>
          <w:rFonts w:ascii="Open Sans" w:eastAsiaTheme="minorEastAsia" w:hAnsi="Open Sans" w:cstheme="minorBidi"/>
          <w:b/>
          <w:bCs/>
          <w:color w:val="DF2E20"/>
          <w:sz w:val="24"/>
          <w:szCs w:val="24"/>
          <w:lang w:eastAsia="ja-JP"/>
          <w14:ligatures w14:val="none"/>
        </w:rPr>
        <w:t>Social</w:t>
      </w:r>
      <w:proofErr w:type="spellEnd"/>
      <w:r w:rsidRPr="00DC3889">
        <w:rPr>
          <w:rFonts w:ascii="Open Sans" w:eastAsiaTheme="minorEastAsia" w:hAnsi="Open Sans" w:cstheme="minorBidi"/>
          <w:b/>
          <w:bCs/>
          <w:color w:val="DF2E20"/>
          <w:sz w:val="24"/>
          <w:szCs w:val="24"/>
          <w:lang w:eastAsia="ja-JP"/>
          <w14:ligatures w14:val="none"/>
        </w:rPr>
        <w:t xml:space="preserve"> Return</w:t>
      </w:r>
    </w:p>
    <w:p w14:paraId="53683E11" w14:textId="77777777" w:rsidR="00F94C7A" w:rsidRPr="00292241" w:rsidRDefault="00F94C7A" w:rsidP="00F94C7A">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Niet iedereen kan gemakkelijk meedoen in het werkproces. De overheid kan bij het geven van opdrachten aan bedrijven eisen stellen of aanmoedigen dat zij ook mensen met minder kansen op werk betrekken. Dit kan door banen te creëren en leerplekken aan te bieden. Dit geeft mensen met minder kans op werk de gelegenheid om ervaring op te doen, wat hen helpt om beter werk te vinden. Dit heet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(on Investment)'.</w:t>
      </w:r>
    </w:p>
    <w:p w14:paraId="6121FEAC" w14:textId="77777777" w:rsidR="00F94C7A" w:rsidRPr="00292241" w:rsidRDefault="00F94C7A" w:rsidP="00F94C7A">
      <w:pPr>
        <w:spacing w:line="276" w:lineRule="auto"/>
        <w:rPr>
          <w:rFonts w:ascii="Open Sans" w:eastAsiaTheme="minorEastAsia" w:hAnsi="Open Sans" w:cstheme="minorBidi"/>
          <w:lang w:eastAsia="ja-JP"/>
          <w14:ligatures w14:val="none"/>
        </w:rPr>
      </w:pPr>
    </w:p>
    <w:p w14:paraId="7033E6EC" w14:textId="77777777" w:rsidR="00F94C7A" w:rsidRPr="00292241" w:rsidRDefault="00F94C7A" w:rsidP="00F94C7A">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De Aanbestedende dienst is groot voorstander van de inzet van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bij Aanbestedingen.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is daarom een vast onderdeel van het inkoopbeleid, om duurzaamheid te bevorderen.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wordt toegepast bij opdrachten voor werk, diensten en leveringen. Hierbij wordt rekening gehouden met de situatie op de arbeidsmarkt, de grootte van de opdracht, de steun voor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het soort werk dat gedaan moet worden, de beschikbare geschikte kandidaten en de ervaring die zowel de instantie als de bedrijven hebben met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w:t>
      </w:r>
    </w:p>
    <w:p w14:paraId="122ECECB" w14:textId="77777777" w:rsidR="00F94C7A" w:rsidRPr="00292241" w:rsidRDefault="00F94C7A" w:rsidP="00F94C7A">
      <w:pPr>
        <w:spacing w:line="276" w:lineRule="auto"/>
        <w:ind w:left="360"/>
        <w:rPr>
          <w:rFonts w:ascii="Open Sans" w:eastAsiaTheme="minorEastAsia" w:hAnsi="Open Sans" w:cstheme="minorBidi"/>
          <w:lang w:eastAsia="ja-JP"/>
          <w14:ligatures w14:val="none"/>
        </w:rPr>
      </w:pPr>
    </w:p>
    <w:p w14:paraId="28BFFA52" w14:textId="77777777" w:rsidR="00F94C7A" w:rsidRPr="00292241" w:rsidRDefault="00F94C7A" w:rsidP="00F94C7A">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Meestal vinden bedrijven maatschappelijk verantwoord ondernemen belangrijk. Ze willen werkzoekenden en leerlingen de kans geven. Het bedrijf hoeft zelf geen geschikte kandidaten te vinden. Om Opdrachtnemer te ontlasten is namens de Aanbestedende dienst een projectorganisatie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beschikbaar die Opdrachtnemer kan adviseren en helpen bij het zoeken van geschikte kandidaten met affiniteit met het voorhanden Werk.</w:t>
      </w:r>
    </w:p>
    <w:p w14:paraId="67F2D495" w14:textId="77777777" w:rsidR="00F94C7A" w:rsidRPr="00292241" w:rsidRDefault="00F94C7A" w:rsidP="00F94C7A">
      <w:pPr>
        <w:spacing w:line="276" w:lineRule="auto"/>
        <w:ind w:left="360"/>
        <w:rPr>
          <w:rFonts w:ascii="Open Sans" w:eastAsiaTheme="minorEastAsia" w:hAnsi="Open Sans" w:cstheme="minorBidi"/>
          <w:lang w:eastAsia="ja-JP"/>
          <w14:ligatures w14:val="none"/>
        </w:rPr>
      </w:pPr>
    </w:p>
    <w:p w14:paraId="69D24C31" w14:textId="77777777" w:rsidR="00F94C7A" w:rsidRDefault="00F94C7A" w:rsidP="00F94C7A">
      <w:pPr>
        <w:spacing w:line="276" w:lineRule="auto"/>
        <w:rPr>
          <w:rFonts w:ascii="Arial" w:hAnsi="Arial" w:cs="Arial"/>
          <w:sz w:val="20"/>
          <w:szCs w:val="20"/>
        </w:rPr>
      </w:pPr>
      <w:r w:rsidRPr="00292241">
        <w:rPr>
          <w:rFonts w:ascii="Open Sans" w:eastAsiaTheme="minorEastAsia" w:hAnsi="Open Sans" w:cstheme="minorBidi"/>
          <w:lang w:eastAsia="ja-JP"/>
          <w14:ligatures w14:val="none"/>
        </w:rPr>
        <w:t>Samen met de projectorganisatie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en Opdrachtnemer wordt er gezocht naar geschikte kandidaten en gemotiveerde leerlingen die passen bij de opdracht. Zo hoeft het de Opdrachtnemer minder moeite te doen om deze mensen te vinden. Als het bedrijf zelf initiatief toont om aan de eisen van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te voldoen, wordt dit zeker gewaardeerd, zolang het bedrijf maar recentelijk inspanningen heeft gedaan om </w:t>
      </w:r>
      <w:r w:rsidRPr="00292241">
        <w:rPr>
          <w:rFonts w:ascii="Open Sans" w:eastAsiaTheme="minorEastAsia" w:hAnsi="Open Sans" w:cstheme="minorBidi"/>
          <w:lang w:eastAsia="ja-JP"/>
          <w14:ligatures w14:val="none"/>
        </w:rPr>
        <w:lastRenderedPageBreak/>
        <w:t xml:space="preserve">mensen met minder kansen op werk te helpen. Meer informatie hierover is te vinden op deze website: </w:t>
      </w:r>
      <w:hyperlink r:id="rId12" w:history="1">
        <w:r w:rsidRPr="00DB5A46">
          <w:rPr>
            <w:rStyle w:val="Hyperlink"/>
            <w:rFonts w:ascii="Arial" w:hAnsi="Arial" w:cs="Arial"/>
            <w:szCs w:val="20"/>
          </w:rPr>
          <w:t>https://www.dzb.nl/social-return/</w:t>
        </w:r>
      </w:hyperlink>
      <w:r>
        <w:rPr>
          <w:rStyle w:val="Hyperlink"/>
          <w:rFonts w:ascii="Arial" w:hAnsi="Arial" w:cs="Arial"/>
          <w:sz w:val="20"/>
          <w:szCs w:val="20"/>
        </w:rPr>
        <w:t>.</w:t>
      </w:r>
      <w:r>
        <w:rPr>
          <w:rFonts w:ascii="Arial" w:hAnsi="Arial" w:cs="Arial"/>
          <w:sz w:val="20"/>
          <w:szCs w:val="20"/>
        </w:rPr>
        <w:t xml:space="preserve"> </w:t>
      </w:r>
    </w:p>
    <w:p w14:paraId="43C1DB80" w14:textId="77777777" w:rsidR="00F94C7A" w:rsidRDefault="00F94C7A" w:rsidP="00F94C7A">
      <w:pPr>
        <w:spacing w:line="276" w:lineRule="auto"/>
        <w:ind w:left="360"/>
        <w:rPr>
          <w:rFonts w:ascii="Arial" w:hAnsi="Arial" w:cs="Arial"/>
          <w:sz w:val="20"/>
          <w:szCs w:val="20"/>
        </w:rPr>
      </w:pPr>
    </w:p>
    <w:p w14:paraId="7F0EA652" w14:textId="77777777" w:rsidR="00F94C7A" w:rsidRDefault="00F94C7A" w:rsidP="00F94C7A">
      <w:pPr>
        <w:spacing w:line="276" w:lineRule="auto"/>
        <w:rPr>
          <w:rFonts w:ascii="Arial" w:hAnsi="Arial" w:cs="Arial"/>
          <w:sz w:val="20"/>
          <w:szCs w:val="20"/>
        </w:rPr>
      </w:pPr>
      <w:r w:rsidRPr="00292241">
        <w:rPr>
          <w:rFonts w:ascii="Open Sans" w:eastAsiaTheme="minorEastAsia" w:hAnsi="Open Sans" w:cstheme="minorBidi"/>
          <w:lang w:eastAsia="ja-JP"/>
          <w14:ligatures w14:val="none"/>
        </w:rPr>
        <w:t xml:space="preserve">Opdrachtnemer neemt binnen 7 dagen na definitieve gunning contact op met de projectleider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van de gemeente Leiden via e-mailadres </w:t>
      </w:r>
      <w:hyperlink r:id="rId13" w:history="1">
        <w:r w:rsidRPr="001217BD">
          <w:rPr>
            <w:rStyle w:val="Hyperlink"/>
            <w:rFonts w:ascii="Arial" w:hAnsi="Arial" w:cs="Arial"/>
            <w:szCs w:val="20"/>
          </w:rPr>
          <w:t>projectSROI@leiden.nl</w:t>
        </w:r>
      </w:hyperlink>
      <w:r w:rsidRPr="00B17379">
        <w:rPr>
          <w:rFonts w:ascii="Arial" w:hAnsi="Arial" w:cs="Arial"/>
          <w:sz w:val="20"/>
          <w:szCs w:val="20"/>
        </w:rPr>
        <w:t>.</w:t>
      </w:r>
    </w:p>
    <w:p w14:paraId="700F9C69" w14:textId="77777777" w:rsidR="00F94C7A" w:rsidRDefault="00F94C7A" w:rsidP="00F94C7A">
      <w:pPr>
        <w:spacing w:line="276" w:lineRule="auto"/>
        <w:ind w:left="360"/>
        <w:rPr>
          <w:rFonts w:ascii="Arial" w:hAnsi="Arial" w:cs="Arial"/>
          <w:sz w:val="20"/>
          <w:szCs w:val="20"/>
        </w:rPr>
      </w:pPr>
    </w:p>
    <w:p w14:paraId="21F05578" w14:textId="77777777" w:rsidR="00F94C7A" w:rsidRPr="00DC3889" w:rsidRDefault="00F94C7A" w:rsidP="00F94C7A">
      <w:pPr>
        <w:rPr>
          <w:rFonts w:ascii="Open Sans" w:eastAsiaTheme="minorEastAsia" w:hAnsi="Open Sans" w:cstheme="minorBidi"/>
          <w:b/>
          <w:bCs/>
          <w:color w:val="DF2E20"/>
          <w:sz w:val="24"/>
          <w:szCs w:val="24"/>
          <w:lang w:eastAsia="ja-JP"/>
          <w14:ligatures w14:val="none"/>
        </w:rPr>
      </w:pPr>
      <w:r w:rsidRPr="00DC3889">
        <w:rPr>
          <w:rFonts w:ascii="Open Sans" w:eastAsiaTheme="minorEastAsia" w:hAnsi="Open Sans" w:cstheme="minorBidi"/>
          <w:b/>
          <w:bCs/>
          <w:color w:val="DF2E20"/>
          <w:sz w:val="24"/>
          <w:szCs w:val="24"/>
          <w:lang w:eastAsia="ja-JP"/>
          <w14:ligatures w14:val="none"/>
        </w:rPr>
        <w:t>Motie21</w:t>
      </w:r>
    </w:p>
    <w:p w14:paraId="1C0B90AC" w14:textId="77777777" w:rsidR="00F94C7A" w:rsidRPr="00292241" w:rsidRDefault="00F94C7A" w:rsidP="00F94C7A">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Motie21 is een gemeentelijk besluit van Leiden die tot stand is gekomen in 2002. In de voorbereiding wordt er gekeken of een deel van de opdracht bij DZB onder gebracht kan worden. Wanneer dit van toepassing is wordt dit beschreven in de Aanbestedingsleidraad en wat de samenwerking gaat zijn tussen Opdrachtnemer en DZB. </w:t>
      </w:r>
    </w:p>
    <w:p w14:paraId="02B9D32E" w14:textId="77777777" w:rsidR="00F94C7A" w:rsidRDefault="00F94C7A" w:rsidP="00F94C7A">
      <w:pPr>
        <w:spacing w:after="160" w:line="259" w:lineRule="auto"/>
        <w:rPr>
          <w:rFonts w:ascii="Arial" w:hAnsi="Arial" w:cs="Arial"/>
          <w:sz w:val="20"/>
          <w:szCs w:val="20"/>
        </w:rPr>
      </w:pPr>
      <w:r>
        <w:rPr>
          <w:rFonts w:ascii="Arial" w:hAnsi="Arial" w:cs="Arial"/>
          <w:sz w:val="20"/>
          <w:szCs w:val="20"/>
        </w:rPr>
        <w:br w:type="page"/>
      </w:r>
    </w:p>
    <w:p w14:paraId="2DE74422"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Diversiteit en Inclusie</w:t>
      </w:r>
    </w:p>
    <w:p w14:paraId="1C2D9D94" w14:textId="77777777" w:rsidR="00F94C7A" w:rsidRPr="008764F3" w:rsidRDefault="00F94C7A" w:rsidP="00F94C7A">
      <w:pPr>
        <w:pStyle w:val="Introtekst"/>
        <w:numPr>
          <w:ilvl w:val="1"/>
          <w:numId w:val="0"/>
        </w:numPr>
      </w:pPr>
      <w:r w:rsidRPr="00EE29E0">
        <w:t xml:space="preserve">Het stimuleren van een diverse en inclusieve samenleving en bedrijfsleven waarin iedereen wordt behandeld en beoordeeld op wat ze kunnen en niet op wie ze zijn, van wie ze houden, waar ze vandaan komen of wat ze geloven. </w:t>
      </w:r>
      <w:r w:rsidRPr="008764F3">
        <w:t>SDG 10</w:t>
      </w:r>
      <w:r w:rsidRPr="00331895">
        <w:t xml:space="preserve"> </w:t>
      </w:r>
      <w:r>
        <w:t xml:space="preserve">‘Ongelijkheid verminderen’, </w:t>
      </w:r>
      <w:r w:rsidRPr="008764F3">
        <w:t>SDG 12</w:t>
      </w:r>
      <w:r w:rsidRPr="00331895">
        <w:t xml:space="preserve"> ‘verantwoordelijk consumptie en productie’</w:t>
      </w:r>
      <w:r>
        <w:t xml:space="preserve"> en mogelijk </w:t>
      </w:r>
      <w:r w:rsidRPr="008764F3">
        <w:t>SDG 4</w:t>
      </w:r>
      <w:r w:rsidRPr="00331895">
        <w:t xml:space="preserve"> ‘</w:t>
      </w:r>
      <w:r>
        <w:t xml:space="preserve">kwaliteitsonderwijs, </w:t>
      </w:r>
      <w:r w:rsidRPr="008764F3">
        <w:t>SDG 5</w:t>
      </w:r>
      <w:r>
        <w:t xml:space="preserve"> ‘gendergelijkheid’, </w:t>
      </w:r>
      <w:r w:rsidRPr="008764F3">
        <w:t>SDG 8</w:t>
      </w:r>
      <w:r>
        <w:t xml:space="preserve"> ‘eerlijk werk en economische groei, </w:t>
      </w:r>
      <w:r w:rsidRPr="008764F3">
        <w:t>SDG 9</w:t>
      </w:r>
      <w:r>
        <w:t xml:space="preserve"> ‘Industrie, innovatie en infrastructuur, en </w:t>
      </w:r>
      <w:r w:rsidRPr="008764F3">
        <w:t>SDG 11</w:t>
      </w:r>
      <w:r w:rsidRPr="00331895">
        <w:t xml:space="preserve"> ‘duurzame steden en gemeenschappen’</w:t>
      </w:r>
      <w:r>
        <w:t xml:space="preserve">. </w:t>
      </w:r>
      <w:r w:rsidRPr="00331895">
        <w:t xml:space="preserve">Daarnaast zijn de onderstaande onderwerpen in het beleid opgenomen. </w:t>
      </w:r>
    </w:p>
    <w:p w14:paraId="1D02FD5A" w14:textId="77777777" w:rsidR="00F94C7A" w:rsidRDefault="00F94C7A" w:rsidP="00F94C7A">
      <w:r>
        <w:rPr>
          <w:rFonts w:ascii="Open Sans" w:eastAsiaTheme="minorEastAsia" w:hAnsi="Open Sans" w:cstheme="minorBidi"/>
          <w:lang w:eastAsia="ja-JP"/>
          <w14:ligatures w14:val="none"/>
        </w:rPr>
        <w:t xml:space="preserve">Op dit moment is er een handboek gemaakt voor diversiteit en inclusie. De gemeente maakt hier gebruik van om vooraf een keuze te maken wat wordt meegenomen in de </w:t>
      </w:r>
      <w:r w:rsidRPr="00F94C7A">
        <w:rPr>
          <w:rFonts w:ascii="Open Sans" w:eastAsiaTheme="minorEastAsia" w:hAnsi="Open Sans" w:cs="Open Sans"/>
          <w:lang w:eastAsia="ja-JP"/>
          <w14:ligatures w14:val="none"/>
        </w:rPr>
        <w:t xml:space="preserve">aanbesteding. </w:t>
      </w:r>
      <w:r w:rsidRPr="00F94C7A">
        <w:rPr>
          <w:rFonts w:ascii="Open Sans" w:eastAsia="Calibri" w:hAnsi="Open Sans" w:cs="Open Sans"/>
          <w:b/>
          <w:bCs/>
        </w:rPr>
        <w:t>(</w:t>
      </w:r>
      <w:hyperlink r:id="rId14" w:history="1">
        <w:r w:rsidRPr="00F94C7A">
          <w:rPr>
            <w:rStyle w:val="Hyperlink"/>
            <w:rFonts w:ascii="Open Sans" w:hAnsi="Open Sans" w:cs="Open Sans"/>
          </w:rPr>
          <w:t>Diversiteit en Inclusie in Aanbestedingen (pianoo.nl)</w:t>
        </w:r>
      </w:hyperlink>
      <w:r w:rsidRPr="00F94C7A">
        <w:rPr>
          <w:rStyle w:val="Hyperlink"/>
          <w:rFonts w:ascii="Open Sans" w:hAnsi="Open Sans" w:cs="Open Sans"/>
        </w:rPr>
        <w:t>).</w:t>
      </w:r>
      <w:r>
        <w:t xml:space="preserve"> </w:t>
      </w:r>
    </w:p>
    <w:p w14:paraId="16BE1D38" w14:textId="77777777" w:rsidR="00F94C7A" w:rsidRDefault="00F94C7A" w:rsidP="00F94C7A">
      <w:pPr>
        <w:spacing w:after="160" w:line="259" w:lineRule="auto"/>
      </w:pPr>
      <w:r>
        <w:br w:type="page"/>
      </w:r>
    </w:p>
    <w:p w14:paraId="1673B7AD"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Ketenverantwoordelijkheid (Internationale Sociale</w:t>
      </w:r>
      <w:r>
        <w:rPr>
          <w:rFonts w:ascii="Open Sans" w:hAnsi="Open Sans"/>
          <w:bCs/>
          <w:color w:val="auto"/>
          <w:sz w:val="28"/>
          <w:szCs w:val="28"/>
          <w:lang w:eastAsia="ja-JP"/>
          <w14:ligatures w14:val="none"/>
        </w:rPr>
        <w:t xml:space="preserve"> </w:t>
      </w:r>
      <w:r w:rsidRPr="006F0389">
        <w:rPr>
          <w:rFonts w:ascii="Open Sans" w:hAnsi="Open Sans"/>
          <w:bCs/>
          <w:color w:val="auto"/>
          <w:sz w:val="28"/>
          <w:szCs w:val="28"/>
          <w:lang w:eastAsia="ja-JP"/>
          <w14:ligatures w14:val="none"/>
        </w:rPr>
        <w:t>Voorwaarden)</w:t>
      </w:r>
    </w:p>
    <w:p w14:paraId="705A2284" w14:textId="77777777" w:rsidR="00F94C7A" w:rsidRPr="00EC3E77" w:rsidRDefault="00F94C7A" w:rsidP="00F94C7A">
      <w:pPr>
        <w:pStyle w:val="Ondertitel"/>
        <w:rPr>
          <w:rFonts w:ascii="Open Sans SemiBold" w:hAnsi="Open Sans SemiBold"/>
          <w:color w:val="auto"/>
          <w:spacing w:val="0"/>
          <w:sz w:val="24"/>
          <w:lang w:eastAsia="ja-JP"/>
          <w14:ligatures w14:val="none"/>
        </w:rPr>
      </w:pPr>
      <w:r w:rsidRPr="00EC3E77">
        <w:rPr>
          <w:rFonts w:ascii="Open Sans SemiBold" w:hAnsi="Open Sans SemiBold"/>
          <w:color w:val="auto"/>
          <w:spacing w:val="0"/>
          <w:sz w:val="24"/>
          <w:lang w:eastAsia="ja-JP"/>
          <w14:ligatures w14:val="none"/>
        </w:rPr>
        <w:t xml:space="preserve">Het stimuleren van ketenverantwoordelijkheid van bedrijven. Dat betekent het voorkomen of aanpakken van misstanden op het gebied van arbeidsomstandigheden, mensenrechten en milieu </w:t>
      </w:r>
      <w:proofErr w:type="gramStart"/>
      <w:r w:rsidRPr="00EC3E77">
        <w:rPr>
          <w:rFonts w:ascii="Open Sans SemiBold" w:hAnsi="Open Sans SemiBold"/>
          <w:color w:val="auto"/>
          <w:spacing w:val="0"/>
          <w:sz w:val="24"/>
          <w:lang w:eastAsia="ja-JP"/>
          <w14:ligatures w14:val="none"/>
        </w:rPr>
        <w:t>conform</w:t>
      </w:r>
      <w:proofErr w:type="gramEnd"/>
      <w:r w:rsidRPr="00EC3E77">
        <w:rPr>
          <w:rFonts w:ascii="Open Sans SemiBold" w:hAnsi="Open Sans SemiBold"/>
          <w:color w:val="auto"/>
          <w:spacing w:val="0"/>
          <w:sz w:val="24"/>
          <w:lang w:eastAsia="ja-JP"/>
          <w14:ligatures w14:val="none"/>
        </w:rPr>
        <w:t xml:space="preserve"> de OESO-richtlijnen voor multinationale ondernemingen. SDG 8 ‘Eerlijk werk en economische groei’, SDG 12 ‘Verantwoordelijk consumptie en productie en mogelijk SDG 1 Geen armoede en SDG 2 ‘Geen honger’.</w:t>
      </w:r>
    </w:p>
    <w:p w14:paraId="4CEB0469" w14:textId="77777777" w:rsidR="00F94C7A" w:rsidRDefault="00F94C7A" w:rsidP="00F94C7A"/>
    <w:p w14:paraId="6F14FDB1" w14:textId="77777777" w:rsidR="00F94C7A" w:rsidRDefault="00F94C7A" w:rsidP="00F94C7A">
      <w:pPr>
        <w:pStyle w:val="Tekst"/>
        <w:rPr>
          <w:rFonts w:cs="Arial"/>
          <w:szCs w:val="20"/>
        </w:rPr>
      </w:pPr>
      <w:r w:rsidRPr="00804B1D">
        <w:rPr>
          <w:rFonts w:cs="Arial"/>
          <w:szCs w:val="20"/>
        </w:rPr>
        <w:t>Ketenverantwoordelijkheid draagt bij aan het uitbannen van misstanden op gebied van mens, natuur en milieu in de inkoopketen. Iedere schakel in de productieketen neemt verantwoordelijkheid om misstanden als kinderarbeid, onmenselijke werkomstandigheden en ontbossing op te sporen en aan te pakken.</w:t>
      </w:r>
      <w:r>
        <w:rPr>
          <w:rFonts w:cs="Arial"/>
          <w:szCs w:val="20"/>
        </w:rPr>
        <w:t xml:space="preserve"> </w:t>
      </w:r>
      <w:r w:rsidRPr="00804B1D">
        <w:rPr>
          <w:rFonts w:cs="Arial"/>
          <w:szCs w:val="20"/>
        </w:rPr>
        <w:t>De Rijksoverheid heeft sinds 2017 een lijst opgesteld 10 risicocategorieën. Rijksinkopers zijn verplicht om risico’s op mensenrechtenschendingen te analyseren, monitoren en verminderen. Onderstaand de 10 risicocategorieën</w:t>
      </w:r>
      <w:r>
        <w:rPr>
          <w:rFonts w:cs="Arial"/>
          <w:szCs w:val="20"/>
        </w:rPr>
        <w:t xml:space="preserve">: </w:t>
      </w:r>
    </w:p>
    <w:p w14:paraId="13556F6E" w14:textId="77777777" w:rsidR="00F94C7A" w:rsidRPr="00804B1D" w:rsidRDefault="00F94C7A" w:rsidP="00F94C7A">
      <w:pPr>
        <w:pStyle w:val="Tekst"/>
        <w:rPr>
          <w:rFonts w:cs="Arial"/>
          <w:szCs w:val="20"/>
        </w:rPr>
      </w:pPr>
    </w:p>
    <w:p w14:paraId="4FA099D0" w14:textId="77777777" w:rsidR="00F94C7A" w:rsidRPr="00804B1D" w:rsidRDefault="00F94C7A" w:rsidP="00F94C7A">
      <w:pPr>
        <w:pStyle w:val="Tekst"/>
        <w:numPr>
          <w:ilvl w:val="0"/>
          <w:numId w:val="5"/>
        </w:numPr>
        <w:rPr>
          <w:rFonts w:cs="Arial"/>
          <w:szCs w:val="20"/>
        </w:rPr>
      </w:pPr>
      <w:r w:rsidRPr="00804B1D">
        <w:rPr>
          <w:rFonts w:cs="Arial"/>
          <w:szCs w:val="20"/>
        </w:rPr>
        <w:t>Bedrijfskleding;</w:t>
      </w:r>
    </w:p>
    <w:p w14:paraId="5F39AC02" w14:textId="77777777" w:rsidR="00F94C7A" w:rsidRPr="00804B1D" w:rsidRDefault="00F94C7A" w:rsidP="00F94C7A">
      <w:pPr>
        <w:pStyle w:val="Tekst"/>
        <w:numPr>
          <w:ilvl w:val="0"/>
          <w:numId w:val="5"/>
        </w:numPr>
        <w:rPr>
          <w:rFonts w:cs="Arial"/>
          <w:szCs w:val="20"/>
        </w:rPr>
      </w:pPr>
      <w:r w:rsidRPr="00804B1D">
        <w:rPr>
          <w:rFonts w:cs="Arial"/>
          <w:szCs w:val="20"/>
        </w:rPr>
        <w:t>Catering;</w:t>
      </w:r>
    </w:p>
    <w:p w14:paraId="4288B4B3" w14:textId="77777777" w:rsidR="00F94C7A" w:rsidRPr="00804B1D" w:rsidRDefault="00F94C7A" w:rsidP="00F94C7A">
      <w:pPr>
        <w:pStyle w:val="Tekst"/>
        <w:numPr>
          <w:ilvl w:val="0"/>
          <w:numId w:val="5"/>
        </w:numPr>
        <w:rPr>
          <w:rFonts w:cs="Arial"/>
          <w:szCs w:val="20"/>
        </w:rPr>
      </w:pPr>
      <w:r w:rsidRPr="00804B1D">
        <w:rPr>
          <w:rFonts w:cs="Arial"/>
          <w:szCs w:val="20"/>
        </w:rPr>
        <w:t>Papier, afvoer vertrouwelijk informatiedragers en print- en drukwerk;</w:t>
      </w:r>
    </w:p>
    <w:p w14:paraId="1189070E" w14:textId="77777777" w:rsidR="00F94C7A" w:rsidRPr="00804B1D" w:rsidRDefault="00F94C7A" w:rsidP="00F94C7A">
      <w:pPr>
        <w:pStyle w:val="Tekst"/>
        <w:numPr>
          <w:ilvl w:val="0"/>
          <w:numId w:val="5"/>
        </w:numPr>
        <w:rPr>
          <w:rFonts w:cs="Arial"/>
          <w:szCs w:val="20"/>
        </w:rPr>
      </w:pPr>
      <w:r w:rsidRPr="00804B1D">
        <w:rPr>
          <w:rFonts w:cs="Arial"/>
          <w:szCs w:val="20"/>
        </w:rPr>
        <w:t>Energie;</w:t>
      </w:r>
    </w:p>
    <w:p w14:paraId="50E05743" w14:textId="77777777" w:rsidR="00F94C7A" w:rsidRPr="00804B1D" w:rsidRDefault="00F94C7A" w:rsidP="00F94C7A">
      <w:pPr>
        <w:pStyle w:val="Tekst"/>
        <w:numPr>
          <w:ilvl w:val="0"/>
          <w:numId w:val="5"/>
        </w:numPr>
        <w:rPr>
          <w:rFonts w:cs="Arial"/>
          <w:szCs w:val="20"/>
        </w:rPr>
      </w:pPr>
      <w:r w:rsidRPr="00804B1D">
        <w:rPr>
          <w:rFonts w:cs="Arial"/>
          <w:szCs w:val="20"/>
        </w:rPr>
        <w:t>Grondstoffen-management en afvalzorg;</w:t>
      </w:r>
    </w:p>
    <w:p w14:paraId="49808180" w14:textId="77777777" w:rsidR="00F94C7A" w:rsidRPr="00804B1D" w:rsidRDefault="00F94C7A" w:rsidP="00F94C7A">
      <w:pPr>
        <w:pStyle w:val="Tekst"/>
        <w:numPr>
          <w:ilvl w:val="0"/>
          <w:numId w:val="5"/>
        </w:numPr>
        <w:rPr>
          <w:rFonts w:cs="Arial"/>
          <w:szCs w:val="20"/>
        </w:rPr>
      </w:pPr>
      <w:r w:rsidRPr="00804B1D">
        <w:rPr>
          <w:rFonts w:cs="Arial"/>
          <w:szCs w:val="20"/>
        </w:rPr>
        <w:t xml:space="preserve">Kantoorartikelen en </w:t>
      </w:r>
      <w:proofErr w:type="spellStart"/>
      <w:r w:rsidRPr="00804B1D">
        <w:rPr>
          <w:rFonts w:cs="Arial"/>
          <w:szCs w:val="20"/>
        </w:rPr>
        <w:t>computersupplies</w:t>
      </w:r>
      <w:proofErr w:type="spellEnd"/>
      <w:r w:rsidRPr="00804B1D">
        <w:rPr>
          <w:rFonts w:cs="Arial"/>
          <w:szCs w:val="20"/>
        </w:rPr>
        <w:t>;</w:t>
      </w:r>
    </w:p>
    <w:p w14:paraId="61F4F55F" w14:textId="77777777" w:rsidR="00F94C7A" w:rsidRPr="00804B1D" w:rsidRDefault="00F94C7A" w:rsidP="00F94C7A">
      <w:pPr>
        <w:pStyle w:val="Tekst"/>
        <w:numPr>
          <w:ilvl w:val="0"/>
          <w:numId w:val="5"/>
        </w:numPr>
        <w:rPr>
          <w:rFonts w:cs="Arial"/>
          <w:szCs w:val="20"/>
        </w:rPr>
      </w:pPr>
      <w:r w:rsidRPr="00804B1D">
        <w:rPr>
          <w:rFonts w:cs="Arial"/>
          <w:szCs w:val="20"/>
        </w:rPr>
        <w:t>Laboratorium;</w:t>
      </w:r>
    </w:p>
    <w:p w14:paraId="0D76309B" w14:textId="77777777" w:rsidR="00F94C7A" w:rsidRPr="00804B1D" w:rsidRDefault="00F94C7A" w:rsidP="00F94C7A">
      <w:pPr>
        <w:pStyle w:val="Tekst"/>
        <w:numPr>
          <w:ilvl w:val="0"/>
          <w:numId w:val="5"/>
        </w:numPr>
        <w:rPr>
          <w:rFonts w:cs="Arial"/>
          <w:szCs w:val="20"/>
        </w:rPr>
      </w:pPr>
      <w:proofErr w:type="gramStart"/>
      <w:r w:rsidRPr="00804B1D">
        <w:rPr>
          <w:rFonts w:cs="Arial"/>
          <w:szCs w:val="20"/>
        </w:rPr>
        <w:t>ICT werkomgeving</w:t>
      </w:r>
      <w:proofErr w:type="gramEnd"/>
      <w:r w:rsidRPr="00804B1D">
        <w:rPr>
          <w:rFonts w:cs="Arial"/>
          <w:szCs w:val="20"/>
        </w:rPr>
        <w:t xml:space="preserve"> Rijk;</w:t>
      </w:r>
    </w:p>
    <w:p w14:paraId="0A335DCA" w14:textId="77777777" w:rsidR="00F94C7A" w:rsidRPr="00804B1D" w:rsidRDefault="00F94C7A" w:rsidP="00F94C7A">
      <w:pPr>
        <w:pStyle w:val="Tekst"/>
        <w:numPr>
          <w:ilvl w:val="0"/>
          <w:numId w:val="5"/>
        </w:numPr>
        <w:rPr>
          <w:rFonts w:cs="Arial"/>
          <w:szCs w:val="20"/>
        </w:rPr>
      </w:pPr>
      <w:r w:rsidRPr="00804B1D">
        <w:rPr>
          <w:rFonts w:cs="Arial"/>
          <w:szCs w:val="20"/>
        </w:rPr>
        <w:t>Datacenter</w:t>
      </w:r>
    </w:p>
    <w:p w14:paraId="6FA1B9B0" w14:textId="77777777" w:rsidR="00F94C7A" w:rsidRDefault="00F94C7A" w:rsidP="00F94C7A">
      <w:pPr>
        <w:pStyle w:val="Tekst"/>
        <w:numPr>
          <w:ilvl w:val="0"/>
          <w:numId w:val="5"/>
        </w:numPr>
        <w:rPr>
          <w:rFonts w:cs="Arial"/>
          <w:szCs w:val="20"/>
        </w:rPr>
      </w:pPr>
      <w:r w:rsidRPr="00804B1D">
        <w:rPr>
          <w:rFonts w:cs="Arial"/>
          <w:szCs w:val="20"/>
        </w:rPr>
        <w:t>Dataverbindingen</w:t>
      </w:r>
      <w:r>
        <w:rPr>
          <w:rFonts w:cs="Arial"/>
          <w:szCs w:val="20"/>
        </w:rPr>
        <w:t>.</w:t>
      </w:r>
    </w:p>
    <w:p w14:paraId="2A5D94B1" w14:textId="77777777" w:rsidR="00F94C7A" w:rsidRDefault="00F94C7A" w:rsidP="00F94C7A">
      <w:pPr>
        <w:pStyle w:val="Tekst"/>
        <w:rPr>
          <w:rFonts w:cs="Arial"/>
          <w:szCs w:val="20"/>
        </w:rPr>
      </w:pPr>
    </w:p>
    <w:p w14:paraId="631E1899" w14:textId="77777777" w:rsidR="00F94C7A" w:rsidRDefault="00F94C7A" w:rsidP="00F94C7A">
      <w:pPr>
        <w:pStyle w:val="Tekst"/>
        <w:rPr>
          <w:rFonts w:cs="Arial"/>
          <w:b/>
          <w:bCs/>
          <w:szCs w:val="20"/>
        </w:rPr>
      </w:pPr>
      <w:r w:rsidRPr="00804B1D">
        <w:rPr>
          <w:rFonts w:cs="Arial"/>
          <w:b/>
          <w:bCs/>
          <w:szCs w:val="20"/>
        </w:rPr>
        <w:t>Deze lijst is echter niet exclusief.</w:t>
      </w:r>
    </w:p>
    <w:p w14:paraId="14A29EAB" w14:textId="77777777" w:rsidR="00F94C7A" w:rsidRDefault="00F94C7A" w:rsidP="00F94C7A">
      <w:pPr>
        <w:pStyle w:val="Tekst"/>
        <w:rPr>
          <w:rFonts w:cs="Arial"/>
          <w:szCs w:val="20"/>
        </w:rPr>
      </w:pPr>
      <w:r w:rsidRPr="00804B1D">
        <w:rPr>
          <w:rFonts w:cs="Arial"/>
          <w:szCs w:val="20"/>
        </w:rPr>
        <w:t xml:space="preserve">Komt een productgroep niet in dit rijtje voor, betekent dat niet dat er geen mensenrechtenrisico’s zijn. Zo adviseert de IOB de Rijksoverheid de </w:t>
      </w:r>
      <w:proofErr w:type="spellStart"/>
      <w:r w:rsidRPr="00804B1D">
        <w:rPr>
          <w:rFonts w:cs="Arial"/>
          <w:szCs w:val="20"/>
        </w:rPr>
        <w:t>due</w:t>
      </w:r>
      <w:proofErr w:type="spellEnd"/>
      <w:r w:rsidRPr="00804B1D">
        <w:rPr>
          <w:rFonts w:cs="Arial"/>
          <w:szCs w:val="20"/>
        </w:rPr>
        <w:t xml:space="preserve"> diligence verplichting uit te breiden naar meer risicocategorieën. Het stappenplan geeft inzicht hoe op gepaste wijze nu al gehandeld kan worden om risico’s zo veel mogelijk uit te sluiten.</w:t>
      </w:r>
      <w:bookmarkStart w:id="0" w:name="_Hlk132280694"/>
    </w:p>
    <w:bookmarkEnd w:id="0"/>
    <w:p w14:paraId="2E8EA872" w14:textId="77777777" w:rsidR="001078C3" w:rsidRDefault="001078C3"/>
    <w:sectPr w:rsidR="001078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24679" w14:textId="77777777" w:rsidR="009935E2" w:rsidRDefault="009935E2" w:rsidP="00F94C7A">
      <w:r>
        <w:separator/>
      </w:r>
    </w:p>
  </w:endnote>
  <w:endnote w:type="continuationSeparator" w:id="0">
    <w:p w14:paraId="563F73EB" w14:textId="77777777" w:rsidR="009935E2" w:rsidRDefault="009935E2" w:rsidP="00F94C7A">
      <w:r>
        <w:continuationSeparator/>
      </w:r>
    </w:p>
  </w:endnote>
  <w:endnote w:type="continuationNotice" w:id="1">
    <w:p w14:paraId="7D16A6C6" w14:textId="77777777" w:rsidR="009935E2" w:rsidRDefault="00993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Semi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87AC" w14:textId="77777777" w:rsidR="009935E2" w:rsidRDefault="009935E2" w:rsidP="00F94C7A">
      <w:r>
        <w:separator/>
      </w:r>
    </w:p>
  </w:footnote>
  <w:footnote w:type="continuationSeparator" w:id="0">
    <w:p w14:paraId="4FDB821A" w14:textId="77777777" w:rsidR="009935E2" w:rsidRDefault="009935E2" w:rsidP="00F94C7A">
      <w:r>
        <w:continuationSeparator/>
      </w:r>
    </w:p>
  </w:footnote>
  <w:footnote w:type="continuationNotice" w:id="1">
    <w:p w14:paraId="2C365E91" w14:textId="77777777" w:rsidR="009935E2" w:rsidRDefault="009935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D3C"/>
    <w:multiLevelType w:val="multilevel"/>
    <w:tmpl w:val="C2525E0E"/>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hint="default"/>
        <w:b/>
        <w:color w:val="DF2E20"/>
        <w:sz w:val="24"/>
      </w:rPr>
    </w:lvl>
    <w:lvl w:ilvl="2">
      <w:start w:val="1"/>
      <w:numFmt w:val="decimal"/>
      <w:isLgl/>
      <w:lvlText w:val="%1.%2.%3"/>
      <w:lvlJc w:val="left"/>
      <w:pPr>
        <w:ind w:left="1080" w:hanging="720"/>
      </w:pPr>
      <w:rPr>
        <w:rFonts w:hint="default"/>
        <w:b/>
        <w:color w:val="DF2E20"/>
        <w:sz w:val="24"/>
      </w:rPr>
    </w:lvl>
    <w:lvl w:ilvl="3">
      <w:start w:val="1"/>
      <w:numFmt w:val="decimal"/>
      <w:isLgl/>
      <w:lvlText w:val="%1.%2.%3.%4"/>
      <w:lvlJc w:val="left"/>
      <w:pPr>
        <w:ind w:left="1440" w:hanging="1080"/>
      </w:pPr>
      <w:rPr>
        <w:rFonts w:hint="default"/>
        <w:b/>
        <w:color w:val="DF2E20"/>
        <w:sz w:val="24"/>
      </w:rPr>
    </w:lvl>
    <w:lvl w:ilvl="4">
      <w:start w:val="1"/>
      <w:numFmt w:val="decimal"/>
      <w:isLgl/>
      <w:lvlText w:val="%1.%2.%3.%4.%5"/>
      <w:lvlJc w:val="left"/>
      <w:pPr>
        <w:ind w:left="1440" w:hanging="1080"/>
      </w:pPr>
      <w:rPr>
        <w:rFonts w:hint="default"/>
        <w:b/>
        <w:color w:val="DF2E20"/>
        <w:sz w:val="24"/>
      </w:rPr>
    </w:lvl>
    <w:lvl w:ilvl="5">
      <w:start w:val="1"/>
      <w:numFmt w:val="decimal"/>
      <w:isLgl/>
      <w:lvlText w:val="%1.%2.%3.%4.%5.%6"/>
      <w:lvlJc w:val="left"/>
      <w:pPr>
        <w:ind w:left="1800" w:hanging="1440"/>
      </w:pPr>
      <w:rPr>
        <w:rFonts w:hint="default"/>
        <w:b/>
        <w:color w:val="DF2E20"/>
        <w:sz w:val="24"/>
      </w:rPr>
    </w:lvl>
    <w:lvl w:ilvl="6">
      <w:start w:val="1"/>
      <w:numFmt w:val="decimal"/>
      <w:isLgl/>
      <w:lvlText w:val="%1.%2.%3.%4.%5.%6.%7"/>
      <w:lvlJc w:val="left"/>
      <w:pPr>
        <w:ind w:left="1800" w:hanging="1440"/>
      </w:pPr>
      <w:rPr>
        <w:rFonts w:hint="default"/>
        <w:b/>
        <w:color w:val="DF2E20"/>
        <w:sz w:val="24"/>
      </w:rPr>
    </w:lvl>
    <w:lvl w:ilvl="7">
      <w:start w:val="1"/>
      <w:numFmt w:val="decimal"/>
      <w:isLgl/>
      <w:lvlText w:val="%1.%2.%3.%4.%5.%6.%7.%8"/>
      <w:lvlJc w:val="left"/>
      <w:pPr>
        <w:ind w:left="2160" w:hanging="1800"/>
      </w:pPr>
      <w:rPr>
        <w:rFonts w:hint="default"/>
        <w:b/>
        <w:color w:val="DF2E20"/>
        <w:sz w:val="24"/>
      </w:rPr>
    </w:lvl>
    <w:lvl w:ilvl="8">
      <w:start w:val="1"/>
      <w:numFmt w:val="decimal"/>
      <w:isLgl/>
      <w:lvlText w:val="%1.%2.%3.%4.%5.%6.%7.%8.%9"/>
      <w:lvlJc w:val="left"/>
      <w:pPr>
        <w:ind w:left="2160" w:hanging="1800"/>
      </w:pPr>
      <w:rPr>
        <w:rFonts w:hint="default"/>
        <w:b/>
        <w:color w:val="DF2E20"/>
        <w:sz w:val="24"/>
      </w:rPr>
    </w:lvl>
  </w:abstractNum>
  <w:abstractNum w:abstractNumId="1" w15:restartNumberingAfterBreak="0">
    <w:nsid w:val="265128B2"/>
    <w:multiLevelType w:val="hybridMultilevel"/>
    <w:tmpl w:val="0E986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C41310"/>
    <w:multiLevelType w:val="hybridMultilevel"/>
    <w:tmpl w:val="FC62FA46"/>
    <w:lvl w:ilvl="0" w:tplc="704ECB42">
      <w:numFmt w:val="bullet"/>
      <w:lvlText w:val="-"/>
      <w:lvlJc w:val="left"/>
      <w:pPr>
        <w:ind w:left="502"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3972B6"/>
    <w:multiLevelType w:val="hybridMultilevel"/>
    <w:tmpl w:val="45CE46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2C60837"/>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5D732D6"/>
    <w:multiLevelType w:val="multilevel"/>
    <w:tmpl w:val="F6D4D0CE"/>
    <w:lvl w:ilvl="0">
      <w:start w:val="3"/>
      <w:numFmt w:val="upperLetter"/>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6ED53D68"/>
    <w:multiLevelType w:val="hybridMultilevel"/>
    <w:tmpl w:val="3340AB0A"/>
    <w:lvl w:ilvl="0" w:tplc="704ECB42">
      <w:numFmt w:val="bullet"/>
      <w:lvlText w:val="-"/>
      <w:lvlJc w:val="left"/>
      <w:pPr>
        <w:ind w:left="502" w:hanging="360"/>
      </w:pPr>
      <w:rPr>
        <w:rFonts w:ascii="Arial" w:eastAsiaTheme="minorHAnsi" w:hAnsi="Arial" w:cs="Arial"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7" w15:restartNumberingAfterBreak="0">
    <w:nsid w:val="73F255A4"/>
    <w:multiLevelType w:val="multilevel"/>
    <w:tmpl w:val="8EFCCF14"/>
    <w:lvl w:ilvl="0">
      <w:start w:val="2"/>
      <w:numFmt w:val="decimal"/>
      <w:lvlText w:val="%1."/>
      <w:lvlJc w:val="left"/>
      <w:pPr>
        <w:tabs>
          <w:tab w:val="num" w:pos="0"/>
        </w:tabs>
        <w:ind w:left="0" w:hanging="360"/>
      </w:pPr>
    </w:lvl>
    <w:lvl w:ilvl="1">
      <w:start w:val="1"/>
      <w:numFmt w:val="decimal"/>
      <w:lvlText w:val="%2."/>
      <w:lvlJc w:val="left"/>
      <w:pPr>
        <w:tabs>
          <w:tab w:val="num" w:pos="360"/>
        </w:tabs>
        <w:ind w:left="360" w:hanging="360"/>
      </w:pPr>
    </w:lvl>
    <w:lvl w:ilvl="2">
      <w:start w:val="1"/>
      <w:numFmt w:val="decimal"/>
      <w:lvlText w:val="%3."/>
      <w:lvlJc w:val="left"/>
      <w:pPr>
        <w:tabs>
          <w:tab w:val="num" w:pos="502"/>
        </w:tabs>
        <w:ind w:left="502"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num w:numId="1" w16cid:durableId="712775772">
    <w:abstractNumId w:val="7"/>
  </w:num>
  <w:num w:numId="2" w16cid:durableId="639728098">
    <w:abstractNumId w:val="6"/>
  </w:num>
  <w:num w:numId="3" w16cid:durableId="948782691">
    <w:abstractNumId w:val="0"/>
  </w:num>
  <w:num w:numId="4" w16cid:durableId="204028458">
    <w:abstractNumId w:val="4"/>
  </w:num>
  <w:num w:numId="5" w16cid:durableId="225183648">
    <w:abstractNumId w:val="3"/>
  </w:num>
  <w:num w:numId="6" w16cid:durableId="1046835382">
    <w:abstractNumId w:val="1"/>
  </w:num>
  <w:num w:numId="7" w16cid:durableId="1198541826">
    <w:abstractNumId w:val="5"/>
  </w:num>
  <w:num w:numId="8" w16cid:durableId="654147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F94C7A"/>
    <w:rsid w:val="001078C3"/>
    <w:rsid w:val="0020522C"/>
    <w:rsid w:val="00253A5E"/>
    <w:rsid w:val="00290655"/>
    <w:rsid w:val="0031534E"/>
    <w:rsid w:val="004549FB"/>
    <w:rsid w:val="004C1763"/>
    <w:rsid w:val="006274AD"/>
    <w:rsid w:val="006D4589"/>
    <w:rsid w:val="006E7B27"/>
    <w:rsid w:val="00767FE2"/>
    <w:rsid w:val="00783349"/>
    <w:rsid w:val="00793FFD"/>
    <w:rsid w:val="007E2C78"/>
    <w:rsid w:val="00884C4D"/>
    <w:rsid w:val="009935E2"/>
    <w:rsid w:val="00994BE9"/>
    <w:rsid w:val="00996F52"/>
    <w:rsid w:val="00A875AD"/>
    <w:rsid w:val="00C35C98"/>
    <w:rsid w:val="00C4721A"/>
    <w:rsid w:val="00CE3158"/>
    <w:rsid w:val="00D01E94"/>
    <w:rsid w:val="00D84BBF"/>
    <w:rsid w:val="00DB54C3"/>
    <w:rsid w:val="00DC3889"/>
    <w:rsid w:val="00E8720F"/>
    <w:rsid w:val="00ED61BC"/>
    <w:rsid w:val="00EE1CB0"/>
    <w:rsid w:val="00F94C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6B74"/>
  <w15:chartTrackingRefBased/>
  <w15:docId w15:val="{638AA291-00E5-43D1-B99F-24EEE953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4C7A"/>
    <w:pPr>
      <w:spacing w:after="0" w:line="240" w:lineRule="auto"/>
    </w:pPr>
    <w:rPr>
      <w:rFonts w:ascii="Calibri" w:hAnsi="Calibri" w:cs="Calibri"/>
      <w:kern w:val="0"/>
    </w:rPr>
  </w:style>
  <w:style w:type="paragraph" w:styleId="Kop2">
    <w:name w:val="heading 2"/>
    <w:basedOn w:val="Standaard"/>
    <w:next w:val="Standaard"/>
    <w:link w:val="Kop2Char"/>
    <w:autoRedefine/>
    <w:uiPriority w:val="9"/>
    <w:unhideWhenUsed/>
    <w:qFormat/>
    <w:rsid w:val="00F94C7A"/>
    <w:pPr>
      <w:keepNext/>
      <w:keepLines/>
      <w:pBdr>
        <w:bottom w:val="single" w:sz="4" w:space="1" w:color="auto"/>
      </w:pBdr>
      <w:spacing w:before="40" w:after="120" w:line="360" w:lineRule="auto"/>
      <w:outlineLvl w:val="1"/>
    </w:pPr>
    <w:rPr>
      <w:rFonts w:ascii="Arial" w:eastAsiaTheme="majorEastAsia" w:hAnsi="Arial" w:cstheme="majorBidi"/>
      <w:b/>
      <w:color w:val="2F5496" w:themeColor="accent1" w:themeShade="BF"/>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94C7A"/>
    <w:rPr>
      <w:rFonts w:ascii="Arial" w:eastAsiaTheme="majorEastAsia" w:hAnsi="Arial" w:cstheme="majorBidi"/>
      <w:b/>
      <w:color w:val="2F5496" w:themeColor="accent1" w:themeShade="BF"/>
      <w:kern w:val="0"/>
      <w:szCs w:val="26"/>
    </w:rPr>
  </w:style>
  <w:style w:type="character" w:styleId="Hyperlink">
    <w:name w:val="Hyperlink"/>
    <w:basedOn w:val="Standaardalinea-lettertype"/>
    <w:uiPriority w:val="99"/>
    <w:unhideWhenUsed/>
    <w:rsid w:val="00F94C7A"/>
    <w:rPr>
      <w:color w:val="0563C1" w:themeColor="hyperlink"/>
      <w:u w:val="single"/>
    </w:rPr>
  </w:style>
  <w:style w:type="character" w:styleId="Verwijzingopmerking">
    <w:name w:val="annotation reference"/>
    <w:basedOn w:val="Standaardalinea-lettertype"/>
    <w:uiPriority w:val="99"/>
    <w:unhideWhenUsed/>
    <w:rsid w:val="00F94C7A"/>
    <w:rPr>
      <w:sz w:val="16"/>
      <w:szCs w:val="16"/>
    </w:rPr>
  </w:style>
  <w:style w:type="paragraph" w:styleId="Tekstopmerking">
    <w:name w:val="annotation text"/>
    <w:basedOn w:val="Standaard"/>
    <w:link w:val="TekstopmerkingChar"/>
    <w:uiPriority w:val="99"/>
    <w:unhideWhenUsed/>
    <w:rsid w:val="00F94C7A"/>
    <w:rPr>
      <w:sz w:val="20"/>
      <w:szCs w:val="20"/>
    </w:rPr>
  </w:style>
  <w:style w:type="character" w:customStyle="1" w:styleId="TekstopmerkingChar">
    <w:name w:val="Tekst opmerking Char"/>
    <w:basedOn w:val="Standaardalinea-lettertype"/>
    <w:link w:val="Tekstopmerking"/>
    <w:uiPriority w:val="99"/>
    <w:rsid w:val="00F94C7A"/>
    <w:rPr>
      <w:rFonts w:ascii="Calibri" w:hAnsi="Calibri" w:cs="Calibri"/>
      <w:kern w:val="0"/>
      <w:sz w:val="20"/>
      <w:szCs w:val="20"/>
    </w:rPr>
  </w:style>
  <w:style w:type="paragraph" w:styleId="Lijstalinea">
    <w:name w:val="List Paragraph"/>
    <w:basedOn w:val="Standaard"/>
    <w:uiPriority w:val="34"/>
    <w:qFormat/>
    <w:rsid w:val="00F94C7A"/>
    <w:pPr>
      <w:ind w:left="720"/>
      <w:contextualSpacing/>
    </w:pPr>
  </w:style>
  <w:style w:type="table" w:styleId="Tabelraster">
    <w:name w:val="Table Grid"/>
    <w:basedOn w:val="Standaardtabel"/>
    <w:uiPriority w:val="39"/>
    <w:rsid w:val="00F94C7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F94C7A"/>
    <w:pPr>
      <w:numPr>
        <w:ilvl w:val="1"/>
      </w:numPr>
      <w:spacing w:after="160"/>
    </w:pPr>
    <w:rPr>
      <w:rFonts w:ascii="Arial" w:eastAsiaTheme="minorEastAsia" w:hAnsi="Arial" w:cstheme="minorBidi"/>
      <w:color w:val="5A5A5A" w:themeColor="text1" w:themeTint="A5"/>
      <w:spacing w:val="15"/>
      <w:sz w:val="20"/>
    </w:rPr>
  </w:style>
  <w:style w:type="character" w:customStyle="1" w:styleId="OndertitelChar">
    <w:name w:val="Ondertitel Char"/>
    <w:basedOn w:val="Standaardalinea-lettertype"/>
    <w:link w:val="Ondertitel"/>
    <w:uiPriority w:val="11"/>
    <w:rsid w:val="00F94C7A"/>
    <w:rPr>
      <w:rFonts w:ascii="Arial" w:eastAsiaTheme="minorEastAsia" w:hAnsi="Arial"/>
      <w:color w:val="5A5A5A" w:themeColor="text1" w:themeTint="A5"/>
      <w:spacing w:val="15"/>
      <w:kern w:val="0"/>
      <w:sz w:val="20"/>
    </w:rPr>
  </w:style>
  <w:style w:type="paragraph" w:styleId="Titel">
    <w:name w:val="Title"/>
    <w:basedOn w:val="Standaard"/>
    <w:next w:val="Standaard"/>
    <w:link w:val="TitelChar"/>
    <w:uiPriority w:val="1"/>
    <w:qFormat/>
    <w:rsid w:val="00F94C7A"/>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
    <w:rsid w:val="00F94C7A"/>
    <w:rPr>
      <w:rFonts w:asciiTheme="majorHAnsi" w:eastAsiaTheme="majorEastAsia" w:hAnsiTheme="majorHAnsi" w:cstheme="majorBidi"/>
      <w:spacing w:val="-10"/>
      <w:kern w:val="28"/>
      <w:sz w:val="56"/>
      <w:szCs w:val="56"/>
    </w:rPr>
  </w:style>
  <w:style w:type="paragraph" w:customStyle="1" w:styleId="Introtekst">
    <w:name w:val="Introtekst"/>
    <w:qFormat/>
    <w:rsid w:val="00F94C7A"/>
    <w:pPr>
      <w:spacing w:after="240" w:line="400" w:lineRule="exact"/>
    </w:pPr>
    <w:rPr>
      <w:rFonts w:ascii="Open Sans SemiBold" w:eastAsiaTheme="minorEastAsia" w:hAnsi="Open Sans SemiBold"/>
      <w:kern w:val="0"/>
      <w:sz w:val="24"/>
      <w:lang w:eastAsia="ja-JP"/>
    </w:rPr>
  </w:style>
  <w:style w:type="paragraph" w:customStyle="1" w:styleId="Tekst">
    <w:name w:val="Tekst"/>
    <w:link w:val="TekstChar"/>
    <w:qFormat/>
    <w:rsid w:val="00F94C7A"/>
    <w:pPr>
      <w:spacing w:after="0" w:line="288" w:lineRule="auto"/>
    </w:pPr>
    <w:rPr>
      <w:rFonts w:ascii="Open Sans" w:eastAsiaTheme="minorEastAsia" w:hAnsi="Open Sans"/>
      <w:kern w:val="0"/>
      <w:lang w:eastAsia="ja-JP"/>
    </w:rPr>
  </w:style>
  <w:style w:type="character" w:customStyle="1" w:styleId="TekstChar">
    <w:name w:val="Tekst Char"/>
    <w:basedOn w:val="Standaardalinea-lettertype"/>
    <w:link w:val="Tekst"/>
    <w:rsid w:val="00F94C7A"/>
    <w:rPr>
      <w:rFonts w:ascii="Open Sans" w:eastAsiaTheme="minorEastAsia" w:hAnsi="Open Sans"/>
      <w:kern w:val="0"/>
      <w:lang w:eastAsia="ja-JP"/>
    </w:rPr>
  </w:style>
  <w:style w:type="paragraph" w:customStyle="1" w:styleId="paragraph">
    <w:name w:val="paragraph"/>
    <w:basedOn w:val="Standaard"/>
    <w:rsid w:val="00F94C7A"/>
    <w:pPr>
      <w:spacing w:before="100" w:beforeAutospacing="1" w:after="100" w:afterAutospacing="1"/>
    </w:pPr>
    <w:rPr>
      <w:rFonts w:ascii="Times New Roman" w:eastAsia="Times New Roman" w:hAnsi="Times New Roman" w:cs="Times New Roman"/>
      <w:sz w:val="24"/>
      <w:szCs w:val="24"/>
      <w:lang w:eastAsia="nl-NL"/>
    </w:rPr>
  </w:style>
  <w:style w:type="paragraph" w:styleId="Geenafstand">
    <w:name w:val="No Spacing"/>
    <w:uiPriority w:val="1"/>
    <w:qFormat/>
    <w:rsid w:val="00F94C7A"/>
    <w:pPr>
      <w:spacing w:after="0" w:line="240" w:lineRule="auto"/>
    </w:pPr>
    <w:rPr>
      <w:kern w:val="0"/>
    </w:rPr>
  </w:style>
  <w:style w:type="paragraph" w:styleId="Voetnoottekst">
    <w:name w:val="footnote text"/>
    <w:basedOn w:val="Standaard"/>
    <w:link w:val="VoetnoottekstChar"/>
    <w:uiPriority w:val="99"/>
    <w:semiHidden/>
    <w:unhideWhenUsed/>
    <w:rsid w:val="00F94C7A"/>
    <w:rPr>
      <w:rFonts w:asciiTheme="minorHAnsi" w:hAnsiTheme="minorHAnsi" w:cstheme="minorBidi"/>
      <w:sz w:val="20"/>
      <w:szCs w:val="20"/>
    </w:rPr>
  </w:style>
  <w:style w:type="character" w:customStyle="1" w:styleId="VoetnoottekstChar">
    <w:name w:val="Voetnoottekst Char"/>
    <w:basedOn w:val="Standaardalinea-lettertype"/>
    <w:link w:val="Voetnoottekst"/>
    <w:uiPriority w:val="99"/>
    <w:semiHidden/>
    <w:rsid w:val="00F94C7A"/>
    <w:rPr>
      <w:kern w:val="0"/>
      <w:sz w:val="20"/>
      <w:szCs w:val="20"/>
    </w:rPr>
  </w:style>
  <w:style w:type="character" w:styleId="Voetnootmarkering">
    <w:name w:val="footnote reference"/>
    <w:basedOn w:val="Standaardalinea-lettertype"/>
    <w:uiPriority w:val="99"/>
    <w:semiHidden/>
    <w:unhideWhenUsed/>
    <w:rsid w:val="00F94C7A"/>
    <w:rPr>
      <w:vertAlign w:val="superscript"/>
    </w:rPr>
  </w:style>
  <w:style w:type="paragraph" w:styleId="Koptekst">
    <w:name w:val="header"/>
    <w:basedOn w:val="Standaard"/>
    <w:link w:val="KoptekstChar"/>
    <w:uiPriority w:val="99"/>
    <w:semiHidden/>
    <w:unhideWhenUsed/>
    <w:rsid w:val="00A875AD"/>
    <w:pPr>
      <w:tabs>
        <w:tab w:val="center" w:pos="4536"/>
        <w:tab w:val="right" w:pos="9072"/>
      </w:tabs>
    </w:pPr>
  </w:style>
  <w:style w:type="character" w:customStyle="1" w:styleId="KoptekstChar">
    <w:name w:val="Koptekst Char"/>
    <w:basedOn w:val="Standaardalinea-lettertype"/>
    <w:link w:val="Koptekst"/>
    <w:uiPriority w:val="99"/>
    <w:semiHidden/>
    <w:rsid w:val="00A875AD"/>
    <w:rPr>
      <w:rFonts w:ascii="Calibri" w:hAnsi="Calibri" w:cs="Calibri"/>
      <w:kern w:val="0"/>
    </w:rPr>
  </w:style>
  <w:style w:type="paragraph" w:styleId="Voettekst">
    <w:name w:val="footer"/>
    <w:basedOn w:val="Standaard"/>
    <w:link w:val="VoettekstChar"/>
    <w:uiPriority w:val="99"/>
    <w:semiHidden/>
    <w:unhideWhenUsed/>
    <w:rsid w:val="00A875AD"/>
    <w:pPr>
      <w:tabs>
        <w:tab w:val="center" w:pos="4536"/>
        <w:tab w:val="right" w:pos="9072"/>
      </w:tabs>
    </w:pPr>
  </w:style>
  <w:style w:type="character" w:customStyle="1" w:styleId="VoettekstChar">
    <w:name w:val="Voettekst Char"/>
    <w:basedOn w:val="Standaardalinea-lettertype"/>
    <w:link w:val="Voettekst"/>
    <w:uiPriority w:val="99"/>
    <w:semiHidden/>
    <w:rsid w:val="00A875AD"/>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jectSROI@leiden.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zb.nl/social-retur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tonakkoord.nl/2023/09/25/nieuwe-mki-plafondwaarden-en-circulariteitseisen-2023-voor-de-bouwsecto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ianoo.nl/sites/default/files/media/documents/2023-08/diversiteit-en-inclusie-in-aanbestedingen-juli202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2" ma:contentTypeDescription="Een nieuw document maken." ma:contentTypeScope="" ma:versionID="cb9bf39df62e714c2e0614a9e279c314">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752e2ca0befee673e58a3e368e44e5f3"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Props1.xml><?xml version="1.0" encoding="utf-8"?>
<ds:datastoreItem xmlns:ds="http://schemas.openxmlformats.org/officeDocument/2006/customXml" ds:itemID="{5D1CF81D-7B76-400C-90F2-C4CA567E73CE}"/>
</file>

<file path=customXml/itemProps2.xml><?xml version="1.0" encoding="utf-8"?>
<ds:datastoreItem xmlns:ds="http://schemas.openxmlformats.org/officeDocument/2006/customXml" ds:itemID="{13313023-B90A-43AD-A5FA-CC71177E558C}">
  <ds:schemaRefs>
    <ds:schemaRef ds:uri="http://schemas.microsoft.com/sharepoint/v3/contenttype/forms"/>
  </ds:schemaRefs>
</ds:datastoreItem>
</file>

<file path=customXml/itemProps3.xml><?xml version="1.0" encoding="utf-8"?>
<ds:datastoreItem xmlns:ds="http://schemas.openxmlformats.org/officeDocument/2006/customXml" ds:itemID="{7FDFC1C2-4995-4C64-B13C-84E51F68EDAD}">
  <ds:schemaRefs>
    <ds:schemaRef ds:uri="http://schemas.microsoft.com/office/2006/metadata/properties"/>
    <ds:schemaRef ds:uri="http://schemas.microsoft.com/office/infopath/2007/PartnerControls"/>
    <ds:schemaRef ds:uri="655d6469-9d33-4f4c-ad09-8270a384f05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2318</Words>
  <Characters>12751</Characters>
  <Application>Microsoft Office Word</Application>
  <DocSecurity>0</DocSecurity>
  <Lines>106</Lines>
  <Paragraphs>30</Paragraphs>
  <ScaleCrop>false</ScaleCrop>
  <Company>Servicepunt 71</Company>
  <LinksUpToDate>false</LinksUpToDate>
  <CharactersWithSpaces>15039</CharactersWithSpaces>
  <SharedDoc>false</SharedDoc>
  <HLinks>
    <vt:vector size="24" baseType="variant">
      <vt:variant>
        <vt:i4>1835073</vt:i4>
      </vt:variant>
      <vt:variant>
        <vt:i4>9</vt:i4>
      </vt:variant>
      <vt:variant>
        <vt:i4>0</vt:i4>
      </vt:variant>
      <vt:variant>
        <vt:i4>5</vt:i4>
      </vt:variant>
      <vt:variant>
        <vt:lpwstr>https://www.pianoo.nl/sites/default/files/media/documents/2023-08/diversiteit-en-inclusie-in-aanbestedingen-juli2023.pdf</vt:lpwstr>
      </vt:variant>
      <vt:variant>
        <vt:lpwstr/>
      </vt:variant>
      <vt:variant>
        <vt:i4>5570668</vt:i4>
      </vt:variant>
      <vt:variant>
        <vt:i4>6</vt:i4>
      </vt:variant>
      <vt:variant>
        <vt:i4>0</vt:i4>
      </vt:variant>
      <vt:variant>
        <vt:i4>5</vt:i4>
      </vt:variant>
      <vt:variant>
        <vt:lpwstr>mailto:projectSROI@leiden.nl</vt:lpwstr>
      </vt:variant>
      <vt:variant>
        <vt:lpwstr/>
      </vt:variant>
      <vt:variant>
        <vt:i4>5373977</vt:i4>
      </vt:variant>
      <vt:variant>
        <vt:i4>3</vt:i4>
      </vt:variant>
      <vt:variant>
        <vt:i4>0</vt:i4>
      </vt:variant>
      <vt:variant>
        <vt:i4>5</vt:i4>
      </vt:variant>
      <vt:variant>
        <vt:lpwstr>https://www.dzb.nl/social-return/</vt:lpwstr>
      </vt:variant>
      <vt:variant>
        <vt:lpwstr/>
      </vt:variant>
      <vt:variant>
        <vt:i4>4325458</vt:i4>
      </vt:variant>
      <vt:variant>
        <vt:i4>0</vt:i4>
      </vt:variant>
      <vt:variant>
        <vt:i4>0</vt:i4>
      </vt:variant>
      <vt:variant>
        <vt:i4>5</vt:i4>
      </vt:variant>
      <vt:variant>
        <vt:lpwstr>https://www.betonakkoord.nl/2023/09/25/nieuwe-mki-plafondwaarden-en-circulariteitseisen-2023-voor-de-bouwsector/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Klomp, Naomi</dc:creator>
  <cp:keywords/>
  <dc:description/>
  <cp:lastModifiedBy>El Otmani, Sami</cp:lastModifiedBy>
  <cp:revision>13</cp:revision>
  <dcterms:created xsi:type="dcterms:W3CDTF">2023-11-07T15:09:00Z</dcterms:created>
  <dcterms:modified xsi:type="dcterms:W3CDTF">2025-11-27T14:55:00Z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