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6A524" w14:textId="77777777" w:rsidR="001E1C17" w:rsidRPr="008C6280" w:rsidRDefault="001E1C17" w:rsidP="001E1C17">
      <w:pPr>
        <w:spacing w:line="360" w:lineRule="auto"/>
        <w:rPr>
          <w:b/>
          <w:sz w:val="28"/>
          <w:szCs w:val="28"/>
        </w:rPr>
      </w:pPr>
      <w:r>
        <w:rPr>
          <w:b/>
          <w:sz w:val="28"/>
          <w:szCs w:val="28"/>
        </w:rPr>
        <w:t>Bijlage 3a</w:t>
      </w:r>
      <w:r w:rsidRPr="008C6280">
        <w:rPr>
          <w:b/>
          <w:sz w:val="28"/>
          <w:szCs w:val="28"/>
        </w:rPr>
        <w:t xml:space="preserve"> </w:t>
      </w:r>
      <w:r w:rsidRPr="008C6280">
        <w:rPr>
          <w:b/>
          <w:sz w:val="28"/>
          <w:szCs w:val="28"/>
        </w:rPr>
        <w:tab/>
        <w:t xml:space="preserve">Geschiktheidseisen  </w:t>
      </w:r>
    </w:p>
    <w:p w14:paraId="769C1E79" w14:textId="65FCF780" w:rsidR="00DD2DB9" w:rsidRPr="00DD2DB9" w:rsidRDefault="001E1C17" w:rsidP="001E1C17">
      <w:pPr>
        <w:spacing w:line="240" w:lineRule="auto"/>
      </w:pPr>
      <w:bookmarkStart w:id="0" w:name="_Hlk174461609"/>
      <w:r>
        <w:t xml:space="preserve">Behorende bij de Europese aanbesteding </w:t>
      </w:r>
      <w:r w:rsidRPr="002E5721">
        <w:t xml:space="preserve">inzake </w:t>
      </w:r>
      <w:r w:rsidR="00DD2DB9">
        <w:t>volautomatische Immunostainers, implementatie, onderhoud en reagentia/gebruiksartikelen</w:t>
      </w:r>
    </w:p>
    <w:p w14:paraId="456DC3EF" w14:textId="146411A4" w:rsidR="001E1C17" w:rsidRPr="002D10C0" w:rsidRDefault="001E1C17" w:rsidP="001E1C17">
      <w:pPr>
        <w:spacing w:line="240" w:lineRule="auto"/>
        <w:rPr>
          <w:rFonts w:cs="Arial"/>
        </w:rPr>
      </w:pPr>
      <w:r w:rsidRPr="002D10C0">
        <w:rPr>
          <w:rFonts w:cs="Arial"/>
        </w:rPr>
        <w:t>TenderNed-kenmerk:</w:t>
      </w:r>
      <w:r w:rsidR="00AC5B25">
        <w:rPr>
          <w:rFonts w:cs="Arial"/>
        </w:rPr>
        <w:t>557582</w:t>
      </w:r>
    </w:p>
    <w:bookmarkEnd w:id="0"/>
    <w:p w14:paraId="1F027022" w14:textId="77777777" w:rsidR="001E1C17" w:rsidRDefault="001E1C17" w:rsidP="001E1C17">
      <w:pPr>
        <w:spacing w:line="240" w:lineRule="auto"/>
        <w:rPr>
          <w:sz w:val="28"/>
          <w:szCs w:val="28"/>
        </w:rPr>
      </w:pPr>
      <w:r>
        <w:rPr>
          <w:rFonts w:cs="Arial"/>
        </w:rPr>
        <w:tab/>
      </w:r>
    </w:p>
    <w:p w14:paraId="3B9486B1" w14:textId="77777777" w:rsidR="001E1C17" w:rsidRDefault="001E1C17" w:rsidP="001E1C17">
      <w:pPr>
        <w:rPr>
          <w:sz w:val="28"/>
          <w:szCs w:val="28"/>
        </w:rPr>
      </w:pPr>
    </w:p>
    <w:p w14:paraId="4C0012EF" w14:textId="77777777" w:rsidR="001E1C17" w:rsidRPr="004B04FB" w:rsidRDefault="001E1C17" w:rsidP="001E1C17">
      <w:pPr>
        <w:spacing w:line="240" w:lineRule="auto"/>
        <w:jc w:val="both"/>
        <w:rPr>
          <w:b/>
        </w:rPr>
      </w:pPr>
      <w:r w:rsidRPr="004B04FB">
        <w:rPr>
          <w:b/>
        </w:rPr>
        <w:t>Instructie:</w:t>
      </w:r>
    </w:p>
    <w:p w14:paraId="39E34479" w14:textId="77777777" w:rsidR="001E1C17" w:rsidRDefault="001E1C17" w:rsidP="001E1C17">
      <w:pPr>
        <w:numPr>
          <w:ilvl w:val="0"/>
          <w:numId w:val="39"/>
        </w:numPr>
        <w:tabs>
          <w:tab w:val="num" w:pos="360"/>
        </w:tabs>
        <w:spacing w:line="240" w:lineRule="auto"/>
        <w:ind w:left="360"/>
        <w:jc w:val="both"/>
      </w:pPr>
      <w:r>
        <w:t xml:space="preserve">Dit document Geschiktheidseisen </w:t>
      </w:r>
      <w:r w:rsidRPr="00A032D6">
        <w:t>(het origineel) dient volledig te worden ingevuld en bij de Inschrijving te worden gevoegd.</w:t>
      </w:r>
    </w:p>
    <w:p w14:paraId="5EC6B424" w14:textId="77777777" w:rsidR="001E1C17" w:rsidRPr="00A032D6" w:rsidRDefault="001E1C17" w:rsidP="001E1C17">
      <w:pPr>
        <w:numPr>
          <w:ilvl w:val="0"/>
          <w:numId w:val="39"/>
        </w:numPr>
        <w:tabs>
          <w:tab w:val="num" w:pos="360"/>
        </w:tabs>
        <w:spacing w:line="240" w:lineRule="auto"/>
        <w:ind w:left="360"/>
        <w:jc w:val="both"/>
      </w:pPr>
      <w:r>
        <w:t>Alle (</w:t>
      </w:r>
      <w:proofErr w:type="spellStart"/>
      <w:r>
        <w:t>Geschiktheids</w:t>
      </w:r>
      <w:proofErr w:type="spellEnd"/>
      <w:r>
        <w:t xml:space="preserve">)eisen in dit document zijn </w:t>
      </w:r>
      <w:proofErr w:type="spellStart"/>
      <w:r>
        <w:t>Knock</w:t>
      </w:r>
      <w:proofErr w:type="spellEnd"/>
      <w:r>
        <w:t xml:space="preserve"> Out (KO) Eisen.  Als u hier niet aan voldoet zal uw inschrijving terzijde gelegd worden.</w:t>
      </w:r>
    </w:p>
    <w:p w14:paraId="07F9AF49" w14:textId="77777777" w:rsidR="001E1C17" w:rsidRPr="00A032D6" w:rsidRDefault="001E1C17" w:rsidP="001E1C17">
      <w:pPr>
        <w:numPr>
          <w:ilvl w:val="0"/>
          <w:numId w:val="39"/>
        </w:numPr>
        <w:tabs>
          <w:tab w:val="num" w:pos="360"/>
        </w:tabs>
        <w:spacing w:line="240" w:lineRule="auto"/>
        <w:ind w:left="360"/>
        <w:jc w:val="both"/>
      </w:pPr>
      <w:r w:rsidRPr="00A032D6">
        <w:t xml:space="preserve">De tekst van </w:t>
      </w:r>
      <w:r>
        <w:t xml:space="preserve">dit document </w:t>
      </w:r>
      <w:proofErr w:type="spellStart"/>
      <w:r>
        <w:t>Geschiktheideisen</w:t>
      </w:r>
      <w:proofErr w:type="spellEnd"/>
      <w:r>
        <w:t xml:space="preserve"> </w:t>
      </w:r>
      <w:r w:rsidRPr="00A032D6">
        <w:t>mag niet worden overgetypt, aangevuld noch gewijzigd.</w:t>
      </w:r>
    </w:p>
    <w:p w14:paraId="10C62DB5" w14:textId="77777777" w:rsidR="001E1C17" w:rsidRPr="00A032D6" w:rsidRDefault="001E1C17" w:rsidP="001E1C17">
      <w:pPr>
        <w:numPr>
          <w:ilvl w:val="0"/>
          <w:numId w:val="39"/>
        </w:numPr>
        <w:tabs>
          <w:tab w:val="num" w:pos="360"/>
        </w:tabs>
        <w:spacing w:line="240" w:lineRule="auto"/>
        <w:ind w:left="360"/>
        <w:jc w:val="both"/>
      </w:pPr>
      <w:r w:rsidRPr="00A032D6">
        <w:t xml:space="preserve">Indien er </w:t>
      </w:r>
      <w:r>
        <w:t>in dit document</w:t>
      </w:r>
      <w:r w:rsidRPr="00A032D6">
        <w:t xml:space="preserve"> te weinig ruimte is voor antwoorden dan dienen de antwoorden in apart toe te voegen bijlagen te worden vermeld.</w:t>
      </w:r>
    </w:p>
    <w:p w14:paraId="1DD43659" w14:textId="77777777" w:rsidR="001E1C17" w:rsidRPr="00A032D6" w:rsidRDefault="001E1C17" w:rsidP="001E1C17">
      <w:pPr>
        <w:numPr>
          <w:ilvl w:val="0"/>
          <w:numId w:val="39"/>
        </w:numPr>
        <w:tabs>
          <w:tab w:val="num" w:pos="360"/>
        </w:tabs>
        <w:spacing w:line="240" w:lineRule="auto"/>
        <w:ind w:left="360"/>
        <w:jc w:val="both"/>
      </w:pPr>
      <w:r>
        <w:t xml:space="preserve">Daar waar in dit document </w:t>
      </w:r>
      <w:r w:rsidRPr="00A032D6">
        <w:t>aangegeven, dienen aparte bijlagen te worden toegevoegd.</w:t>
      </w:r>
    </w:p>
    <w:p w14:paraId="7135B3A5" w14:textId="77777777" w:rsidR="001E1C17" w:rsidRDefault="001E1C17" w:rsidP="001E1C17">
      <w:pPr>
        <w:numPr>
          <w:ilvl w:val="0"/>
          <w:numId w:val="39"/>
        </w:numPr>
        <w:tabs>
          <w:tab w:val="num" w:pos="360"/>
        </w:tabs>
        <w:spacing w:line="240" w:lineRule="auto"/>
        <w:ind w:left="360"/>
        <w:jc w:val="both"/>
      </w:pPr>
      <w:r w:rsidRPr="00A032D6">
        <w:t>Indien Ondernemer zich inschrijft in combinatie met anderen, dient voor elke combinant een ingevuld exemplaar van deze verklaring ingediend te worden.</w:t>
      </w:r>
      <w:r>
        <w:t xml:space="preserve"> </w:t>
      </w:r>
    </w:p>
    <w:p w14:paraId="3439AD70" w14:textId="77777777" w:rsidR="001E1C17" w:rsidRPr="00062054" w:rsidRDefault="001E1C17" w:rsidP="001E1C17">
      <w:pPr>
        <w:numPr>
          <w:ilvl w:val="0"/>
          <w:numId w:val="39"/>
        </w:numPr>
        <w:tabs>
          <w:tab w:val="num" w:pos="360"/>
        </w:tabs>
        <w:spacing w:line="240" w:lineRule="auto"/>
        <w:ind w:left="360"/>
        <w:jc w:val="both"/>
      </w:pPr>
      <w:r w:rsidRPr="00062054">
        <w:t>Iedere onderaannemer waar de Ondernemer een beroep op doet om te voldoen aan de geschiktheidseisen, dient zelfstandig deze verklaring in te vullen en rechtsgeldig te laten ondertekenen door de hoogste statutaire bestuurder(s). De Ondernemer dient deze ingevulde en ondertekende verklaring en in te dienen</w:t>
      </w:r>
    </w:p>
    <w:p w14:paraId="23BF7C21" w14:textId="77777777" w:rsidR="001E1C17" w:rsidRPr="00A032D6" w:rsidRDefault="001E1C17" w:rsidP="001E1C17">
      <w:pPr>
        <w:numPr>
          <w:ilvl w:val="0"/>
          <w:numId w:val="39"/>
        </w:numPr>
        <w:tabs>
          <w:tab w:val="num" w:pos="360"/>
        </w:tabs>
        <w:spacing w:line="240" w:lineRule="auto"/>
        <w:ind w:left="360"/>
        <w:jc w:val="both"/>
      </w:pPr>
      <w:r w:rsidRPr="00A032D6">
        <w:t xml:space="preserve">Ondernemer dient door middel van het ondertekenen van </w:t>
      </w:r>
      <w:r>
        <w:t>dit document</w:t>
      </w:r>
      <w:r w:rsidRPr="00A032D6">
        <w:t xml:space="preserve">, zelf te verklaren of hij in de toestand verkeert waarop de verklaring is gericht. Met de ondertekening van </w:t>
      </w:r>
      <w:r>
        <w:t>dit document</w:t>
      </w:r>
      <w:r w:rsidRPr="00A032D6">
        <w:t xml:space="preserve"> geeft de ondertekenaar de garantie voor de rechtsgeldigheid van de totale Inschrijving. De ondertekenaar dient dus door de onderneming gemachtigd te zijn.</w:t>
      </w:r>
      <w:r>
        <w:t xml:space="preserve"> Dit dient te blijken uit een i</w:t>
      </w:r>
      <w:r w:rsidRPr="00056D5F">
        <w:t>nschrijving in het nationale beroeps/handelsregister</w:t>
      </w:r>
      <w:r>
        <w:t>, in Nederland kan hiervoor de inschrijving bij de Kamer van Koophandel gelden. Dit document mag niet ouder zijn dan 6 maanden, gerekend vanaf de datum van Inschrijving.</w:t>
      </w:r>
    </w:p>
    <w:p w14:paraId="53D6F6B5" w14:textId="0D1A812B" w:rsidR="00AA06BF" w:rsidRDefault="00AA06BF">
      <w:pPr>
        <w:spacing w:line="240" w:lineRule="auto"/>
      </w:pPr>
      <w:r>
        <w:br w:type="page"/>
      </w:r>
    </w:p>
    <w:tbl>
      <w:tblPr>
        <w:tblStyle w:val="Tabelraster"/>
        <w:tblW w:w="10207" w:type="dxa"/>
        <w:tblInd w:w="-431" w:type="dxa"/>
        <w:tblLook w:val="04A0" w:firstRow="1" w:lastRow="0" w:firstColumn="1" w:lastColumn="0" w:noHBand="0" w:noVBand="1"/>
      </w:tblPr>
      <w:tblGrid>
        <w:gridCol w:w="568"/>
        <w:gridCol w:w="4880"/>
        <w:gridCol w:w="1057"/>
        <w:gridCol w:w="3702"/>
      </w:tblGrid>
      <w:tr w:rsidR="00AA06BF" w14:paraId="4C3D073D" w14:textId="77777777" w:rsidTr="00475261">
        <w:tc>
          <w:tcPr>
            <w:tcW w:w="10207" w:type="dxa"/>
            <w:gridSpan w:val="4"/>
          </w:tcPr>
          <w:p w14:paraId="6E9B05DE" w14:textId="0EED9064" w:rsidR="00AA06BF" w:rsidRPr="00AA06BF" w:rsidRDefault="00AA06BF" w:rsidP="00E1684F">
            <w:pPr>
              <w:rPr>
                <w:b/>
                <w:bCs/>
                <w:color w:val="FFFFFF" w:themeColor="background1"/>
                <w:highlight w:val="black"/>
              </w:rPr>
            </w:pPr>
            <w:r w:rsidRPr="00AA06BF">
              <w:rPr>
                <w:b/>
                <w:bCs/>
                <w:color w:val="000000" w:themeColor="text1"/>
              </w:rPr>
              <w:lastRenderedPageBreak/>
              <w:t>Geschiktheidseisen</w:t>
            </w:r>
          </w:p>
        </w:tc>
      </w:tr>
      <w:tr w:rsidR="00AA06BF" w14:paraId="5C3C5111" w14:textId="77777777" w:rsidTr="00475261">
        <w:tc>
          <w:tcPr>
            <w:tcW w:w="568" w:type="dxa"/>
          </w:tcPr>
          <w:p w14:paraId="5C4B9716" w14:textId="3849F9AE" w:rsidR="00AA06BF" w:rsidRPr="00AA06BF" w:rsidRDefault="00AA06BF" w:rsidP="00E1684F">
            <w:pPr>
              <w:rPr>
                <w:b/>
                <w:bCs/>
              </w:rPr>
            </w:pPr>
          </w:p>
        </w:tc>
        <w:tc>
          <w:tcPr>
            <w:tcW w:w="4880" w:type="dxa"/>
          </w:tcPr>
          <w:p w14:paraId="5AEFFE5B" w14:textId="28190E24" w:rsidR="00AA06BF" w:rsidRPr="00AA06BF" w:rsidRDefault="00AA06BF" w:rsidP="00E1684F">
            <w:pPr>
              <w:rPr>
                <w:b/>
                <w:bCs/>
              </w:rPr>
            </w:pPr>
            <w:r w:rsidRPr="00AA06BF">
              <w:rPr>
                <w:b/>
                <w:bCs/>
              </w:rPr>
              <w:t>Vraag</w:t>
            </w:r>
          </w:p>
        </w:tc>
        <w:tc>
          <w:tcPr>
            <w:tcW w:w="1057" w:type="dxa"/>
          </w:tcPr>
          <w:p w14:paraId="43FDE152" w14:textId="68D1030E" w:rsidR="00AA06BF" w:rsidRPr="00AA06BF" w:rsidRDefault="00AA06BF" w:rsidP="00E1684F">
            <w:pPr>
              <w:rPr>
                <w:b/>
                <w:bCs/>
              </w:rPr>
            </w:pPr>
            <w:r w:rsidRPr="00AA06BF">
              <w:rPr>
                <w:b/>
                <w:bCs/>
              </w:rPr>
              <w:t>Antwoord</w:t>
            </w:r>
          </w:p>
        </w:tc>
        <w:tc>
          <w:tcPr>
            <w:tcW w:w="3702" w:type="dxa"/>
          </w:tcPr>
          <w:p w14:paraId="7DB9CEB7" w14:textId="4DCCEBF5" w:rsidR="00AA06BF" w:rsidRPr="00AA06BF" w:rsidRDefault="00AA06BF" w:rsidP="00E1684F">
            <w:pPr>
              <w:rPr>
                <w:b/>
                <w:bCs/>
              </w:rPr>
            </w:pPr>
            <w:r w:rsidRPr="00AA06BF">
              <w:rPr>
                <w:b/>
                <w:bCs/>
              </w:rPr>
              <w:t>Bewijsstuk</w:t>
            </w:r>
          </w:p>
        </w:tc>
      </w:tr>
      <w:tr w:rsidR="00475261" w14:paraId="17633A6D" w14:textId="77777777" w:rsidTr="00475261">
        <w:tc>
          <w:tcPr>
            <w:tcW w:w="568" w:type="dxa"/>
          </w:tcPr>
          <w:p w14:paraId="10FEEC7E" w14:textId="2B5B5442" w:rsidR="00475261" w:rsidRPr="00475261" w:rsidRDefault="00475261" w:rsidP="00E1684F">
            <w:pPr>
              <w:rPr>
                <w:b/>
                <w:bCs/>
              </w:rPr>
            </w:pPr>
            <w:r w:rsidRPr="00475261">
              <w:rPr>
                <w:b/>
                <w:bCs/>
              </w:rPr>
              <w:t>1.1</w:t>
            </w:r>
          </w:p>
        </w:tc>
        <w:tc>
          <w:tcPr>
            <w:tcW w:w="9639" w:type="dxa"/>
            <w:gridSpan w:val="3"/>
          </w:tcPr>
          <w:p w14:paraId="3DA8FF9F" w14:textId="5905B4E3" w:rsidR="00475261" w:rsidRPr="00475261" w:rsidRDefault="00475261" w:rsidP="00E1684F">
            <w:pPr>
              <w:rPr>
                <w:b/>
                <w:bCs/>
              </w:rPr>
            </w:pPr>
            <w:r w:rsidRPr="00475261">
              <w:rPr>
                <w:b/>
                <w:bCs/>
              </w:rPr>
              <w:t>Technisch en/of Beroepsbekwaamheid, financiële en/of economische draagkracht</w:t>
            </w:r>
          </w:p>
        </w:tc>
      </w:tr>
      <w:tr w:rsidR="00AA06BF" w14:paraId="1FED4F45" w14:textId="77777777" w:rsidTr="00475261">
        <w:tc>
          <w:tcPr>
            <w:tcW w:w="568" w:type="dxa"/>
          </w:tcPr>
          <w:p w14:paraId="54C51BE6" w14:textId="71E5F242" w:rsidR="00AA06BF" w:rsidRDefault="00AA06BF" w:rsidP="00E1684F">
            <w:r>
              <w:t>a.</w:t>
            </w:r>
          </w:p>
        </w:tc>
        <w:tc>
          <w:tcPr>
            <w:tcW w:w="4880" w:type="dxa"/>
          </w:tcPr>
          <w:p w14:paraId="28CC1827" w14:textId="639E6AEE" w:rsidR="00AA06BF" w:rsidRDefault="00475261" w:rsidP="00E1684F">
            <w:r>
              <w:t>Ondernemer beschikt op het moment van inschrijving en gedurende de uitvoering van de opdracht over een beroepsaansprakelijkheidsverzekering of treft alternatieve voorzieningen met dekking van € 2.500.000,- per schade veroorzakende gebeurtenis met een maximum van € 500.000</w:t>
            </w:r>
          </w:p>
        </w:tc>
        <w:tc>
          <w:tcPr>
            <w:tcW w:w="1057" w:type="dxa"/>
          </w:tcPr>
          <w:p w14:paraId="38C76297" w14:textId="7AE0F380" w:rsidR="00AA06BF" w:rsidRDefault="00AA06BF" w:rsidP="00E1684F">
            <w:r w:rsidRPr="00475261">
              <w:rPr>
                <w:highlight w:val="lightGray"/>
              </w:rPr>
              <w:t>Ja/nee</w:t>
            </w:r>
          </w:p>
        </w:tc>
        <w:tc>
          <w:tcPr>
            <w:tcW w:w="3702" w:type="dxa"/>
          </w:tcPr>
          <w:p w14:paraId="541E0D33" w14:textId="35033997" w:rsidR="00AA06BF" w:rsidRDefault="00475261" w:rsidP="00E1684F">
            <w:r>
              <w:t xml:space="preserve">Indien de Aanbestedende dienst in de gunningsbeslissing bekend maakt dat de Aanbestedende dienst voornemens is de opdracht te gunnen aan Ondernemer, dient Ondernemer binnen 10 werkdagen na de datum van deze gunningsbeslissing een afschrift van de polis of alternatief bewijs in te dienen waaruit blijkt dat de Ondernemer voldoet aan 1.1 onder a. </w:t>
            </w:r>
          </w:p>
        </w:tc>
      </w:tr>
      <w:tr w:rsidR="00AA06BF" w:rsidRPr="00475261" w14:paraId="57F29E55" w14:textId="77777777" w:rsidTr="00475261">
        <w:tc>
          <w:tcPr>
            <w:tcW w:w="568" w:type="dxa"/>
          </w:tcPr>
          <w:p w14:paraId="6E06D990" w14:textId="41BB1D3C" w:rsidR="00AA06BF" w:rsidRDefault="00475261" w:rsidP="00E1684F">
            <w:r>
              <w:t>b.</w:t>
            </w:r>
          </w:p>
        </w:tc>
        <w:tc>
          <w:tcPr>
            <w:tcW w:w="4880" w:type="dxa"/>
          </w:tcPr>
          <w:p w14:paraId="4B1891F4" w14:textId="77777777" w:rsidR="00AA06BF" w:rsidRDefault="00475261" w:rsidP="00E1684F">
            <w:r>
              <w:t>Inschrijver dient te voldoen aan:</w:t>
            </w:r>
          </w:p>
          <w:p w14:paraId="7A300C5E" w14:textId="77777777" w:rsidR="00475261" w:rsidRDefault="00475261" w:rsidP="00475261">
            <w:pPr>
              <w:pStyle w:val="Lijstalinea"/>
              <w:numPr>
                <w:ilvl w:val="0"/>
                <w:numId w:val="40"/>
              </w:numPr>
            </w:pPr>
            <w:r>
              <w:t xml:space="preserve">Dun &amp; </w:t>
            </w:r>
            <w:proofErr w:type="spellStart"/>
            <w:r>
              <w:t>Bradstreet</w:t>
            </w:r>
            <w:proofErr w:type="spellEnd"/>
            <w:r>
              <w:t xml:space="preserve"> rating 1 (minimaal risico) of 2 (laag risico) of</w:t>
            </w:r>
          </w:p>
          <w:p w14:paraId="18884030" w14:textId="77777777" w:rsidR="00475261" w:rsidRDefault="00475261" w:rsidP="00475261">
            <w:pPr>
              <w:pStyle w:val="Lijstalinea"/>
              <w:numPr>
                <w:ilvl w:val="0"/>
                <w:numId w:val="40"/>
              </w:numPr>
            </w:pPr>
            <w:r w:rsidRPr="00475261">
              <w:t xml:space="preserve">Graydon rating Risk </w:t>
            </w:r>
            <w:proofErr w:type="spellStart"/>
            <w:r w:rsidRPr="00475261">
              <w:t>Classification</w:t>
            </w:r>
            <w:proofErr w:type="spellEnd"/>
            <w:r w:rsidRPr="00475261">
              <w:t xml:space="preserve"> niveau 3 B, BB of BBB (gemiddeld), 4A of AA (la</w:t>
            </w:r>
            <w:r>
              <w:t>a</w:t>
            </w:r>
            <w:r w:rsidRPr="00475261">
              <w:t>g) of 5 AAA(zeer lag). En/o</w:t>
            </w:r>
            <w:r>
              <w:t>f</w:t>
            </w:r>
          </w:p>
          <w:p w14:paraId="17D55ECE" w14:textId="35378A45" w:rsidR="00475261" w:rsidRPr="00475261" w:rsidRDefault="00475261" w:rsidP="00475261">
            <w:pPr>
              <w:pStyle w:val="Lijstalinea"/>
              <w:numPr>
                <w:ilvl w:val="0"/>
                <w:numId w:val="40"/>
              </w:numPr>
            </w:pPr>
            <w:r>
              <w:t>Een vergelijke (onafhankelijke)kredietbeoordelaar met een vergelijkbare risicoklasse indeling en dito beoordeling van Inschrijver.  Let op:  de bewijslast ligt bij de inschrijver!</w:t>
            </w:r>
          </w:p>
        </w:tc>
        <w:tc>
          <w:tcPr>
            <w:tcW w:w="1057" w:type="dxa"/>
          </w:tcPr>
          <w:p w14:paraId="6FA2B11E" w14:textId="133DAD21" w:rsidR="00AA06BF" w:rsidRPr="00475261" w:rsidRDefault="00475261" w:rsidP="00E1684F">
            <w:r w:rsidRPr="00475261">
              <w:rPr>
                <w:highlight w:val="lightGray"/>
              </w:rPr>
              <w:t>Ja/nee</w:t>
            </w:r>
          </w:p>
        </w:tc>
        <w:tc>
          <w:tcPr>
            <w:tcW w:w="3702" w:type="dxa"/>
          </w:tcPr>
          <w:p w14:paraId="584AA56F" w14:textId="77777777" w:rsidR="00475261" w:rsidRDefault="00475261" w:rsidP="00475261">
            <w:pPr>
              <w:spacing w:line="240" w:lineRule="auto"/>
              <w:rPr>
                <w:sz w:val="19"/>
                <w:szCs w:val="19"/>
              </w:rPr>
            </w:pPr>
            <w:r>
              <w:rPr>
                <w:sz w:val="19"/>
                <w:szCs w:val="19"/>
              </w:rPr>
              <w:t>Indien Aanbestedende dienst in de gunningsbeslissing bekend maakt dat AD voornemens is de opdracht te gunnen aan Ondernemer, dient Ondernemer binnen 10 werkdagen na de datum van deze gunningsbeslissing een bewijs in te dienen waarvan het rapport niet ouder is dan zes maanden gerekend vanaf de sluitingsdatum van de inschrijving.</w:t>
            </w:r>
          </w:p>
          <w:p w14:paraId="4F71B326" w14:textId="189D3C50" w:rsidR="00AA06BF" w:rsidRPr="00475261" w:rsidRDefault="00475261" w:rsidP="00475261">
            <w:pPr>
              <w:spacing w:line="240" w:lineRule="auto"/>
              <w:rPr>
                <w:sz w:val="19"/>
                <w:szCs w:val="19"/>
              </w:rPr>
            </w:pPr>
            <w:r>
              <w:rPr>
                <w:sz w:val="19"/>
                <w:szCs w:val="19"/>
              </w:rPr>
              <w:t xml:space="preserve">Nb indien een beroep op de draagkracht van een samenwerkingsverband van inschrijvers of derden(waaronder inbegrepen </w:t>
            </w:r>
            <w:r w:rsidR="00814684">
              <w:rPr>
                <w:sz w:val="19"/>
                <w:szCs w:val="19"/>
              </w:rPr>
              <w:t>onderaannemer</w:t>
            </w:r>
            <w:r>
              <w:rPr>
                <w:sz w:val="19"/>
                <w:szCs w:val="19"/>
              </w:rPr>
              <w:t>(s), moeder-, dochter – en zusterondernemeningen) wordt gedaan, dient u dit in het UEA aan te geven.</w:t>
            </w:r>
          </w:p>
        </w:tc>
      </w:tr>
      <w:tr w:rsidR="00475261" w:rsidRPr="00475261" w14:paraId="1C15A92A" w14:textId="77777777" w:rsidTr="00475261">
        <w:tc>
          <w:tcPr>
            <w:tcW w:w="568" w:type="dxa"/>
          </w:tcPr>
          <w:p w14:paraId="11B10171" w14:textId="7B617438" w:rsidR="00475261" w:rsidRPr="00475261" w:rsidRDefault="00475261" w:rsidP="00475261">
            <w:r>
              <w:t>c.</w:t>
            </w:r>
          </w:p>
        </w:tc>
        <w:tc>
          <w:tcPr>
            <w:tcW w:w="4880" w:type="dxa"/>
          </w:tcPr>
          <w:p w14:paraId="4E91085E" w14:textId="1302F585" w:rsidR="00475261" w:rsidRPr="00475261" w:rsidRDefault="00475261" w:rsidP="00475261">
            <w:pPr>
              <w:rPr>
                <w:sz w:val="19"/>
                <w:szCs w:val="19"/>
              </w:rPr>
            </w:pPr>
            <w:r w:rsidRPr="00276AFB">
              <w:rPr>
                <w:sz w:val="19"/>
                <w:szCs w:val="19"/>
              </w:rPr>
              <w:t xml:space="preserve">Ondernemer beschikt op het moment van inschrijving en gedurende de uitvoering van de opdracht over </w:t>
            </w:r>
            <w:r>
              <w:rPr>
                <w:sz w:val="19"/>
                <w:szCs w:val="19"/>
              </w:rPr>
              <w:t xml:space="preserve">een </w:t>
            </w:r>
            <w:r w:rsidRPr="003D1E75">
              <w:rPr>
                <w:b/>
                <w:sz w:val="19"/>
                <w:szCs w:val="19"/>
              </w:rPr>
              <w:t>kwaliteitsmanagementsysteem</w:t>
            </w:r>
            <w:r>
              <w:rPr>
                <w:sz w:val="19"/>
                <w:szCs w:val="19"/>
              </w:rPr>
              <w:t xml:space="preserve"> zoals </w:t>
            </w:r>
            <w:r>
              <w:t xml:space="preserve">ISO 90001 </w:t>
            </w:r>
            <w:r>
              <w:rPr>
                <w:sz w:val="19"/>
                <w:szCs w:val="19"/>
              </w:rPr>
              <w:t xml:space="preserve">of gelijkwaardig.  </w:t>
            </w:r>
            <w:r w:rsidRPr="002342C6">
              <w:rPr>
                <w:sz w:val="19"/>
                <w:szCs w:val="19"/>
              </w:rPr>
              <w:t xml:space="preserve">Ingeval van aanmelding als combinatie dient de combinatie als geheel dan wel iedere combinant afzonderlijk te kunnen beschikken over een werkend kwaliteitssysteem </w:t>
            </w:r>
            <w:r>
              <w:rPr>
                <w:sz w:val="19"/>
                <w:szCs w:val="19"/>
              </w:rPr>
              <w:t xml:space="preserve"> dat voldoet aan </w:t>
            </w:r>
            <w:r>
              <w:t xml:space="preserve">ISO 90001 </w:t>
            </w:r>
            <w:r>
              <w:rPr>
                <w:sz w:val="19"/>
                <w:szCs w:val="19"/>
              </w:rPr>
              <w:t>of gelijkwaardig.</w:t>
            </w:r>
          </w:p>
        </w:tc>
        <w:tc>
          <w:tcPr>
            <w:tcW w:w="1057" w:type="dxa"/>
          </w:tcPr>
          <w:p w14:paraId="2CFAE075" w14:textId="608A44EE" w:rsidR="00475261" w:rsidRPr="00475261" w:rsidRDefault="00475261" w:rsidP="00475261">
            <w:r w:rsidRPr="00475261">
              <w:rPr>
                <w:highlight w:val="lightGray"/>
              </w:rPr>
              <w:t>Ja/nee</w:t>
            </w:r>
          </w:p>
        </w:tc>
        <w:tc>
          <w:tcPr>
            <w:tcW w:w="3702" w:type="dxa"/>
          </w:tcPr>
          <w:p w14:paraId="2F81A7F8" w14:textId="22E33A4E" w:rsidR="00475261" w:rsidRPr="00475261" w:rsidRDefault="00475261" w:rsidP="00475261">
            <w:r>
              <w:rPr>
                <w:sz w:val="19"/>
                <w:szCs w:val="19"/>
              </w:rPr>
              <w:t>Indien Aanbestedende dienst in de gunningsbeslissing bekend maakt dat Aanbestedende dienst voornemens is de opdracht te gunnen aan Ondernemer, dient Ondernemer   binnen 10 werkdagen na de datum van deze gunningsbeslissing</w:t>
            </w:r>
            <w:r w:rsidDel="00F955D4">
              <w:rPr>
                <w:sz w:val="19"/>
                <w:szCs w:val="19"/>
              </w:rPr>
              <w:t xml:space="preserve"> </w:t>
            </w:r>
            <w:r>
              <w:rPr>
                <w:sz w:val="19"/>
                <w:szCs w:val="19"/>
              </w:rPr>
              <w:t>een bewijs in te dienen m.b.t. het kwaliteitsmanagementsysteem dat hij hanteert,  waaruit blijkt dat de Ondernemer voldoet aan 1.1 onder c.</w:t>
            </w:r>
          </w:p>
        </w:tc>
      </w:tr>
      <w:tr w:rsidR="00475261" w:rsidRPr="00475261" w14:paraId="18964C79" w14:textId="77777777" w:rsidTr="00475261">
        <w:tc>
          <w:tcPr>
            <w:tcW w:w="568" w:type="dxa"/>
          </w:tcPr>
          <w:p w14:paraId="06078275" w14:textId="0072A187" w:rsidR="00475261" w:rsidRPr="00475261" w:rsidRDefault="00475261" w:rsidP="00475261">
            <w:r>
              <w:t>d.</w:t>
            </w:r>
          </w:p>
        </w:tc>
        <w:tc>
          <w:tcPr>
            <w:tcW w:w="4880" w:type="dxa"/>
          </w:tcPr>
          <w:p w14:paraId="69247FF1" w14:textId="0EC4FB86" w:rsidR="00475261" w:rsidRPr="00475261" w:rsidRDefault="00475261" w:rsidP="00475261">
            <w:r>
              <w:t xml:space="preserve">Ondernemer beschikt over een </w:t>
            </w:r>
            <w:r w:rsidRPr="005B424D">
              <w:rPr>
                <w:b/>
                <w:bCs/>
              </w:rPr>
              <w:t>milieumanagementsysteem</w:t>
            </w:r>
            <w:r>
              <w:t xml:space="preserve"> conform de eisen en richtlijnen van de (</w:t>
            </w:r>
            <w:proofErr w:type="spellStart"/>
            <w:r>
              <w:t>inter</w:t>
            </w:r>
            <w:proofErr w:type="spellEnd"/>
            <w:r>
              <w:t>)nationale norm voor milieumanagementsysteem NEN ISO 14001, EMAS of gelijkwaardig.</w:t>
            </w:r>
          </w:p>
        </w:tc>
        <w:tc>
          <w:tcPr>
            <w:tcW w:w="1057" w:type="dxa"/>
          </w:tcPr>
          <w:p w14:paraId="384D3EA8" w14:textId="2007FB2B" w:rsidR="00475261" w:rsidRPr="00475261" w:rsidRDefault="00475261" w:rsidP="00475261">
            <w:r w:rsidRPr="00475261">
              <w:rPr>
                <w:highlight w:val="lightGray"/>
              </w:rPr>
              <w:t>Ja/nee</w:t>
            </w:r>
          </w:p>
        </w:tc>
        <w:tc>
          <w:tcPr>
            <w:tcW w:w="3702" w:type="dxa"/>
          </w:tcPr>
          <w:p w14:paraId="06698169" w14:textId="0B0002A5" w:rsidR="00475261" w:rsidRPr="00475261" w:rsidRDefault="00475261" w:rsidP="00475261">
            <w:r>
              <w:t>Indien Aanbestedende dienst in de gunningsbeslissing bekend maakt dat Aanbestedende dienst voornemens is de opdracht te gunnen aan Ondernemer, dient Ondernemer</w:t>
            </w:r>
            <w:r w:rsidR="00192840">
              <w:t xml:space="preserve"> binnen 10 werkdagen na de datum van deze gunningsbeslissing een bewijs in te dienen m.b.t. het milieumanagementsysteem dat hij </w:t>
            </w:r>
            <w:r w:rsidR="00192840">
              <w:lastRenderedPageBreak/>
              <w:t>hanteert, waaruit blijkt dat de ondernemen voldoet aan 1.1 onder d.</w:t>
            </w:r>
          </w:p>
        </w:tc>
      </w:tr>
      <w:tr w:rsidR="00475261" w:rsidRPr="00475261" w14:paraId="630B2264" w14:textId="77777777" w:rsidTr="00475261">
        <w:tc>
          <w:tcPr>
            <w:tcW w:w="568" w:type="dxa"/>
          </w:tcPr>
          <w:p w14:paraId="590081B1" w14:textId="2611C00F" w:rsidR="00475261" w:rsidRPr="00475261" w:rsidRDefault="00192840" w:rsidP="00475261">
            <w:r>
              <w:lastRenderedPageBreak/>
              <w:t>e.</w:t>
            </w:r>
          </w:p>
        </w:tc>
        <w:tc>
          <w:tcPr>
            <w:tcW w:w="4880" w:type="dxa"/>
          </w:tcPr>
          <w:p w14:paraId="037C44F0" w14:textId="4C6321B5" w:rsidR="00475261" w:rsidRPr="00475261" w:rsidRDefault="00192840" w:rsidP="00475261">
            <w:r>
              <w:t>Ondernemer heeft kennis genomen van en is akkoord met , de “NFU algemene inkoopvoorwaarden”.  Door de Ondernemer(s) gehanteerde branchevoorwaarden, algemene voorwaarden of andere voorwaarden (van welke aard dan ook) zijn niet van toepassing</w:t>
            </w:r>
          </w:p>
        </w:tc>
        <w:tc>
          <w:tcPr>
            <w:tcW w:w="1057" w:type="dxa"/>
          </w:tcPr>
          <w:p w14:paraId="516D524D" w14:textId="78A97BCF" w:rsidR="00475261" w:rsidRPr="00475261" w:rsidRDefault="00192840" w:rsidP="00475261">
            <w:r w:rsidRPr="00475261">
              <w:rPr>
                <w:highlight w:val="lightGray"/>
              </w:rPr>
              <w:t>Ja/nee</w:t>
            </w:r>
          </w:p>
        </w:tc>
        <w:tc>
          <w:tcPr>
            <w:tcW w:w="3702" w:type="dxa"/>
          </w:tcPr>
          <w:p w14:paraId="69FB26C4" w14:textId="094F7F10" w:rsidR="00475261" w:rsidRPr="00475261" w:rsidRDefault="00192840" w:rsidP="00475261">
            <w:r>
              <w:t>Geen.</w:t>
            </w:r>
          </w:p>
        </w:tc>
      </w:tr>
      <w:tr w:rsidR="00475261" w:rsidRPr="00475261" w14:paraId="7607D2E8" w14:textId="77777777" w:rsidTr="00475261">
        <w:tc>
          <w:tcPr>
            <w:tcW w:w="568" w:type="dxa"/>
          </w:tcPr>
          <w:p w14:paraId="3D333377" w14:textId="6C4CED83" w:rsidR="00475261" w:rsidRPr="00475261" w:rsidRDefault="00192840" w:rsidP="00475261">
            <w:r>
              <w:t>f.</w:t>
            </w:r>
          </w:p>
        </w:tc>
        <w:tc>
          <w:tcPr>
            <w:tcW w:w="4880" w:type="dxa"/>
          </w:tcPr>
          <w:p w14:paraId="704A2D9A" w14:textId="2F0388FB" w:rsidR="00475261" w:rsidRPr="00475261" w:rsidRDefault="00192840" w:rsidP="00475261">
            <w:r>
              <w:t>Ondernemer heeft een Nederlands sprekende serviceorganisatie voor ondersteuning op technische en/of software-vraagstukken, is tijdens reguliere kantooruren bereikbaar en daarbuiten via een noodnummer voor calamiteiten.</w:t>
            </w:r>
          </w:p>
        </w:tc>
        <w:tc>
          <w:tcPr>
            <w:tcW w:w="1057" w:type="dxa"/>
          </w:tcPr>
          <w:p w14:paraId="68C450D3" w14:textId="646FDFEF" w:rsidR="00475261" w:rsidRPr="00475261" w:rsidRDefault="00192840" w:rsidP="00475261">
            <w:r w:rsidRPr="00475261">
              <w:rPr>
                <w:highlight w:val="lightGray"/>
              </w:rPr>
              <w:t>Ja/nee</w:t>
            </w:r>
          </w:p>
        </w:tc>
        <w:tc>
          <w:tcPr>
            <w:tcW w:w="3702" w:type="dxa"/>
          </w:tcPr>
          <w:p w14:paraId="4E5D8D70" w14:textId="0EF0C383" w:rsidR="00475261" w:rsidRPr="00475261" w:rsidRDefault="00192840" w:rsidP="00475261">
            <w:r>
              <w:t>Geen.</w:t>
            </w:r>
          </w:p>
        </w:tc>
      </w:tr>
      <w:tr w:rsidR="00475261" w:rsidRPr="00475261" w14:paraId="61F796F2" w14:textId="77777777" w:rsidTr="00475261">
        <w:tc>
          <w:tcPr>
            <w:tcW w:w="568" w:type="dxa"/>
          </w:tcPr>
          <w:p w14:paraId="25330A97" w14:textId="65D87F39" w:rsidR="00475261" w:rsidRPr="00475261" w:rsidRDefault="00812E89" w:rsidP="00475261">
            <w:r>
              <w:t>g.</w:t>
            </w:r>
          </w:p>
        </w:tc>
        <w:tc>
          <w:tcPr>
            <w:tcW w:w="4880" w:type="dxa"/>
          </w:tcPr>
          <w:p w14:paraId="322A0385" w14:textId="1AF27147" w:rsidR="00475261" w:rsidRPr="00475261" w:rsidRDefault="00812E89" w:rsidP="00475261">
            <w:r>
              <w:t xml:space="preserve">Ondernemer heeft ervaring met onderstaande kerncompetentie die aanbestedende dienst van belang acht op onderhavige opdracht:  </w:t>
            </w:r>
            <w:r w:rsidRPr="00812E89">
              <w:rPr>
                <w:b/>
                <w:bCs/>
                <w:i/>
                <w:iCs/>
              </w:rPr>
              <w:t>Presteren</w:t>
            </w:r>
            <w:r>
              <w:t>; Ondernemer geeft een referentie op van een vergelijkbare opdracht.</w:t>
            </w:r>
          </w:p>
        </w:tc>
        <w:tc>
          <w:tcPr>
            <w:tcW w:w="1057" w:type="dxa"/>
          </w:tcPr>
          <w:p w14:paraId="10D5D5CB" w14:textId="71777802" w:rsidR="00475261" w:rsidRPr="00475261" w:rsidRDefault="00812E89" w:rsidP="00475261">
            <w:r w:rsidRPr="00475261">
              <w:rPr>
                <w:highlight w:val="lightGray"/>
              </w:rPr>
              <w:t>Ja/nee</w:t>
            </w:r>
          </w:p>
        </w:tc>
        <w:tc>
          <w:tcPr>
            <w:tcW w:w="3702" w:type="dxa"/>
          </w:tcPr>
          <w:p w14:paraId="7677835E" w14:textId="72F6F809" w:rsidR="00475261" w:rsidRPr="00475261" w:rsidRDefault="00812E89" w:rsidP="00475261">
            <w:r>
              <w:t>Om aan te tonen dat u voldoet aan de genoemde kerncompetentie, dient Ondernemer bij de inschrijving één (1) referentie op te geven waaruit blijkt dat uw organisatie voldoende ervaring heeft met betrekking tot de betreffende kerncompetentie.  Het invulformulier voor de referentiegegevens vindt Onderneme</w:t>
            </w:r>
            <w:r w:rsidR="00EA3E5F">
              <w:t>r</w:t>
            </w:r>
            <w:r>
              <w:t xml:space="preserve"> hieronder.</w:t>
            </w:r>
          </w:p>
        </w:tc>
      </w:tr>
      <w:tr w:rsidR="00475261" w:rsidRPr="00475261" w14:paraId="6D3E383A" w14:textId="77777777" w:rsidTr="00475261">
        <w:tc>
          <w:tcPr>
            <w:tcW w:w="568" w:type="dxa"/>
          </w:tcPr>
          <w:p w14:paraId="7266AE08" w14:textId="5BCABD78" w:rsidR="00475261" w:rsidRPr="00475261" w:rsidRDefault="00812E89" w:rsidP="00475261">
            <w:r>
              <w:t>h.</w:t>
            </w:r>
          </w:p>
        </w:tc>
        <w:tc>
          <w:tcPr>
            <w:tcW w:w="4880" w:type="dxa"/>
          </w:tcPr>
          <w:p w14:paraId="682F6D3A" w14:textId="74BCD9B2" w:rsidR="00475261" w:rsidRPr="00475261" w:rsidRDefault="00814684" w:rsidP="00475261">
            <w:r w:rsidRPr="002D7C5C">
              <w:rPr>
                <w:rFonts w:cs="Calibri"/>
                <w:color w:val="333333"/>
                <w:spacing w:val="-8"/>
                <w:sz w:val="19"/>
                <w:szCs w:val="19"/>
                <w:shd w:val="clear" w:color="auto" w:fill="FFFFFF"/>
              </w:rPr>
              <w:t xml:space="preserve">Indien er een beroep op de draagkracht, bekwaamheid etc. van derden (of een samenwerkingsverband van inschrijvers, etc.) waaronder begrepen, maar niet beperkt tot, onderaannemer(s), moeder-, dochter- en zusterondernemingen) wordt gedaan, dient u dit, indien mogelijk, in het UEA aan te geven </w:t>
            </w:r>
            <w:r w:rsidR="00DD2DB9">
              <w:rPr>
                <w:rFonts w:cs="Calibri"/>
                <w:color w:val="333333"/>
                <w:spacing w:val="-8"/>
                <w:sz w:val="19"/>
                <w:szCs w:val="19"/>
                <w:shd w:val="clear" w:color="auto" w:fill="FFFFFF"/>
              </w:rPr>
              <w:t xml:space="preserve">. </w:t>
            </w:r>
            <w:r w:rsidRPr="002D7C5C">
              <w:rPr>
                <w:rFonts w:cs="Calibri"/>
                <w:color w:val="333333"/>
                <w:spacing w:val="-8"/>
                <w:sz w:val="19"/>
                <w:szCs w:val="19"/>
                <w:shd w:val="clear" w:color="auto" w:fill="FFFFFF"/>
              </w:rPr>
              <w:t>Bij een samenwerkingsverband dienen alle Inschrijvers afzonderlijk het UEA in te dienen. Na 'voorlopige' gunning dient u op eerste verzoek aan te tonen dat u daadwerkelijk kunt beschikken over de voor de uitvoering van de overheidsopdracht noodzakelijke middelen c.q. uitvoering door derden waarop u een beroep heeft gedaan. </w:t>
            </w:r>
          </w:p>
        </w:tc>
        <w:tc>
          <w:tcPr>
            <w:tcW w:w="1057" w:type="dxa"/>
          </w:tcPr>
          <w:p w14:paraId="7E7E41E1" w14:textId="11255B55" w:rsidR="00475261" w:rsidRPr="00475261" w:rsidRDefault="00814684" w:rsidP="00475261">
            <w:r w:rsidRPr="00475261">
              <w:rPr>
                <w:highlight w:val="lightGray"/>
              </w:rPr>
              <w:t>Ja/nee</w:t>
            </w:r>
          </w:p>
        </w:tc>
        <w:tc>
          <w:tcPr>
            <w:tcW w:w="3702" w:type="dxa"/>
          </w:tcPr>
          <w:p w14:paraId="4C5F12C3" w14:textId="77777777" w:rsidR="00814684" w:rsidRDefault="00814684" w:rsidP="00814684">
            <w:pPr>
              <w:spacing w:line="240" w:lineRule="auto"/>
              <w:rPr>
                <w:sz w:val="19"/>
                <w:szCs w:val="19"/>
              </w:rPr>
            </w:pPr>
            <w:r>
              <w:rPr>
                <w:sz w:val="19"/>
                <w:szCs w:val="19"/>
              </w:rPr>
              <w:t>Indien Aanbestedende dienst in de gunningsbeslissing bekend maakt dat AD voornemens is de opdracht te gunnen aan Ondernemer, dient Ondernemer binnen 10 werkdagen document te uploaden.</w:t>
            </w:r>
          </w:p>
          <w:p w14:paraId="4CB23F96" w14:textId="77777777" w:rsidR="00475261" w:rsidRPr="00475261" w:rsidRDefault="00475261" w:rsidP="00475261"/>
        </w:tc>
      </w:tr>
      <w:tr w:rsidR="00475261" w:rsidRPr="00475261" w14:paraId="4CC15DFA" w14:textId="77777777" w:rsidTr="00475261">
        <w:tc>
          <w:tcPr>
            <w:tcW w:w="568" w:type="dxa"/>
          </w:tcPr>
          <w:p w14:paraId="07000801" w14:textId="35CBCE77" w:rsidR="00475261" w:rsidRPr="00475261" w:rsidRDefault="00814684" w:rsidP="00475261">
            <w:r>
              <w:t>i.</w:t>
            </w:r>
          </w:p>
        </w:tc>
        <w:tc>
          <w:tcPr>
            <w:tcW w:w="4880" w:type="dxa"/>
          </w:tcPr>
          <w:p w14:paraId="25B4CFC0" w14:textId="77777777" w:rsidR="00814684" w:rsidRPr="002D7C5C" w:rsidRDefault="00814684" w:rsidP="00814684">
            <w:pPr>
              <w:spacing w:line="240" w:lineRule="auto"/>
              <w:rPr>
                <w:rFonts w:cs="Calibri"/>
                <w:b/>
                <w:bCs/>
                <w:color w:val="333333"/>
                <w:spacing w:val="-8"/>
                <w:sz w:val="19"/>
                <w:szCs w:val="19"/>
                <w:shd w:val="clear" w:color="auto" w:fill="FFFFFF"/>
              </w:rPr>
            </w:pPr>
            <w:r w:rsidRPr="002D7C5C">
              <w:rPr>
                <w:rFonts w:cs="Calibri"/>
                <w:b/>
                <w:bCs/>
                <w:color w:val="333333"/>
                <w:spacing w:val="-8"/>
                <w:sz w:val="19"/>
                <w:szCs w:val="19"/>
                <w:shd w:val="clear" w:color="auto" w:fill="FFFFFF"/>
              </w:rPr>
              <w:t>BIBOB</w:t>
            </w:r>
          </w:p>
          <w:p w14:paraId="2492ADCD" w14:textId="77777777" w:rsidR="00814684" w:rsidRPr="002D7C5C" w:rsidRDefault="00814684" w:rsidP="00814684">
            <w:pPr>
              <w:spacing w:line="240" w:lineRule="auto"/>
              <w:rPr>
                <w:rFonts w:cs="Calibri"/>
                <w:color w:val="333333"/>
                <w:spacing w:val="-8"/>
                <w:sz w:val="19"/>
                <w:szCs w:val="19"/>
                <w:shd w:val="clear" w:color="auto" w:fill="FFFFFF"/>
              </w:rPr>
            </w:pPr>
            <w:r w:rsidRPr="002D7C5C">
              <w:rPr>
                <w:rFonts w:cs="Calibri"/>
                <w:color w:val="333333"/>
                <w:spacing w:val="-8"/>
                <w:sz w:val="19"/>
                <w:szCs w:val="19"/>
                <w:shd w:val="clear" w:color="auto" w:fill="FFFFFF"/>
              </w:rPr>
              <w:t>In het kader van de Wet bevordering integriteitsbeoordeling door het openbaar bestuur (BIBOB) wordt, zoals opgenomen in de aanbestedingsdocumenten, van Inschrijver en eventueel de onderaannemer informatie gevraagd. Wanneer UMC daartoe aanleiding ziet, kan het voor of na de gunning een nader onderzoek laten instellen naar de integriteit van de inschrijver door het bureau BIBOB.</w:t>
            </w:r>
          </w:p>
          <w:p w14:paraId="0AB64CF4" w14:textId="77777777" w:rsidR="00475261" w:rsidRDefault="00475261" w:rsidP="00475261"/>
          <w:p w14:paraId="273FB674" w14:textId="77777777" w:rsidR="00814684" w:rsidRPr="00475261" w:rsidRDefault="00814684" w:rsidP="00475261"/>
        </w:tc>
        <w:tc>
          <w:tcPr>
            <w:tcW w:w="1057" w:type="dxa"/>
          </w:tcPr>
          <w:p w14:paraId="52473A6F" w14:textId="7D5282BA" w:rsidR="00475261" w:rsidRPr="00475261" w:rsidRDefault="00814684" w:rsidP="00475261">
            <w:r w:rsidRPr="00475261">
              <w:rPr>
                <w:highlight w:val="lightGray"/>
              </w:rPr>
              <w:t>Ja/nee</w:t>
            </w:r>
          </w:p>
        </w:tc>
        <w:tc>
          <w:tcPr>
            <w:tcW w:w="3702" w:type="dxa"/>
          </w:tcPr>
          <w:p w14:paraId="11999A4E" w14:textId="67F31071" w:rsidR="00475261" w:rsidRPr="00475261" w:rsidRDefault="00814684" w:rsidP="00475261">
            <w:r>
              <w:t>Geen.</w:t>
            </w:r>
          </w:p>
        </w:tc>
      </w:tr>
      <w:tr w:rsidR="00475261" w:rsidRPr="00475261" w14:paraId="1F0A1C95" w14:textId="77777777" w:rsidTr="00475261">
        <w:tc>
          <w:tcPr>
            <w:tcW w:w="568" w:type="dxa"/>
          </w:tcPr>
          <w:p w14:paraId="7D533A64" w14:textId="5C2117E9" w:rsidR="00475261" w:rsidRPr="00475261" w:rsidRDefault="00814684" w:rsidP="00475261">
            <w:r>
              <w:lastRenderedPageBreak/>
              <w:t>ii.</w:t>
            </w:r>
          </w:p>
        </w:tc>
        <w:tc>
          <w:tcPr>
            <w:tcW w:w="4880" w:type="dxa"/>
          </w:tcPr>
          <w:p w14:paraId="6EC321D5" w14:textId="77777777" w:rsidR="00814684" w:rsidRPr="002D7C5C" w:rsidRDefault="00814684" w:rsidP="00814684">
            <w:pPr>
              <w:spacing w:line="240" w:lineRule="auto"/>
              <w:rPr>
                <w:rFonts w:cs="Calibri"/>
                <w:b/>
                <w:bCs/>
                <w:color w:val="333333"/>
                <w:spacing w:val="-8"/>
                <w:sz w:val="19"/>
                <w:szCs w:val="19"/>
                <w:shd w:val="clear" w:color="auto" w:fill="FFFFFF"/>
              </w:rPr>
            </w:pPr>
            <w:r w:rsidRPr="002D7C5C">
              <w:rPr>
                <w:rFonts w:cs="Calibri"/>
                <w:b/>
                <w:bCs/>
                <w:color w:val="333333"/>
                <w:spacing w:val="-8"/>
                <w:sz w:val="19"/>
                <w:szCs w:val="19"/>
                <w:shd w:val="clear" w:color="auto" w:fill="FFFFFF"/>
              </w:rPr>
              <w:t>Duurzaamheid:  Sociale Normen</w:t>
            </w:r>
          </w:p>
          <w:p w14:paraId="7CF40815" w14:textId="4EF5D6B6" w:rsidR="00475261" w:rsidRPr="00475261" w:rsidRDefault="00814684" w:rsidP="00814684">
            <w:r w:rsidRPr="002D7C5C">
              <w:rPr>
                <w:rFonts w:cs="Calibri"/>
                <w:color w:val="333333"/>
                <w:spacing w:val="-8"/>
                <w:sz w:val="19"/>
                <w:szCs w:val="19"/>
                <w:shd w:val="clear" w:color="auto" w:fill="FFFFFF"/>
              </w:rPr>
              <w:t>UMC verlangt van haar opdrachtnemer dat deze in het kader van de overeenkomst bijdraagt aan, kort gezegd, het bewust worden, voorkomen en aanpakken van nadelige invloeden van de opdracht op internationale sociale normen. Dit verlangen is in lijn met de huidige internationale denkbeelden over ketenbeheer en internationaal maatschappelijk verantwoord ondernemen (o.a. VN, OECD, ICC, SER).</w:t>
            </w:r>
            <w:r w:rsidRPr="002D7C5C">
              <w:rPr>
                <w:rFonts w:cs="Calibri"/>
                <w:color w:val="333333"/>
                <w:spacing w:val="-8"/>
                <w:sz w:val="19"/>
                <w:szCs w:val="19"/>
              </w:rPr>
              <w:br/>
            </w:r>
            <w:r w:rsidRPr="002D7C5C">
              <w:rPr>
                <w:rFonts w:cs="Calibri"/>
                <w:color w:val="333333"/>
                <w:spacing w:val="-8"/>
                <w:sz w:val="19"/>
                <w:szCs w:val="19"/>
              </w:rPr>
              <w:br/>
            </w:r>
            <w:r w:rsidRPr="002D7C5C">
              <w:rPr>
                <w:rFonts w:cs="Calibri"/>
                <w:color w:val="333333"/>
                <w:spacing w:val="-8"/>
                <w:sz w:val="19"/>
                <w:szCs w:val="19"/>
                <w:shd w:val="clear" w:color="auto" w:fill="FFFFFF"/>
              </w:rPr>
              <w:t>In de toegevoegde Verklaring Sociale Voorwaarden is e.e.a. nader toegelicht.</w:t>
            </w:r>
          </w:p>
        </w:tc>
        <w:tc>
          <w:tcPr>
            <w:tcW w:w="1057" w:type="dxa"/>
          </w:tcPr>
          <w:p w14:paraId="38E71447" w14:textId="11159BAD" w:rsidR="00475261" w:rsidRPr="00475261" w:rsidRDefault="00814684" w:rsidP="00475261">
            <w:r w:rsidRPr="00475261">
              <w:rPr>
                <w:highlight w:val="lightGray"/>
              </w:rPr>
              <w:t>Ja/nee</w:t>
            </w:r>
          </w:p>
        </w:tc>
        <w:tc>
          <w:tcPr>
            <w:tcW w:w="3702" w:type="dxa"/>
          </w:tcPr>
          <w:p w14:paraId="1401AB02" w14:textId="56170380" w:rsidR="00475261" w:rsidRPr="00475261" w:rsidRDefault="00814684" w:rsidP="00475261">
            <w:r>
              <w:t>Geen.</w:t>
            </w:r>
          </w:p>
        </w:tc>
      </w:tr>
    </w:tbl>
    <w:p w14:paraId="7CF6CB77" w14:textId="28AA293B" w:rsidR="00814684" w:rsidRDefault="00814684" w:rsidP="00E1684F"/>
    <w:p w14:paraId="22FC9440" w14:textId="77777777" w:rsidR="00814684" w:rsidRDefault="00814684">
      <w:r>
        <w:br w:type="page"/>
      </w:r>
    </w:p>
    <w:tbl>
      <w:tblPr>
        <w:tblW w:w="9431" w:type="dxa"/>
        <w:tblInd w:w="-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1E0" w:firstRow="1" w:lastRow="1" w:firstColumn="1" w:lastColumn="1" w:noHBand="0" w:noVBand="0"/>
      </w:tblPr>
      <w:tblGrid>
        <w:gridCol w:w="3194"/>
        <w:gridCol w:w="67"/>
        <w:gridCol w:w="6095"/>
        <w:gridCol w:w="75"/>
      </w:tblGrid>
      <w:tr w:rsidR="00814684" w:rsidRPr="00552F66" w14:paraId="5AC94E66" w14:textId="77777777" w:rsidTr="009C7857">
        <w:tc>
          <w:tcPr>
            <w:tcW w:w="9431" w:type="dxa"/>
            <w:gridSpan w:val="4"/>
            <w:tcBorders>
              <w:bottom w:val="single" w:sz="4" w:space="0" w:color="auto"/>
            </w:tcBorders>
            <w:shd w:val="solid" w:color="auto" w:fill="auto"/>
          </w:tcPr>
          <w:p w14:paraId="33A1A1CF" w14:textId="77777777" w:rsidR="00814684" w:rsidRPr="008B23CC" w:rsidRDefault="00814684" w:rsidP="009C7857">
            <w:pPr>
              <w:tabs>
                <w:tab w:val="left" w:pos="1843"/>
              </w:tabs>
              <w:rPr>
                <w:b/>
                <w:color w:val="FFFFFF"/>
                <w:sz w:val="16"/>
                <w:szCs w:val="16"/>
              </w:rPr>
            </w:pPr>
            <w:r w:rsidRPr="008B23CC">
              <w:rPr>
                <w:b/>
                <w:color w:val="FFFFFF"/>
                <w:sz w:val="16"/>
                <w:szCs w:val="16"/>
              </w:rPr>
              <w:lastRenderedPageBreak/>
              <w:t xml:space="preserve">Referent </w:t>
            </w:r>
          </w:p>
        </w:tc>
      </w:tr>
      <w:tr w:rsidR="00814684" w:rsidRPr="00552F66" w14:paraId="2F2B86E7" w14:textId="77777777" w:rsidTr="009C7857">
        <w:tc>
          <w:tcPr>
            <w:tcW w:w="3194" w:type="dxa"/>
            <w:tcBorders>
              <w:top w:val="single" w:sz="4" w:space="0" w:color="auto"/>
              <w:bottom w:val="single" w:sz="4" w:space="0" w:color="auto"/>
              <w:right w:val="single" w:sz="4" w:space="0" w:color="auto"/>
            </w:tcBorders>
          </w:tcPr>
          <w:p w14:paraId="77D194D7" w14:textId="77777777" w:rsidR="00814684" w:rsidRPr="008B23CC" w:rsidRDefault="00814684" w:rsidP="009C7857">
            <w:pPr>
              <w:tabs>
                <w:tab w:val="left" w:pos="1843"/>
              </w:tabs>
              <w:spacing w:line="360" w:lineRule="auto"/>
              <w:rPr>
                <w:rFonts w:cs="Calibri"/>
                <w:sz w:val="16"/>
                <w:szCs w:val="16"/>
              </w:rPr>
            </w:pPr>
            <w:r w:rsidRPr="008B23CC">
              <w:rPr>
                <w:rFonts w:cs="Calibri"/>
                <w:sz w:val="16"/>
                <w:szCs w:val="16"/>
              </w:rPr>
              <w:t xml:space="preserve">Betreft kerncompetentie: </w:t>
            </w:r>
          </w:p>
          <w:p w14:paraId="3E47EAA0" w14:textId="77777777" w:rsidR="00814684" w:rsidRPr="008B23CC" w:rsidRDefault="00814684" w:rsidP="009C7857">
            <w:pPr>
              <w:tabs>
                <w:tab w:val="left" w:pos="1843"/>
              </w:tabs>
              <w:spacing w:line="360" w:lineRule="auto"/>
              <w:rPr>
                <w:rFonts w:cs="Calibri"/>
                <w:sz w:val="16"/>
                <w:szCs w:val="16"/>
              </w:rPr>
            </w:pPr>
          </w:p>
          <w:p w14:paraId="6800D2F7" w14:textId="77777777" w:rsidR="00814684" w:rsidRPr="008B23CC" w:rsidRDefault="00814684" w:rsidP="009C7857">
            <w:pPr>
              <w:tabs>
                <w:tab w:val="left" w:pos="1843"/>
              </w:tabs>
              <w:spacing w:line="360" w:lineRule="auto"/>
              <w:rPr>
                <w:rFonts w:cs="Calibri"/>
                <w:sz w:val="16"/>
                <w:szCs w:val="16"/>
              </w:rPr>
            </w:pPr>
          </w:p>
          <w:p w14:paraId="02AA3B94" w14:textId="77777777" w:rsidR="00814684" w:rsidRPr="008B23CC" w:rsidRDefault="00814684" w:rsidP="009C7857">
            <w:pPr>
              <w:tabs>
                <w:tab w:val="left" w:pos="1843"/>
              </w:tabs>
              <w:spacing w:line="360" w:lineRule="auto"/>
              <w:rPr>
                <w:rFonts w:cs="Calibri"/>
                <w:sz w:val="16"/>
                <w:szCs w:val="16"/>
              </w:rPr>
            </w:pPr>
          </w:p>
          <w:p w14:paraId="57BC5B2E" w14:textId="77777777" w:rsidR="00814684" w:rsidRPr="008B23CC" w:rsidRDefault="00814684" w:rsidP="009C7857">
            <w:pPr>
              <w:tabs>
                <w:tab w:val="left" w:pos="1843"/>
              </w:tabs>
              <w:spacing w:line="360" w:lineRule="auto"/>
              <w:rPr>
                <w:rFonts w:cs="Calibri"/>
                <w:sz w:val="16"/>
                <w:szCs w:val="16"/>
              </w:rPr>
            </w:pPr>
          </w:p>
          <w:p w14:paraId="7002D950" w14:textId="77777777" w:rsidR="00814684" w:rsidRPr="008B23CC" w:rsidRDefault="00814684" w:rsidP="009C7857">
            <w:pPr>
              <w:tabs>
                <w:tab w:val="left" w:pos="1843"/>
              </w:tabs>
              <w:spacing w:line="360" w:lineRule="auto"/>
              <w:rPr>
                <w:rFonts w:cs="Calibri"/>
                <w:sz w:val="16"/>
                <w:szCs w:val="16"/>
              </w:rPr>
            </w:pPr>
          </w:p>
          <w:p w14:paraId="3857CE98" w14:textId="77777777" w:rsidR="00814684" w:rsidRPr="008B23CC" w:rsidRDefault="00814684" w:rsidP="009C7857">
            <w:pPr>
              <w:tabs>
                <w:tab w:val="left" w:pos="1843"/>
              </w:tabs>
              <w:spacing w:line="360" w:lineRule="auto"/>
              <w:rPr>
                <w:rFonts w:cs="Calibri"/>
                <w:sz w:val="16"/>
                <w:szCs w:val="16"/>
              </w:rPr>
            </w:pPr>
          </w:p>
          <w:p w14:paraId="1B9D72DD" w14:textId="77777777" w:rsidR="00814684" w:rsidRPr="008B23CC" w:rsidRDefault="00814684" w:rsidP="009C7857">
            <w:pPr>
              <w:tabs>
                <w:tab w:val="left" w:pos="1843"/>
              </w:tabs>
              <w:spacing w:line="360" w:lineRule="auto"/>
              <w:rPr>
                <w:rFonts w:cs="Calibri"/>
                <w:sz w:val="16"/>
                <w:szCs w:val="16"/>
              </w:rPr>
            </w:pPr>
          </w:p>
          <w:p w14:paraId="024C535E" w14:textId="77777777" w:rsidR="00814684" w:rsidRPr="008B23CC" w:rsidRDefault="00814684" w:rsidP="009C7857">
            <w:pPr>
              <w:tabs>
                <w:tab w:val="left" w:pos="1843"/>
              </w:tabs>
              <w:spacing w:line="360" w:lineRule="auto"/>
              <w:rPr>
                <w:rFonts w:cs="Calibri"/>
                <w:sz w:val="16"/>
                <w:szCs w:val="16"/>
              </w:rPr>
            </w:pPr>
          </w:p>
          <w:p w14:paraId="4526F0C6" w14:textId="77777777" w:rsidR="00814684" w:rsidRPr="008B23CC" w:rsidRDefault="00814684" w:rsidP="009C7857">
            <w:pPr>
              <w:tabs>
                <w:tab w:val="left" w:pos="1843"/>
              </w:tabs>
              <w:spacing w:line="360" w:lineRule="auto"/>
              <w:rPr>
                <w:rFonts w:cs="Calibri"/>
                <w:sz w:val="16"/>
                <w:szCs w:val="16"/>
              </w:rPr>
            </w:pPr>
          </w:p>
          <w:p w14:paraId="01EFBB8B" w14:textId="77777777" w:rsidR="00814684" w:rsidRPr="008B23CC" w:rsidRDefault="00814684" w:rsidP="009C7857">
            <w:pPr>
              <w:tabs>
                <w:tab w:val="left" w:pos="1843"/>
              </w:tabs>
              <w:spacing w:line="360" w:lineRule="auto"/>
              <w:rPr>
                <w:rFonts w:cs="Calibri"/>
                <w:sz w:val="16"/>
                <w:szCs w:val="16"/>
              </w:rPr>
            </w:pPr>
          </w:p>
          <w:p w14:paraId="64FA8548" w14:textId="77777777" w:rsidR="00814684" w:rsidRPr="008B23CC" w:rsidRDefault="00814684" w:rsidP="009C7857">
            <w:pPr>
              <w:tabs>
                <w:tab w:val="left" w:pos="1843"/>
              </w:tabs>
              <w:spacing w:line="360" w:lineRule="auto"/>
              <w:rPr>
                <w:rFonts w:cs="Calibri"/>
                <w:sz w:val="16"/>
                <w:szCs w:val="16"/>
              </w:rPr>
            </w:pPr>
            <w:r w:rsidRPr="008B23CC">
              <w:rPr>
                <w:rFonts w:cs="Calibri"/>
                <w:sz w:val="16"/>
                <w:szCs w:val="16"/>
              </w:rPr>
              <w:t xml:space="preserve">Naam referent:   </w:t>
            </w:r>
          </w:p>
        </w:tc>
        <w:tc>
          <w:tcPr>
            <w:tcW w:w="6237" w:type="dxa"/>
            <w:gridSpan w:val="3"/>
            <w:tcBorders>
              <w:top w:val="single" w:sz="4" w:space="0" w:color="auto"/>
              <w:left w:val="single" w:sz="4" w:space="0" w:color="auto"/>
              <w:bottom w:val="single" w:sz="4" w:space="0" w:color="auto"/>
            </w:tcBorders>
            <w:shd w:val="clear" w:color="auto" w:fill="FFFFFF"/>
          </w:tcPr>
          <w:p w14:paraId="79D8076D" w14:textId="77777777" w:rsidR="00814684" w:rsidRPr="008B23CC" w:rsidRDefault="00814684" w:rsidP="009C7857">
            <w:pPr>
              <w:spacing w:line="240" w:lineRule="auto"/>
              <w:rPr>
                <w:rFonts w:cs="Calibri"/>
                <w:sz w:val="16"/>
                <w:szCs w:val="16"/>
              </w:rPr>
            </w:pPr>
            <w:r w:rsidRPr="008B23CC">
              <w:rPr>
                <w:rFonts w:cs="Calibri"/>
                <w:b/>
                <w:sz w:val="16"/>
                <w:szCs w:val="16"/>
              </w:rPr>
              <w:t>Presteren</w:t>
            </w:r>
            <w:r w:rsidRPr="008B23CC">
              <w:rPr>
                <w:rFonts w:cs="Calibri"/>
                <w:sz w:val="16"/>
                <w:szCs w:val="16"/>
              </w:rPr>
              <w:t xml:space="preserve">; Ondernemer geeft één (1) referentie op van een opdracht, waarmee Ondernemer aantoont ervaring te hebben met het uitvoeren van een Prestatie die qua inhoud vergelijkbaar is met de onderhavige Opdracht. </w:t>
            </w:r>
          </w:p>
          <w:p w14:paraId="6FA1E37F" w14:textId="77777777" w:rsidR="00814684" w:rsidRPr="008B23CC" w:rsidRDefault="00814684" w:rsidP="009C7857">
            <w:pPr>
              <w:spacing w:line="240" w:lineRule="auto"/>
              <w:rPr>
                <w:rFonts w:eastAsia="Times New Roman" w:cs="Calibri"/>
                <w:sz w:val="16"/>
                <w:szCs w:val="16"/>
                <w:lang w:eastAsia="nl-NL"/>
              </w:rPr>
            </w:pPr>
            <w:r w:rsidRPr="008B23CC">
              <w:rPr>
                <w:rFonts w:cs="Calibri"/>
                <w:sz w:val="16"/>
                <w:szCs w:val="16"/>
              </w:rPr>
              <w:br/>
            </w:r>
            <w:r w:rsidRPr="008B23CC">
              <w:rPr>
                <w:rFonts w:eastAsia="Times New Roman" w:cs="Calibri"/>
                <w:color w:val="333333"/>
                <w:spacing w:val="-8"/>
                <w:sz w:val="16"/>
                <w:szCs w:val="16"/>
                <w:shd w:val="clear" w:color="auto" w:fill="FFFFFF"/>
                <w:lang w:eastAsia="nl-NL"/>
              </w:rPr>
              <w:t>De volgende kerncompetenties zijn relevant:</w:t>
            </w:r>
          </w:p>
          <w:p w14:paraId="30A16591" w14:textId="4F94C8D8" w:rsidR="00814684" w:rsidRPr="008B23CC" w:rsidRDefault="00814684" w:rsidP="009C7857">
            <w:pPr>
              <w:numPr>
                <w:ilvl w:val="0"/>
                <w:numId w:val="41"/>
              </w:numPr>
              <w:shd w:val="clear" w:color="auto" w:fill="FFFFFF"/>
              <w:spacing w:before="135" w:after="135" w:line="240" w:lineRule="auto"/>
              <w:rPr>
                <w:rFonts w:eastAsia="Times New Roman" w:cs="Calibri"/>
                <w:color w:val="333333"/>
                <w:spacing w:val="-8"/>
                <w:sz w:val="16"/>
                <w:szCs w:val="16"/>
                <w:lang w:eastAsia="nl-NL"/>
              </w:rPr>
            </w:pPr>
            <w:r w:rsidRPr="008B23CC">
              <w:rPr>
                <w:rFonts w:eastAsia="Times New Roman" w:cs="Calibri"/>
                <w:color w:val="333333"/>
                <w:spacing w:val="-8"/>
                <w:sz w:val="16"/>
                <w:szCs w:val="16"/>
                <w:lang w:eastAsia="nl-NL"/>
              </w:rPr>
              <w:t xml:space="preserve">Levering </w:t>
            </w:r>
            <w:r w:rsidR="00DD2DB9">
              <w:rPr>
                <w:rFonts w:eastAsia="Times New Roman" w:cs="Calibri"/>
                <w:color w:val="333333"/>
                <w:spacing w:val="-8"/>
                <w:sz w:val="16"/>
                <w:szCs w:val="16"/>
                <w:lang w:eastAsia="nl-NL"/>
              </w:rPr>
              <w:t>, implementatie, onderhoud van volautomatische immunostainers inclusief reagentia en gebruiksartikelen</w:t>
            </w:r>
            <w:r w:rsidR="00EA3E5F">
              <w:rPr>
                <w:rFonts w:eastAsia="Times New Roman" w:cs="Calibri"/>
                <w:color w:val="333333"/>
                <w:spacing w:val="-8"/>
                <w:sz w:val="16"/>
                <w:szCs w:val="16"/>
                <w:lang w:eastAsia="nl-NL"/>
              </w:rPr>
              <w:t xml:space="preserve"> bij een ISO 15189 (of gelijkwaardig)  geaccrediteerd Laboratorium.</w:t>
            </w:r>
          </w:p>
          <w:p w14:paraId="3AC22AD7" w14:textId="77777777" w:rsidR="00814684" w:rsidRPr="008B23CC" w:rsidRDefault="00814684" w:rsidP="009C7857">
            <w:pPr>
              <w:rPr>
                <w:rFonts w:cs="Calibri"/>
                <w:sz w:val="16"/>
                <w:szCs w:val="16"/>
                <w:highlight w:val="yellow"/>
              </w:rPr>
            </w:pPr>
          </w:p>
          <w:p w14:paraId="45F258AA" w14:textId="77777777" w:rsidR="00814684" w:rsidRPr="008B23CC" w:rsidRDefault="00814684" w:rsidP="009C7857">
            <w:pPr>
              <w:rPr>
                <w:rFonts w:cs="Calibri"/>
                <w:sz w:val="16"/>
                <w:szCs w:val="16"/>
                <w:highlight w:val="yellow"/>
              </w:rPr>
            </w:pPr>
          </w:p>
          <w:p w14:paraId="7D40546F" w14:textId="77777777" w:rsidR="00814684" w:rsidRPr="008B23CC" w:rsidRDefault="00814684" w:rsidP="009C7857">
            <w:pPr>
              <w:rPr>
                <w:rFonts w:cs="Calibri"/>
                <w:sz w:val="16"/>
                <w:szCs w:val="16"/>
              </w:rPr>
            </w:pPr>
            <w:r w:rsidRPr="008B23CC">
              <w:rPr>
                <w:rFonts w:cs="Calibri"/>
                <w:sz w:val="16"/>
                <w:szCs w:val="16"/>
              </w:rPr>
              <w:t xml:space="preserve">Aanbesteder stelt de volgende nadere voorwaarden aan referentieopdracht: </w:t>
            </w:r>
          </w:p>
          <w:p w14:paraId="27F42EFF" w14:textId="0562C64F" w:rsidR="00814684" w:rsidRPr="008B23CC" w:rsidRDefault="00814684" w:rsidP="00814684">
            <w:pPr>
              <w:numPr>
                <w:ilvl w:val="0"/>
                <w:numId w:val="41"/>
              </w:numPr>
              <w:spacing w:before="0" w:after="0" w:line="255" w:lineRule="atLeast"/>
              <w:rPr>
                <w:rFonts w:cs="Calibri"/>
                <w:sz w:val="16"/>
                <w:szCs w:val="16"/>
              </w:rPr>
            </w:pPr>
            <w:r w:rsidRPr="008B23CC">
              <w:rPr>
                <w:rFonts w:cs="Calibri"/>
                <w:sz w:val="16"/>
                <w:szCs w:val="16"/>
              </w:rPr>
              <w:t>Locatie van uitvoering opdracht: binnen de EU</w:t>
            </w:r>
          </w:p>
          <w:p w14:paraId="5DBBAC19" w14:textId="77777777" w:rsidR="00814684" w:rsidRPr="008B23CC" w:rsidRDefault="00814684" w:rsidP="00814684">
            <w:pPr>
              <w:numPr>
                <w:ilvl w:val="0"/>
                <w:numId w:val="41"/>
              </w:numPr>
              <w:spacing w:before="0" w:after="0" w:line="255" w:lineRule="atLeast"/>
              <w:rPr>
                <w:rFonts w:cs="Calibri"/>
                <w:sz w:val="16"/>
                <w:szCs w:val="16"/>
              </w:rPr>
            </w:pPr>
            <w:r w:rsidRPr="008B23CC">
              <w:rPr>
                <w:rFonts w:cs="Calibri"/>
                <w:sz w:val="16"/>
                <w:szCs w:val="16"/>
              </w:rPr>
              <w:t>De referentieopdracht is lopend of afgerond:</w:t>
            </w:r>
          </w:p>
          <w:p w14:paraId="03C63585" w14:textId="77E2C499" w:rsidR="00814684" w:rsidRPr="008B23CC" w:rsidRDefault="00814684" w:rsidP="00814684">
            <w:pPr>
              <w:numPr>
                <w:ilvl w:val="0"/>
                <w:numId w:val="41"/>
              </w:numPr>
              <w:spacing w:before="0" w:after="0" w:line="360" w:lineRule="auto"/>
              <w:rPr>
                <w:rFonts w:cs="Calibri"/>
                <w:sz w:val="16"/>
                <w:szCs w:val="16"/>
              </w:rPr>
            </w:pPr>
            <w:r w:rsidRPr="008B23CC">
              <w:rPr>
                <w:rFonts w:cs="Calibri"/>
                <w:sz w:val="16"/>
                <w:szCs w:val="16"/>
              </w:rPr>
              <w:t>De referentie betreft levering</w:t>
            </w:r>
            <w:r w:rsidR="00DD2DB9">
              <w:rPr>
                <w:rFonts w:cs="Calibri"/>
                <w:sz w:val="16"/>
                <w:szCs w:val="16"/>
              </w:rPr>
              <w:t xml:space="preserve"> en onderhoud</w:t>
            </w:r>
            <w:r w:rsidRPr="008B23CC">
              <w:rPr>
                <w:rFonts w:cs="Calibri"/>
                <w:sz w:val="16"/>
                <w:szCs w:val="16"/>
              </w:rPr>
              <w:t xml:space="preserve"> van </w:t>
            </w:r>
            <w:r w:rsidR="00DD2DB9">
              <w:rPr>
                <w:rFonts w:cs="Calibri"/>
                <w:sz w:val="16"/>
                <w:szCs w:val="16"/>
              </w:rPr>
              <w:t xml:space="preserve">volautomatische immunostainers waarbij het diagnostisch proces volledig, en zonder storing voortgang vindt. </w:t>
            </w:r>
          </w:p>
          <w:p w14:paraId="65FFDB26" w14:textId="2049098E" w:rsidR="00814684" w:rsidRPr="008B23CC" w:rsidRDefault="00814684" w:rsidP="00814684">
            <w:pPr>
              <w:numPr>
                <w:ilvl w:val="0"/>
                <w:numId w:val="41"/>
              </w:numPr>
              <w:spacing w:before="0" w:after="0" w:line="360" w:lineRule="auto"/>
              <w:rPr>
                <w:rFonts w:cs="Calibri"/>
                <w:sz w:val="16"/>
                <w:szCs w:val="16"/>
              </w:rPr>
            </w:pPr>
            <w:r w:rsidRPr="008B23CC">
              <w:rPr>
                <w:rFonts w:cs="Calibri"/>
                <w:sz w:val="16"/>
                <w:szCs w:val="16"/>
              </w:rPr>
              <w:t>De referenties dienen</w:t>
            </w:r>
            <w:r w:rsidR="00DD2DB9">
              <w:rPr>
                <w:rFonts w:cs="Calibri"/>
                <w:sz w:val="16"/>
                <w:szCs w:val="16"/>
              </w:rPr>
              <w:t xml:space="preserve"> naar tevredenheid</w:t>
            </w:r>
            <w:r w:rsidRPr="008B23CC">
              <w:rPr>
                <w:rFonts w:cs="Calibri"/>
                <w:sz w:val="16"/>
                <w:szCs w:val="16"/>
              </w:rPr>
              <w:t xml:space="preserve"> te zijn/worden uitgevoerd tussen </w:t>
            </w:r>
            <w:r w:rsidR="00DD2DB9">
              <w:rPr>
                <w:rFonts w:cs="Calibri"/>
                <w:sz w:val="16"/>
                <w:szCs w:val="16"/>
              </w:rPr>
              <w:t xml:space="preserve">2021 </w:t>
            </w:r>
            <w:r w:rsidRPr="008B23CC">
              <w:rPr>
                <w:rFonts w:cs="Calibri"/>
                <w:sz w:val="16"/>
                <w:szCs w:val="16"/>
              </w:rPr>
              <w:t>en 202</w:t>
            </w:r>
            <w:r w:rsidR="00DD2DB9">
              <w:rPr>
                <w:rFonts w:cs="Calibri"/>
                <w:sz w:val="16"/>
                <w:szCs w:val="16"/>
              </w:rPr>
              <w:t>5</w:t>
            </w:r>
          </w:p>
          <w:p w14:paraId="2387249C" w14:textId="77777777" w:rsidR="00814684" w:rsidRPr="008B23CC" w:rsidRDefault="00814684" w:rsidP="00814684">
            <w:pPr>
              <w:numPr>
                <w:ilvl w:val="0"/>
                <w:numId w:val="41"/>
              </w:numPr>
              <w:spacing w:before="0" w:after="0" w:line="360" w:lineRule="auto"/>
              <w:rPr>
                <w:rFonts w:cs="Calibri"/>
                <w:sz w:val="16"/>
                <w:szCs w:val="16"/>
              </w:rPr>
            </w:pPr>
            <w:r w:rsidRPr="008B23CC">
              <w:rPr>
                <w:rFonts w:cs="Calibri"/>
                <w:sz w:val="16"/>
                <w:szCs w:val="16"/>
              </w:rPr>
              <w:t>Inschrijver heeft de opdracht naar tevredenheid uitgevoerd</w:t>
            </w:r>
          </w:p>
          <w:p w14:paraId="12944C6A" w14:textId="77777777" w:rsidR="00814684" w:rsidRPr="008B23CC" w:rsidRDefault="00814684" w:rsidP="00814684">
            <w:pPr>
              <w:numPr>
                <w:ilvl w:val="0"/>
                <w:numId w:val="41"/>
              </w:numPr>
              <w:spacing w:before="0" w:after="0" w:line="255" w:lineRule="atLeast"/>
              <w:rPr>
                <w:rFonts w:cs="Calibri"/>
                <w:sz w:val="16"/>
                <w:szCs w:val="16"/>
              </w:rPr>
            </w:pPr>
            <w:r w:rsidRPr="008B23CC">
              <w:rPr>
                <w:rFonts w:cs="Calibri"/>
                <w:sz w:val="16"/>
                <w:szCs w:val="16"/>
              </w:rPr>
              <w:t>Referent is op de hoogte van het feit dat het UMC zonder tussenkomst en/of toestemming van Inschrijver zich het recht voorbehoudt om de juistheid van de referentie te verifiëren.</w:t>
            </w:r>
          </w:p>
          <w:p w14:paraId="5E444CE2" w14:textId="77777777" w:rsidR="00814684" w:rsidRPr="008B23CC" w:rsidRDefault="00814684" w:rsidP="009C7857">
            <w:pPr>
              <w:ind w:left="1777"/>
              <w:rPr>
                <w:rFonts w:cs="Calibri"/>
                <w:sz w:val="16"/>
                <w:szCs w:val="16"/>
              </w:rPr>
            </w:pPr>
          </w:p>
          <w:p w14:paraId="7D4653CA" w14:textId="77777777" w:rsidR="00814684" w:rsidRPr="008B23CC" w:rsidRDefault="00814684" w:rsidP="009C7857">
            <w:pPr>
              <w:tabs>
                <w:tab w:val="left" w:pos="1843"/>
              </w:tabs>
              <w:spacing w:line="360" w:lineRule="auto"/>
              <w:rPr>
                <w:rFonts w:cs="Calibri"/>
                <w:sz w:val="16"/>
                <w:szCs w:val="16"/>
              </w:rPr>
            </w:pPr>
            <w:r w:rsidRPr="008B23CC">
              <w:rPr>
                <w:rFonts w:cs="Calibri"/>
                <w:sz w:val="16"/>
                <w:szCs w:val="16"/>
              </w:rPr>
              <w:t>Naam</w:t>
            </w:r>
          </w:p>
          <w:p w14:paraId="0E09567C" w14:textId="77777777" w:rsidR="00814684" w:rsidRPr="008B23CC" w:rsidRDefault="00814684" w:rsidP="009C7857">
            <w:pPr>
              <w:tabs>
                <w:tab w:val="left" w:pos="1843"/>
              </w:tabs>
              <w:spacing w:line="360" w:lineRule="auto"/>
              <w:rPr>
                <w:rFonts w:cs="Calibri"/>
                <w:sz w:val="16"/>
                <w:szCs w:val="16"/>
              </w:rPr>
            </w:pPr>
            <w:r w:rsidRPr="008B23CC">
              <w:rPr>
                <w:rFonts w:cs="Calibri"/>
                <w:sz w:val="16"/>
                <w:szCs w:val="16"/>
              </w:rPr>
              <w:t xml:space="preserve">Adres </w:t>
            </w:r>
          </w:p>
          <w:p w14:paraId="17478E51" w14:textId="77777777" w:rsidR="00814684" w:rsidRPr="008B23CC" w:rsidRDefault="00814684" w:rsidP="009C7857">
            <w:pPr>
              <w:spacing w:line="360" w:lineRule="auto"/>
              <w:rPr>
                <w:rFonts w:cs="Calibri"/>
                <w:sz w:val="16"/>
                <w:szCs w:val="16"/>
              </w:rPr>
            </w:pPr>
            <w:r w:rsidRPr="008B23CC">
              <w:rPr>
                <w:rFonts w:cs="Calibri"/>
                <w:sz w:val="16"/>
                <w:szCs w:val="16"/>
              </w:rPr>
              <w:t xml:space="preserve">Postcode, plaats </w:t>
            </w:r>
          </w:p>
        </w:tc>
      </w:tr>
      <w:tr w:rsidR="00814684" w:rsidRPr="008B23CC" w14:paraId="4FDAC9AC" w14:textId="77777777" w:rsidTr="009C7857">
        <w:trPr>
          <w:gridAfter w:val="1"/>
          <w:wAfter w:w="75" w:type="dxa"/>
          <w:trHeight w:val="1820"/>
        </w:trPr>
        <w:tc>
          <w:tcPr>
            <w:tcW w:w="3261" w:type="dxa"/>
            <w:gridSpan w:val="2"/>
            <w:tcBorders>
              <w:top w:val="single" w:sz="4" w:space="0" w:color="auto"/>
              <w:right w:val="single" w:sz="4" w:space="0" w:color="auto"/>
            </w:tcBorders>
          </w:tcPr>
          <w:p w14:paraId="33E31EB7" w14:textId="77777777" w:rsidR="00814684" w:rsidRPr="008B23CC" w:rsidRDefault="00814684" w:rsidP="009C7857">
            <w:pPr>
              <w:spacing w:line="360" w:lineRule="auto"/>
              <w:rPr>
                <w:sz w:val="16"/>
                <w:szCs w:val="16"/>
              </w:rPr>
            </w:pPr>
          </w:p>
          <w:p w14:paraId="2B1E214E" w14:textId="77777777" w:rsidR="00814684" w:rsidRPr="008B23CC" w:rsidRDefault="00814684" w:rsidP="009C7857">
            <w:pPr>
              <w:spacing w:line="360" w:lineRule="auto"/>
              <w:rPr>
                <w:sz w:val="16"/>
                <w:szCs w:val="16"/>
              </w:rPr>
            </w:pPr>
            <w:r w:rsidRPr="008B23CC">
              <w:rPr>
                <w:sz w:val="16"/>
                <w:szCs w:val="16"/>
              </w:rPr>
              <w:t xml:space="preserve">Beschrijving referent en Opdracht: </w:t>
            </w:r>
          </w:p>
          <w:p w14:paraId="3DF08A79" w14:textId="77777777" w:rsidR="00814684" w:rsidRPr="008B23CC" w:rsidRDefault="00814684" w:rsidP="009C7857">
            <w:pPr>
              <w:spacing w:line="360" w:lineRule="auto"/>
              <w:ind w:left="720"/>
              <w:rPr>
                <w:sz w:val="16"/>
                <w:szCs w:val="16"/>
              </w:rPr>
            </w:pPr>
            <w:r w:rsidRPr="008B23CC">
              <w:rPr>
                <w:sz w:val="16"/>
                <w:szCs w:val="16"/>
              </w:rPr>
              <w:t xml:space="preserve"> </w:t>
            </w:r>
          </w:p>
        </w:tc>
        <w:tc>
          <w:tcPr>
            <w:tcW w:w="6095" w:type="dxa"/>
            <w:tcBorders>
              <w:top w:val="single" w:sz="4" w:space="0" w:color="auto"/>
              <w:left w:val="single" w:sz="4" w:space="0" w:color="auto"/>
              <w:bottom w:val="single" w:sz="4" w:space="0" w:color="auto"/>
            </w:tcBorders>
            <w:shd w:val="clear" w:color="auto" w:fill="FFFFFF"/>
          </w:tcPr>
          <w:p w14:paraId="4FFD1554" w14:textId="77777777" w:rsidR="00814684" w:rsidRPr="008B23CC" w:rsidRDefault="00814684" w:rsidP="009C7857">
            <w:pPr>
              <w:spacing w:line="360" w:lineRule="auto"/>
              <w:jc w:val="both"/>
              <w:rPr>
                <w:sz w:val="16"/>
                <w:szCs w:val="16"/>
              </w:rPr>
            </w:pPr>
          </w:p>
          <w:p w14:paraId="3B281B65" w14:textId="77777777" w:rsidR="00814684" w:rsidRPr="008B23CC" w:rsidRDefault="00814684" w:rsidP="009C7857">
            <w:pPr>
              <w:spacing w:line="360" w:lineRule="auto"/>
              <w:jc w:val="both"/>
              <w:rPr>
                <w:i/>
                <w:sz w:val="16"/>
                <w:szCs w:val="16"/>
              </w:rPr>
            </w:pPr>
            <w:r w:rsidRPr="008B23CC">
              <w:rPr>
                <w:i/>
                <w:sz w:val="16"/>
                <w:szCs w:val="16"/>
              </w:rPr>
              <w:t xml:space="preserve">Aard van de opdrachtgever, gegevens waaruit overeenkomstigheid blijkt, kenmerken van de unit en een korte beschrijving van de uitvoering.   </w:t>
            </w:r>
          </w:p>
          <w:p w14:paraId="0CAFD067" w14:textId="77777777" w:rsidR="00814684" w:rsidRPr="008B23CC" w:rsidRDefault="00814684" w:rsidP="009C7857">
            <w:pPr>
              <w:shd w:val="clear" w:color="auto" w:fill="FFFFFF"/>
              <w:spacing w:before="135" w:after="135" w:line="240" w:lineRule="auto"/>
              <w:ind w:left="720"/>
              <w:rPr>
                <w:i/>
                <w:sz w:val="16"/>
                <w:szCs w:val="16"/>
              </w:rPr>
            </w:pPr>
          </w:p>
        </w:tc>
      </w:tr>
      <w:tr w:rsidR="00814684" w:rsidRPr="008B23CC" w14:paraId="3A596A5E" w14:textId="77777777" w:rsidTr="009C7857">
        <w:trPr>
          <w:gridAfter w:val="1"/>
          <w:wAfter w:w="75" w:type="dxa"/>
          <w:trHeight w:val="56"/>
        </w:trPr>
        <w:tc>
          <w:tcPr>
            <w:tcW w:w="3261" w:type="dxa"/>
            <w:gridSpan w:val="2"/>
            <w:tcBorders>
              <w:right w:val="single" w:sz="4" w:space="0" w:color="auto"/>
            </w:tcBorders>
          </w:tcPr>
          <w:p w14:paraId="1777A58D" w14:textId="77777777" w:rsidR="00814684" w:rsidRPr="008B23CC" w:rsidRDefault="00814684" w:rsidP="009C7857">
            <w:pPr>
              <w:spacing w:line="360" w:lineRule="auto"/>
              <w:rPr>
                <w:sz w:val="16"/>
                <w:szCs w:val="16"/>
              </w:rPr>
            </w:pPr>
          </w:p>
          <w:p w14:paraId="6416D26F" w14:textId="77777777" w:rsidR="00814684" w:rsidRPr="008B23CC" w:rsidRDefault="00814684" w:rsidP="009C7857">
            <w:pPr>
              <w:spacing w:line="360" w:lineRule="auto"/>
              <w:rPr>
                <w:sz w:val="16"/>
                <w:szCs w:val="16"/>
              </w:rPr>
            </w:pPr>
          </w:p>
          <w:p w14:paraId="5A93DFB6" w14:textId="77777777" w:rsidR="00814684" w:rsidRPr="008B23CC" w:rsidRDefault="00814684" w:rsidP="009C7857">
            <w:pPr>
              <w:spacing w:line="360" w:lineRule="auto"/>
              <w:rPr>
                <w:sz w:val="16"/>
                <w:szCs w:val="16"/>
              </w:rPr>
            </w:pPr>
          </w:p>
          <w:p w14:paraId="75FA3ED4" w14:textId="77777777" w:rsidR="00814684" w:rsidRPr="008B23CC" w:rsidRDefault="00814684" w:rsidP="009C7857">
            <w:pPr>
              <w:spacing w:line="360" w:lineRule="auto"/>
              <w:rPr>
                <w:sz w:val="16"/>
                <w:szCs w:val="16"/>
              </w:rPr>
            </w:pPr>
          </w:p>
          <w:p w14:paraId="1C493292" w14:textId="77777777" w:rsidR="00814684" w:rsidRPr="008B23CC" w:rsidRDefault="00814684" w:rsidP="009C7857">
            <w:pPr>
              <w:spacing w:line="360" w:lineRule="auto"/>
              <w:rPr>
                <w:sz w:val="16"/>
                <w:szCs w:val="16"/>
              </w:rPr>
            </w:pPr>
          </w:p>
          <w:p w14:paraId="3F25BFB7" w14:textId="77777777" w:rsidR="00814684" w:rsidRPr="008B23CC" w:rsidRDefault="00814684" w:rsidP="009C7857">
            <w:pPr>
              <w:spacing w:line="360" w:lineRule="auto"/>
              <w:rPr>
                <w:sz w:val="16"/>
                <w:szCs w:val="16"/>
              </w:rPr>
            </w:pPr>
          </w:p>
          <w:p w14:paraId="26389D8F" w14:textId="77777777" w:rsidR="00814684" w:rsidRPr="008B23CC" w:rsidRDefault="00814684" w:rsidP="009C7857">
            <w:pPr>
              <w:spacing w:line="360" w:lineRule="auto"/>
              <w:rPr>
                <w:sz w:val="16"/>
                <w:szCs w:val="16"/>
              </w:rPr>
            </w:pPr>
          </w:p>
          <w:p w14:paraId="650134C3" w14:textId="77777777" w:rsidR="00814684" w:rsidRPr="008B23CC" w:rsidRDefault="00814684" w:rsidP="009C7857">
            <w:pPr>
              <w:spacing w:line="360" w:lineRule="auto"/>
              <w:rPr>
                <w:sz w:val="16"/>
                <w:szCs w:val="16"/>
              </w:rPr>
            </w:pPr>
          </w:p>
        </w:tc>
        <w:tc>
          <w:tcPr>
            <w:tcW w:w="6095" w:type="dxa"/>
            <w:tcBorders>
              <w:top w:val="single" w:sz="4" w:space="0" w:color="auto"/>
              <w:left w:val="single" w:sz="4" w:space="0" w:color="auto"/>
              <w:bottom w:val="single" w:sz="4" w:space="0" w:color="auto"/>
            </w:tcBorders>
            <w:shd w:val="clear" w:color="auto" w:fill="FFFFFF"/>
          </w:tcPr>
          <w:p w14:paraId="7A52176B" w14:textId="77777777" w:rsidR="00814684" w:rsidRPr="008B23CC" w:rsidRDefault="00814684" w:rsidP="009C7857">
            <w:pPr>
              <w:spacing w:line="360" w:lineRule="auto"/>
              <w:rPr>
                <w:sz w:val="16"/>
                <w:szCs w:val="16"/>
              </w:rPr>
            </w:pPr>
          </w:p>
        </w:tc>
      </w:tr>
      <w:tr w:rsidR="00814684" w:rsidRPr="008B23CC" w14:paraId="3314C2E5" w14:textId="77777777" w:rsidTr="009C7857">
        <w:trPr>
          <w:gridAfter w:val="1"/>
          <w:wAfter w:w="75" w:type="dxa"/>
          <w:trHeight w:val="80"/>
        </w:trPr>
        <w:tc>
          <w:tcPr>
            <w:tcW w:w="3261" w:type="dxa"/>
            <w:gridSpan w:val="2"/>
            <w:tcBorders>
              <w:right w:val="single" w:sz="4" w:space="0" w:color="auto"/>
            </w:tcBorders>
          </w:tcPr>
          <w:p w14:paraId="135273CA" w14:textId="77777777" w:rsidR="00814684" w:rsidRPr="008B23CC" w:rsidRDefault="00814684" w:rsidP="009C7857">
            <w:pPr>
              <w:spacing w:line="360" w:lineRule="auto"/>
              <w:rPr>
                <w:i/>
                <w:sz w:val="16"/>
                <w:szCs w:val="16"/>
              </w:rPr>
            </w:pPr>
          </w:p>
        </w:tc>
        <w:tc>
          <w:tcPr>
            <w:tcW w:w="6095" w:type="dxa"/>
            <w:tcBorders>
              <w:top w:val="single" w:sz="4" w:space="0" w:color="auto"/>
              <w:left w:val="single" w:sz="4" w:space="0" w:color="auto"/>
              <w:bottom w:val="nil"/>
            </w:tcBorders>
            <w:shd w:val="clear" w:color="auto" w:fill="FFFFFF"/>
          </w:tcPr>
          <w:p w14:paraId="5D30C57A" w14:textId="77777777" w:rsidR="00814684" w:rsidRPr="008B23CC" w:rsidRDefault="00814684" w:rsidP="009C7857">
            <w:pPr>
              <w:spacing w:line="360" w:lineRule="auto"/>
              <w:rPr>
                <w:sz w:val="16"/>
                <w:szCs w:val="16"/>
              </w:rPr>
            </w:pPr>
          </w:p>
        </w:tc>
      </w:tr>
      <w:tr w:rsidR="00814684" w:rsidRPr="008B23CC" w14:paraId="69E0BDA8" w14:textId="77777777" w:rsidTr="009C7857">
        <w:trPr>
          <w:gridAfter w:val="1"/>
          <w:wAfter w:w="75" w:type="dxa"/>
        </w:trPr>
        <w:tc>
          <w:tcPr>
            <w:tcW w:w="3261" w:type="dxa"/>
            <w:gridSpan w:val="2"/>
            <w:tcBorders>
              <w:right w:val="single" w:sz="4" w:space="0" w:color="auto"/>
            </w:tcBorders>
          </w:tcPr>
          <w:p w14:paraId="3E85A269" w14:textId="77777777" w:rsidR="00814684" w:rsidRPr="008B23CC" w:rsidRDefault="00814684" w:rsidP="009C7857">
            <w:pPr>
              <w:spacing w:line="360" w:lineRule="auto"/>
              <w:rPr>
                <w:sz w:val="16"/>
                <w:szCs w:val="16"/>
              </w:rPr>
            </w:pPr>
            <w:r w:rsidRPr="008B23CC">
              <w:rPr>
                <w:sz w:val="16"/>
                <w:szCs w:val="16"/>
              </w:rPr>
              <w:t>Gegevens contactpersoon referent:</w:t>
            </w:r>
          </w:p>
        </w:tc>
        <w:tc>
          <w:tcPr>
            <w:tcW w:w="6095" w:type="dxa"/>
            <w:tcBorders>
              <w:top w:val="nil"/>
              <w:left w:val="single" w:sz="4" w:space="0" w:color="auto"/>
              <w:bottom w:val="nil"/>
            </w:tcBorders>
            <w:shd w:val="clear" w:color="auto" w:fill="FFFFFF"/>
          </w:tcPr>
          <w:p w14:paraId="27B45A1B" w14:textId="77777777" w:rsidR="00814684" w:rsidRPr="008B23CC" w:rsidRDefault="00814684" w:rsidP="009C7857">
            <w:pPr>
              <w:spacing w:line="360" w:lineRule="auto"/>
              <w:rPr>
                <w:sz w:val="16"/>
                <w:szCs w:val="16"/>
              </w:rPr>
            </w:pPr>
            <w:r w:rsidRPr="008B23CC">
              <w:rPr>
                <w:sz w:val="16"/>
                <w:szCs w:val="16"/>
              </w:rPr>
              <w:t xml:space="preserve">Naam </w:t>
            </w:r>
          </w:p>
          <w:p w14:paraId="4CF18DFB" w14:textId="77777777" w:rsidR="00814684" w:rsidRPr="008B23CC" w:rsidRDefault="00814684" w:rsidP="009C7857">
            <w:pPr>
              <w:spacing w:line="360" w:lineRule="auto"/>
              <w:rPr>
                <w:sz w:val="16"/>
                <w:szCs w:val="16"/>
              </w:rPr>
            </w:pPr>
            <w:r w:rsidRPr="008B23CC">
              <w:rPr>
                <w:sz w:val="16"/>
                <w:szCs w:val="16"/>
              </w:rPr>
              <w:t>Functie</w:t>
            </w:r>
          </w:p>
        </w:tc>
      </w:tr>
      <w:tr w:rsidR="00814684" w:rsidRPr="008B23CC" w14:paraId="264860B3" w14:textId="77777777" w:rsidTr="009C7857">
        <w:trPr>
          <w:gridAfter w:val="1"/>
          <w:wAfter w:w="75" w:type="dxa"/>
        </w:trPr>
        <w:tc>
          <w:tcPr>
            <w:tcW w:w="3261" w:type="dxa"/>
            <w:gridSpan w:val="2"/>
            <w:tcBorders>
              <w:right w:val="single" w:sz="4" w:space="0" w:color="auto"/>
            </w:tcBorders>
          </w:tcPr>
          <w:p w14:paraId="6DD8D050" w14:textId="77777777" w:rsidR="00814684" w:rsidRPr="008B23CC" w:rsidRDefault="00814684" w:rsidP="009C7857">
            <w:pPr>
              <w:spacing w:line="360" w:lineRule="auto"/>
              <w:rPr>
                <w:sz w:val="16"/>
                <w:szCs w:val="16"/>
              </w:rPr>
            </w:pPr>
          </w:p>
        </w:tc>
        <w:tc>
          <w:tcPr>
            <w:tcW w:w="6095" w:type="dxa"/>
            <w:tcBorders>
              <w:top w:val="nil"/>
              <w:left w:val="single" w:sz="4" w:space="0" w:color="auto"/>
              <w:bottom w:val="nil"/>
            </w:tcBorders>
            <w:shd w:val="clear" w:color="auto" w:fill="FFFFFF"/>
          </w:tcPr>
          <w:p w14:paraId="31BC77B0" w14:textId="77777777" w:rsidR="00814684" w:rsidRPr="008B23CC" w:rsidRDefault="00814684" w:rsidP="009C7857">
            <w:pPr>
              <w:spacing w:line="360" w:lineRule="auto"/>
              <w:rPr>
                <w:sz w:val="16"/>
                <w:szCs w:val="16"/>
              </w:rPr>
            </w:pPr>
            <w:r w:rsidRPr="008B23CC">
              <w:rPr>
                <w:sz w:val="16"/>
                <w:szCs w:val="16"/>
              </w:rPr>
              <w:t xml:space="preserve">Adres </w:t>
            </w:r>
          </w:p>
        </w:tc>
      </w:tr>
      <w:tr w:rsidR="00814684" w:rsidRPr="008B23CC" w14:paraId="2D71F649" w14:textId="77777777" w:rsidTr="009C7857">
        <w:trPr>
          <w:gridAfter w:val="1"/>
          <w:wAfter w:w="75" w:type="dxa"/>
        </w:trPr>
        <w:tc>
          <w:tcPr>
            <w:tcW w:w="3261" w:type="dxa"/>
            <w:gridSpan w:val="2"/>
            <w:tcBorders>
              <w:right w:val="single" w:sz="4" w:space="0" w:color="auto"/>
            </w:tcBorders>
          </w:tcPr>
          <w:p w14:paraId="41B26AA0" w14:textId="77777777" w:rsidR="00814684" w:rsidRPr="008B23CC" w:rsidRDefault="00814684" w:rsidP="009C7857">
            <w:pPr>
              <w:tabs>
                <w:tab w:val="left" w:pos="1843"/>
              </w:tabs>
              <w:rPr>
                <w:sz w:val="16"/>
                <w:szCs w:val="16"/>
              </w:rPr>
            </w:pPr>
          </w:p>
        </w:tc>
        <w:tc>
          <w:tcPr>
            <w:tcW w:w="6095" w:type="dxa"/>
            <w:tcBorders>
              <w:top w:val="nil"/>
              <w:left w:val="single" w:sz="4" w:space="0" w:color="auto"/>
              <w:bottom w:val="single" w:sz="4" w:space="0" w:color="auto"/>
            </w:tcBorders>
            <w:shd w:val="clear" w:color="auto" w:fill="FFFFFF"/>
          </w:tcPr>
          <w:p w14:paraId="74B14D6B" w14:textId="77777777" w:rsidR="00814684" w:rsidRPr="008B23CC" w:rsidRDefault="00814684" w:rsidP="009C7857">
            <w:pPr>
              <w:spacing w:line="360" w:lineRule="auto"/>
              <w:rPr>
                <w:sz w:val="16"/>
                <w:szCs w:val="16"/>
              </w:rPr>
            </w:pPr>
            <w:r w:rsidRPr="008B23CC">
              <w:rPr>
                <w:sz w:val="16"/>
                <w:szCs w:val="16"/>
              </w:rPr>
              <w:t xml:space="preserve">Postcode, plaats </w:t>
            </w:r>
          </w:p>
          <w:p w14:paraId="50F40525" w14:textId="77777777" w:rsidR="00814684" w:rsidRPr="008B23CC" w:rsidRDefault="00814684" w:rsidP="009C7857">
            <w:pPr>
              <w:spacing w:line="360" w:lineRule="auto"/>
              <w:rPr>
                <w:sz w:val="16"/>
                <w:szCs w:val="16"/>
              </w:rPr>
            </w:pPr>
            <w:r w:rsidRPr="008B23CC">
              <w:rPr>
                <w:sz w:val="16"/>
                <w:szCs w:val="16"/>
              </w:rPr>
              <w:t>Telefoonnummer</w:t>
            </w:r>
          </w:p>
          <w:p w14:paraId="3C763F46" w14:textId="77777777" w:rsidR="00814684" w:rsidRPr="008B23CC" w:rsidRDefault="00814684" w:rsidP="009C7857">
            <w:pPr>
              <w:spacing w:line="360" w:lineRule="auto"/>
              <w:rPr>
                <w:sz w:val="16"/>
                <w:szCs w:val="16"/>
              </w:rPr>
            </w:pPr>
            <w:r w:rsidRPr="008B23CC">
              <w:rPr>
                <w:sz w:val="16"/>
                <w:szCs w:val="16"/>
              </w:rPr>
              <w:t>E-mail</w:t>
            </w:r>
          </w:p>
          <w:p w14:paraId="1F662A50" w14:textId="77777777" w:rsidR="00814684" w:rsidRPr="008B23CC" w:rsidRDefault="00814684" w:rsidP="009C7857">
            <w:pPr>
              <w:spacing w:line="240" w:lineRule="auto"/>
              <w:rPr>
                <w:sz w:val="16"/>
                <w:szCs w:val="16"/>
              </w:rPr>
            </w:pPr>
          </w:p>
        </w:tc>
      </w:tr>
    </w:tbl>
    <w:p w14:paraId="08022358" w14:textId="77777777" w:rsidR="00814684" w:rsidRDefault="00814684" w:rsidP="00814684">
      <w:pPr>
        <w:spacing w:line="360" w:lineRule="auto"/>
        <w:jc w:val="both"/>
        <w:rPr>
          <w:b/>
        </w:rPr>
      </w:pPr>
    </w:p>
    <w:p w14:paraId="55128BC2" w14:textId="77777777" w:rsidR="00814684" w:rsidRPr="009A58AD" w:rsidRDefault="00814684" w:rsidP="00814684">
      <w:pPr>
        <w:spacing w:line="360" w:lineRule="auto"/>
        <w:rPr>
          <w:b/>
        </w:rPr>
      </w:pPr>
      <w:r w:rsidRPr="00A032D6">
        <w:rPr>
          <w:b/>
        </w:rPr>
        <w:t xml:space="preserve">Ondertekening van </w:t>
      </w:r>
      <w:r>
        <w:rPr>
          <w:b/>
        </w:rPr>
        <w:t>dit document</w:t>
      </w:r>
    </w:p>
    <w:p w14:paraId="4388726F" w14:textId="77777777" w:rsidR="00814684" w:rsidRPr="00A032D6" w:rsidRDefault="00814684" w:rsidP="00814684">
      <w:pPr>
        <w:spacing w:line="240" w:lineRule="auto"/>
        <w:jc w:val="both"/>
      </w:pPr>
    </w:p>
    <w:p w14:paraId="4B697B40" w14:textId="649AE7CF" w:rsidR="00814684" w:rsidRDefault="00814684" w:rsidP="00814684">
      <w:r w:rsidRPr="00A032D6">
        <w:t>Ondergetekende verklaart alle vragen en bijlagen volledig en naar waarheid te hebben beantwoord en dat de in dit vragenformulier verstrekte inlichtingen met de werkelijkheid overeenstemmen, juist en volledig zijn.</w:t>
      </w:r>
    </w:p>
    <w:p w14:paraId="5E9357F7" w14:textId="6E239A74" w:rsidR="00814684" w:rsidRDefault="00814684" w:rsidP="00AC5B25">
      <w:pPr>
        <w:jc w:val="both"/>
      </w:pPr>
      <w:r>
        <w:t xml:space="preserve">Ondergetekende is ermee bekend en stemt daarmee in dat Aanbestedende dienst de beantwoording van de geschiktheidseisen eventueel verifieert of zal laten verifiëren. Ondergetekende zal, indien Aanbestedende dienst tot verificatie van gegevens wenst over te gaan, daaraan zijn medewerking verlenen. </w:t>
      </w:r>
      <w:r w:rsidRPr="00A032D6">
        <w:t xml:space="preserve">Ondergetekende zal eveneens zijn medewerking verlenen aan een door of namens </w:t>
      </w:r>
      <w:r>
        <w:t>Aanbestedende dienst</w:t>
      </w:r>
      <w:r w:rsidRPr="00A032D6">
        <w:t xml:space="preserve"> uit te voeren onderzoek naar de ‘herkomst van middelen’.</w:t>
      </w:r>
    </w:p>
    <w:p w14:paraId="55A292F1" w14:textId="77777777" w:rsidR="00814684" w:rsidRDefault="00814684" w:rsidP="00814684"/>
    <w:p w14:paraId="58EC1D30" w14:textId="77777777" w:rsidR="00814684" w:rsidRDefault="00814684" w:rsidP="00814684">
      <w:pPr>
        <w:spacing w:line="240" w:lineRule="auto"/>
        <w:jc w:val="both"/>
      </w:pPr>
      <w:r>
        <w:t>Aldu</w:t>
      </w:r>
      <w:r w:rsidRPr="00AA1BCA">
        <w:t>s, naar waarheid opgemaakt</w:t>
      </w:r>
      <w:r>
        <w:t xml:space="preserve"> en rechtsgeldig ondertekend door; </w:t>
      </w:r>
    </w:p>
    <w:p w14:paraId="75289B04" w14:textId="77777777" w:rsidR="00814684" w:rsidRDefault="00814684" w:rsidP="00814684">
      <w:pPr>
        <w:spacing w:line="240" w:lineRule="auto"/>
        <w:jc w:val="both"/>
      </w:pPr>
    </w:p>
    <w:p w14:paraId="31CFEDD4" w14:textId="77777777" w:rsidR="00814684" w:rsidRPr="00AA1BCA" w:rsidRDefault="00814684" w:rsidP="00814684">
      <w:pPr>
        <w:spacing w:line="240" w:lineRule="auto"/>
        <w:jc w:val="both"/>
      </w:pPr>
    </w:p>
    <w:tbl>
      <w:tblPr>
        <w:tblpPr w:leftFromText="141" w:rightFromText="141" w:vertAnchor="text" w:horzAnchor="margin" w:tblpX="108" w:tblpY="142"/>
        <w:tblW w:w="8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9"/>
        <w:gridCol w:w="6095"/>
      </w:tblGrid>
      <w:tr w:rsidR="00814684" w:rsidRPr="00AA1BCA" w14:paraId="6406E450" w14:textId="77777777" w:rsidTr="009C7857">
        <w:trPr>
          <w:trHeight w:val="227"/>
        </w:trPr>
        <w:tc>
          <w:tcPr>
            <w:tcW w:w="2869" w:type="dxa"/>
            <w:tcBorders>
              <w:top w:val="single" w:sz="4" w:space="0" w:color="auto"/>
              <w:left w:val="single" w:sz="4" w:space="0" w:color="auto"/>
              <w:bottom w:val="single" w:sz="4" w:space="0" w:color="auto"/>
              <w:right w:val="single" w:sz="4" w:space="0" w:color="auto"/>
            </w:tcBorders>
            <w:shd w:val="clear" w:color="auto" w:fill="DAEEF3"/>
            <w:hideMark/>
          </w:tcPr>
          <w:p w14:paraId="10E39DC8" w14:textId="77777777" w:rsidR="00814684" w:rsidRPr="00B64D9C" w:rsidRDefault="00814684" w:rsidP="009C7857">
            <w:pPr>
              <w:spacing w:before="40" w:after="40"/>
              <w:rPr>
                <w:b/>
              </w:rPr>
            </w:pPr>
            <w:r w:rsidRPr="00B64D9C">
              <w:rPr>
                <w:b/>
              </w:rPr>
              <w:t xml:space="preserve">Naam ondernemer </w:t>
            </w:r>
          </w:p>
        </w:tc>
        <w:tc>
          <w:tcPr>
            <w:tcW w:w="6095" w:type="dxa"/>
            <w:tcBorders>
              <w:top w:val="single" w:sz="4" w:space="0" w:color="auto"/>
              <w:left w:val="single" w:sz="4" w:space="0" w:color="auto"/>
              <w:bottom w:val="single" w:sz="4" w:space="0" w:color="auto"/>
              <w:right w:val="single" w:sz="4" w:space="0" w:color="auto"/>
            </w:tcBorders>
            <w:hideMark/>
          </w:tcPr>
          <w:p w14:paraId="0728CB3D" w14:textId="77777777" w:rsidR="00814684" w:rsidRDefault="00814684" w:rsidP="009C7857">
            <w:pPr>
              <w:spacing w:before="40" w:after="40"/>
              <w:rPr>
                <w:rFonts w:ascii="Times New Roman" w:hAnsi="Times New Roman"/>
              </w:rPr>
            </w:pPr>
          </w:p>
          <w:p w14:paraId="4309A4DF" w14:textId="77777777" w:rsidR="00814684" w:rsidRPr="00AA1BCA" w:rsidRDefault="00814684" w:rsidP="009C7857">
            <w:pPr>
              <w:spacing w:before="40" w:after="40"/>
              <w:rPr>
                <w:rFonts w:ascii="Times New Roman" w:hAnsi="Times New Roman"/>
              </w:rPr>
            </w:pPr>
          </w:p>
        </w:tc>
      </w:tr>
      <w:tr w:rsidR="00814684" w:rsidRPr="00AA1BCA" w14:paraId="799185DE" w14:textId="77777777" w:rsidTr="009C7857">
        <w:trPr>
          <w:trHeight w:val="227"/>
        </w:trPr>
        <w:tc>
          <w:tcPr>
            <w:tcW w:w="2869" w:type="dxa"/>
            <w:tcBorders>
              <w:top w:val="single" w:sz="4" w:space="0" w:color="auto"/>
              <w:left w:val="single" w:sz="4" w:space="0" w:color="auto"/>
              <w:bottom w:val="single" w:sz="4" w:space="0" w:color="auto"/>
              <w:right w:val="single" w:sz="4" w:space="0" w:color="auto"/>
            </w:tcBorders>
            <w:shd w:val="clear" w:color="auto" w:fill="DAEEF3"/>
            <w:hideMark/>
          </w:tcPr>
          <w:p w14:paraId="7771C114" w14:textId="77777777" w:rsidR="00814684" w:rsidRPr="00B64D9C" w:rsidRDefault="00814684" w:rsidP="009C7857">
            <w:pPr>
              <w:spacing w:before="40" w:after="40"/>
              <w:rPr>
                <w:b/>
              </w:rPr>
            </w:pPr>
            <w:r w:rsidRPr="00B64D9C">
              <w:rPr>
                <w:b/>
              </w:rPr>
              <w:t xml:space="preserve">Naam ondertekenaar </w:t>
            </w:r>
          </w:p>
        </w:tc>
        <w:tc>
          <w:tcPr>
            <w:tcW w:w="6095" w:type="dxa"/>
            <w:tcBorders>
              <w:top w:val="single" w:sz="4" w:space="0" w:color="auto"/>
              <w:left w:val="single" w:sz="4" w:space="0" w:color="auto"/>
              <w:bottom w:val="single" w:sz="4" w:space="0" w:color="auto"/>
              <w:right w:val="single" w:sz="4" w:space="0" w:color="auto"/>
            </w:tcBorders>
            <w:hideMark/>
          </w:tcPr>
          <w:p w14:paraId="62090B4F" w14:textId="77777777" w:rsidR="00814684" w:rsidRDefault="00814684" w:rsidP="009C7857">
            <w:pPr>
              <w:spacing w:before="40" w:after="40"/>
              <w:rPr>
                <w:rFonts w:ascii="Times New Roman" w:hAnsi="Times New Roman"/>
              </w:rPr>
            </w:pPr>
          </w:p>
          <w:p w14:paraId="1003B709" w14:textId="77777777" w:rsidR="00814684" w:rsidRPr="00AA1BCA" w:rsidRDefault="00814684" w:rsidP="009C7857">
            <w:pPr>
              <w:spacing w:before="40" w:after="40"/>
              <w:rPr>
                <w:rFonts w:ascii="Times New Roman" w:hAnsi="Times New Roman"/>
              </w:rPr>
            </w:pPr>
          </w:p>
        </w:tc>
      </w:tr>
      <w:tr w:rsidR="00814684" w:rsidRPr="00AA1BCA" w14:paraId="75B35C4B" w14:textId="77777777" w:rsidTr="009C7857">
        <w:trPr>
          <w:trHeight w:val="227"/>
        </w:trPr>
        <w:tc>
          <w:tcPr>
            <w:tcW w:w="2869" w:type="dxa"/>
            <w:tcBorders>
              <w:top w:val="single" w:sz="4" w:space="0" w:color="auto"/>
              <w:left w:val="single" w:sz="4" w:space="0" w:color="auto"/>
              <w:bottom w:val="single" w:sz="4" w:space="0" w:color="auto"/>
              <w:right w:val="single" w:sz="4" w:space="0" w:color="auto"/>
            </w:tcBorders>
            <w:shd w:val="clear" w:color="auto" w:fill="DAEEF3"/>
            <w:hideMark/>
          </w:tcPr>
          <w:p w14:paraId="5EC99F4A" w14:textId="77777777" w:rsidR="00814684" w:rsidRPr="00B64D9C" w:rsidRDefault="00814684" w:rsidP="009C7857">
            <w:pPr>
              <w:spacing w:before="40" w:after="40"/>
              <w:rPr>
                <w:b/>
              </w:rPr>
            </w:pPr>
            <w:r w:rsidRPr="00B64D9C">
              <w:rPr>
                <w:b/>
              </w:rPr>
              <w:t>Datum</w:t>
            </w:r>
          </w:p>
        </w:tc>
        <w:tc>
          <w:tcPr>
            <w:tcW w:w="6095" w:type="dxa"/>
            <w:tcBorders>
              <w:top w:val="single" w:sz="4" w:space="0" w:color="auto"/>
              <w:left w:val="single" w:sz="4" w:space="0" w:color="auto"/>
              <w:bottom w:val="single" w:sz="4" w:space="0" w:color="auto"/>
              <w:right w:val="single" w:sz="4" w:space="0" w:color="auto"/>
            </w:tcBorders>
            <w:hideMark/>
          </w:tcPr>
          <w:p w14:paraId="77F0CDA5" w14:textId="77777777" w:rsidR="00814684" w:rsidRDefault="00814684" w:rsidP="009C7857">
            <w:pPr>
              <w:spacing w:before="40" w:after="40"/>
              <w:rPr>
                <w:rFonts w:ascii="Times New Roman" w:hAnsi="Times New Roman"/>
              </w:rPr>
            </w:pPr>
          </w:p>
          <w:p w14:paraId="6C0E2521" w14:textId="77777777" w:rsidR="00814684" w:rsidRPr="00AA1BCA" w:rsidRDefault="00814684" w:rsidP="009C7857">
            <w:pPr>
              <w:spacing w:before="40" w:after="40"/>
              <w:rPr>
                <w:rFonts w:ascii="Times New Roman" w:hAnsi="Times New Roman"/>
              </w:rPr>
            </w:pPr>
          </w:p>
        </w:tc>
      </w:tr>
      <w:tr w:rsidR="00814684" w:rsidRPr="00AA1BCA" w14:paraId="61084B70" w14:textId="77777777" w:rsidTr="009C7857">
        <w:trPr>
          <w:trHeight w:val="227"/>
        </w:trPr>
        <w:tc>
          <w:tcPr>
            <w:tcW w:w="2869" w:type="dxa"/>
            <w:tcBorders>
              <w:top w:val="single" w:sz="4" w:space="0" w:color="auto"/>
              <w:left w:val="single" w:sz="4" w:space="0" w:color="auto"/>
              <w:bottom w:val="single" w:sz="4" w:space="0" w:color="auto"/>
              <w:right w:val="single" w:sz="4" w:space="0" w:color="auto"/>
            </w:tcBorders>
            <w:shd w:val="clear" w:color="auto" w:fill="DAEEF3"/>
            <w:hideMark/>
          </w:tcPr>
          <w:p w14:paraId="7CE8AC71" w14:textId="77777777" w:rsidR="00814684" w:rsidRPr="00B64D9C" w:rsidRDefault="00814684" w:rsidP="009C7857">
            <w:pPr>
              <w:spacing w:after="40"/>
              <w:rPr>
                <w:b/>
              </w:rPr>
            </w:pPr>
            <w:r w:rsidRPr="00B64D9C">
              <w:rPr>
                <w:b/>
              </w:rPr>
              <w:t>Handtekening</w:t>
            </w:r>
          </w:p>
        </w:tc>
        <w:tc>
          <w:tcPr>
            <w:tcW w:w="6095" w:type="dxa"/>
            <w:tcBorders>
              <w:top w:val="single" w:sz="4" w:space="0" w:color="auto"/>
              <w:left w:val="single" w:sz="4" w:space="0" w:color="auto"/>
              <w:bottom w:val="single" w:sz="4" w:space="0" w:color="auto"/>
              <w:right w:val="single" w:sz="4" w:space="0" w:color="auto"/>
            </w:tcBorders>
            <w:hideMark/>
          </w:tcPr>
          <w:p w14:paraId="052C6D5B" w14:textId="77777777" w:rsidR="00814684" w:rsidRPr="00AA1BCA" w:rsidRDefault="00814684" w:rsidP="009C7857">
            <w:pPr>
              <w:pStyle w:val="xl27"/>
              <w:pBdr>
                <w:left w:val="none" w:sz="0" w:space="0" w:color="auto"/>
                <w:bottom w:val="none" w:sz="0" w:space="0" w:color="auto"/>
                <w:right w:val="none" w:sz="0" w:space="0" w:color="auto"/>
              </w:pBdr>
              <w:spacing w:before="40" w:beforeAutospacing="0" w:after="40" w:afterAutospacing="0"/>
              <w:rPr>
                <w:rFonts w:ascii="Times New Roman" w:eastAsia="Times New Roman" w:hAnsi="Times New Roman" w:cs="Times New Roman"/>
                <w:sz w:val="20"/>
                <w:szCs w:val="20"/>
              </w:rPr>
            </w:pPr>
          </w:p>
          <w:p w14:paraId="146BEABE" w14:textId="77777777" w:rsidR="00814684" w:rsidRPr="00AA1BCA" w:rsidRDefault="00814684" w:rsidP="009C7857">
            <w:pPr>
              <w:pStyle w:val="xl27"/>
              <w:pBdr>
                <w:left w:val="none" w:sz="0" w:space="0" w:color="auto"/>
                <w:bottom w:val="none" w:sz="0" w:space="0" w:color="auto"/>
                <w:right w:val="none" w:sz="0" w:space="0" w:color="auto"/>
              </w:pBdr>
              <w:spacing w:before="40" w:beforeAutospacing="0" w:after="40" w:afterAutospacing="0"/>
              <w:rPr>
                <w:rFonts w:ascii="Times New Roman" w:eastAsia="Times New Roman" w:hAnsi="Times New Roman" w:cs="Times New Roman"/>
                <w:sz w:val="20"/>
                <w:szCs w:val="20"/>
              </w:rPr>
            </w:pPr>
          </w:p>
          <w:p w14:paraId="0B1934B9" w14:textId="77777777" w:rsidR="00814684" w:rsidRPr="00AA1BCA" w:rsidRDefault="00814684" w:rsidP="009C7857">
            <w:pPr>
              <w:pStyle w:val="xl27"/>
              <w:pBdr>
                <w:left w:val="none" w:sz="0" w:space="0" w:color="auto"/>
                <w:bottom w:val="none" w:sz="0" w:space="0" w:color="auto"/>
                <w:right w:val="none" w:sz="0" w:space="0" w:color="auto"/>
              </w:pBdr>
              <w:spacing w:before="40" w:beforeAutospacing="0" w:after="40" w:afterAutospacing="0"/>
              <w:rPr>
                <w:rFonts w:ascii="Times New Roman" w:eastAsia="Times New Roman" w:hAnsi="Times New Roman" w:cs="Times New Roman"/>
                <w:sz w:val="20"/>
                <w:szCs w:val="20"/>
              </w:rPr>
            </w:pPr>
          </w:p>
        </w:tc>
      </w:tr>
    </w:tbl>
    <w:p w14:paraId="53E65B08" w14:textId="77777777" w:rsidR="00814684" w:rsidRPr="00475261" w:rsidRDefault="00814684" w:rsidP="00814684"/>
    <w:sectPr w:rsidR="00814684" w:rsidRPr="00475261">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9B748" w14:textId="77777777" w:rsidR="00174BF0" w:rsidRDefault="00174BF0" w:rsidP="00174BF0">
      <w:pPr>
        <w:spacing w:before="0" w:after="0" w:line="240" w:lineRule="auto"/>
      </w:pPr>
      <w:r>
        <w:separator/>
      </w:r>
    </w:p>
  </w:endnote>
  <w:endnote w:type="continuationSeparator" w:id="0">
    <w:p w14:paraId="1E808361" w14:textId="77777777" w:rsidR="00174BF0" w:rsidRDefault="00174BF0" w:rsidP="00174BF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817B2" w14:textId="097F27B9" w:rsidR="00174BF0" w:rsidRPr="000D4118" w:rsidRDefault="00174BF0">
    <w:pPr>
      <w:pStyle w:val="Voettekst"/>
      <w:rPr>
        <w:color w:val="000000" w:themeColor="text1"/>
      </w:rPr>
    </w:pPr>
    <w:r w:rsidRPr="000D4118">
      <w:rPr>
        <w:noProof/>
        <w:color w:val="000000" w:themeColor="text1"/>
      </w:rPr>
      <mc:AlternateContent>
        <mc:Choice Requires="wps">
          <w:drawing>
            <wp:anchor distT="0" distB="0" distL="114300" distR="114300" simplePos="0" relativeHeight="251659264" behindDoc="0" locked="0" layoutInCell="1" allowOverlap="1" wp14:anchorId="04683FD6" wp14:editId="2E65A5D2">
              <wp:simplePos x="0" y="0"/>
              <wp:positionH relativeFrom="page">
                <wp:align>center</wp:align>
              </wp:positionH>
              <wp:positionV relativeFrom="page">
                <wp:align>center</wp:align>
              </wp:positionV>
              <wp:extent cx="7364730" cy="9528810"/>
              <wp:effectExtent l="0" t="0" r="26670" b="26670"/>
              <wp:wrapNone/>
              <wp:docPr id="452" name="Rechthoek 74"/>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C0739D3" id="Rechthoek 74"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sidRPr="000D4118">
      <w:rPr>
        <w:color w:val="000000" w:themeColor="text1"/>
      </w:rPr>
      <w:t>Bijlage 3a</w:t>
    </w:r>
    <w:r w:rsidR="005B424D">
      <w:rPr>
        <w:color w:val="000000" w:themeColor="text1"/>
      </w:rPr>
      <w:t>v2</w:t>
    </w:r>
    <w:r w:rsidRPr="000D4118">
      <w:rPr>
        <w:color w:val="000000" w:themeColor="text1"/>
      </w:rPr>
      <w:t xml:space="preserve">:  Geschiktheidseisen levering </w:t>
    </w:r>
    <w:r w:rsidR="00AC5B25">
      <w:rPr>
        <w:color w:val="000000" w:themeColor="text1"/>
      </w:rPr>
      <w:t>Immunostainers, reagentia en onderhoud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EEF4B" w14:textId="77777777" w:rsidR="00174BF0" w:rsidRDefault="00174BF0" w:rsidP="00174BF0">
      <w:pPr>
        <w:spacing w:before="0" w:after="0" w:line="240" w:lineRule="auto"/>
      </w:pPr>
      <w:r>
        <w:separator/>
      </w:r>
    </w:p>
  </w:footnote>
  <w:footnote w:type="continuationSeparator" w:id="0">
    <w:p w14:paraId="5FDB931E" w14:textId="77777777" w:rsidR="00174BF0" w:rsidRDefault="00174BF0" w:rsidP="00174BF0">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FD0D76"/>
    <w:multiLevelType w:val="hybridMultilevel"/>
    <w:tmpl w:val="25628CA0"/>
    <w:lvl w:ilvl="0" w:tplc="5C7C7880">
      <w:start w:val="1"/>
      <w:numFmt w:val="decimal"/>
      <w:pStyle w:val="Lijst"/>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88F1274"/>
    <w:multiLevelType w:val="hybridMultilevel"/>
    <w:tmpl w:val="153AAD48"/>
    <w:lvl w:ilvl="0" w:tplc="1B6E9CBA">
      <w:start w:val="1"/>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D261423"/>
    <w:multiLevelType w:val="multilevel"/>
    <w:tmpl w:val="92BCE30E"/>
    <w:lvl w:ilvl="0">
      <w:start w:val="1"/>
      <w:numFmt w:val="decimal"/>
      <w:pStyle w:val="Kop1-genummerd"/>
      <w:lvlText w:val="%1."/>
      <w:lvlJc w:val="left"/>
      <w:pPr>
        <w:ind w:left="360" w:hanging="360"/>
      </w:pPr>
      <w:rPr>
        <w:rFonts w:hint="default"/>
      </w:rPr>
    </w:lvl>
    <w:lvl w:ilvl="1">
      <w:start w:val="1"/>
      <w:numFmt w:val="decimal"/>
      <w:lvlRestart w:val="0"/>
      <w:pStyle w:val="Kop2-genummerd"/>
      <w:lvlText w:val="%1.%2."/>
      <w:lvlJc w:val="left"/>
      <w:pPr>
        <w:ind w:left="720" w:hanging="360"/>
      </w:pPr>
      <w:rPr>
        <w:rFonts w:hint="default"/>
      </w:rPr>
    </w:lvl>
    <w:lvl w:ilvl="2">
      <w:start w:val="1"/>
      <w:numFmt w:val="decimal"/>
      <w:lvlRestart w:val="0"/>
      <w:pStyle w:val="Kop3-genummerd"/>
      <w:lvlText w:val="%1.%2.%3."/>
      <w:lvlJc w:val="left"/>
      <w:pPr>
        <w:ind w:left="107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69E3CE2"/>
    <w:multiLevelType w:val="hybridMultilevel"/>
    <w:tmpl w:val="F9B2E6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7120A29"/>
    <w:multiLevelType w:val="multilevel"/>
    <w:tmpl w:val="D7A6A850"/>
    <w:lvl w:ilvl="0">
      <w:start w:val="1"/>
      <w:numFmt w:val="bullet"/>
      <w:pStyle w:val="Lijstopsomteken"/>
      <w:lvlText w:val=""/>
      <w:lvlJc w:val="left"/>
      <w:pPr>
        <w:ind w:left="357" w:hanging="357"/>
      </w:pPr>
      <w:rPr>
        <w:rFonts w:ascii="Symbol" w:hAnsi="Symbol" w:hint="default"/>
      </w:rPr>
    </w:lvl>
    <w:lvl w:ilvl="1">
      <w:start w:val="1"/>
      <w:numFmt w:val="bullet"/>
      <w:pStyle w:val="Lijstopsomteken2"/>
      <w:lvlText w:val="o"/>
      <w:lvlJc w:val="left"/>
      <w:pPr>
        <w:ind w:left="720" w:hanging="363"/>
      </w:pPr>
      <w:rPr>
        <w:rFonts w:ascii="Courier New" w:hAnsi="Courier New" w:hint="default"/>
      </w:rPr>
    </w:lvl>
    <w:lvl w:ilvl="2">
      <w:start w:val="1"/>
      <w:numFmt w:val="bullet"/>
      <w:lvlRestart w:val="0"/>
      <w:pStyle w:val="Lijstopsomteken3"/>
      <w:lvlText w:val="-"/>
      <w:lvlJc w:val="left"/>
      <w:pPr>
        <w:ind w:left="1077" w:hanging="357"/>
      </w:pPr>
      <w:rPr>
        <w:rFonts w:ascii="Courier New" w:hAnsi="Courier Ne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68107910"/>
    <w:multiLevelType w:val="multilevel"/>
    <w:tmpl w:val="AF2472BA"/>
    <w:lvl w:ilvl="0">
      <w:start w:val="1"/>
      <w:numFmt w:val="decimal"/>
      <w:pStyle w:val="Lijstnummering"/>
      <w:lvlText w:val="%1."/>
      <w:lvlJc w:val="left"/>
      <w:pPr>
        <w:ind w:left="357" w:hanging="357"/>
      </w:pPr>
      <w:rPr>
        <w:rFonts w:hint="default"/>
      </w:rPr>
    </w:lvl>
    <w:lvl w:ilvl="1">
      <w:start w:val="1"/>
      <w:numFmt w:val="lowerLetter"/>
      <w:pStyle w:val="Lijstnummering2"/>
      <w:lvlText w:val="%2."/>
      <w:lvlJc w:val="left"/>
      <w:pPr>
        <w:ind w:left="720" w:hanging="363"/>
      </w:pPr>
      <w:rPr>
        <w:rFonts w:hint="default"/>
      </w:rPr>
    </w:lvl>
    <w:lvl w:ilvl="2">
      <w:start w:val="1"/>
      <w:numFmt w:val="lowerRoman"/>
      <w:lvlRestart w:val="0"/>
      <w:pStyle w:val="Lijstnummering3"/>
      <w:lvlText w:val="%3."/>
      <w:lvlJc w:val="left"/>
      <w:pPr>
        <w:ind w:left="1077" w:hanging="3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7D3F1E82"/>
    <w:multiLevelType w:val="hybridMultilevel"/>
    <w:tmpl w:val="0B028DC8"/>
    <w:lvl w:ilvl="0" w:tplc="D1B6DFB2">
      <w:start w:val="1"/>
      <w:numFmt w:val="bullet"/>
      <w:lvlText w:val=""/>
      <w:lvlJc w:val="left"/>
      <w:pPr>
        <w:tabs>
          <w:tab w:val="num" w:pos="1777"/>
        </w:tabs>
        <w:ind w:left="1777" w:hanging="360"/>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941658"/>
    <w:multiLevelType w:val="hybridMultilevel"/>
    <w:tmpl w:val="25C098E8"/>
    <w:lvl w:ilvl="0" w:tplc="D98ED52E">
      <w:start w:val="1"/>
      <w:numFmt w:val="upperRoman"/>
      <w:pStyle w:val="Bijlage"/>
      <w:lvlText w:val="Bijlage %1."/>
      <w:lvlJc w:val="left"/>
      <w:pPr>
        <w:ind w:left="720" w:hanging="360"/>
      </w:pPr>
      <w:rPr>
        <w:rFonts w:hAnsi="Arial Unicode MS" w:hint="default"/>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36105191">
    <w:abstractNumId w:val="0"/>
  </w:num>
  <w:num w:numId="2" w16cid:durableId="1026445243">
    <w:abstractNumId w:val="4"/>
  </w:num>
  <w:num w:numId="3" w16cid:durableId="593171272">
    <w:abstractNumId w:val="5"/>
  </w:num>
  <w:num w:numId="4" w16cid:durableId="1008337569">
    <w:abstractNumId w:val="2"/>
  </w:num>
  <w:num w:numId="5" w16cid:durableId="1200053308">
    <w:abstractNumId w:val="7"/>
  </w:num>
  <w:num w:numId="6" w16cid:durableId="2086148160">
    <w:abstractNumId w:val="2"/>
  </w:num>
  <w:num w:numId="7" w16cid:durableId="108204942">
    <w:abstractNumId w:val="0"/>
  </w:num>
  <w:num w:numId="8" w16cid:durableId="1159425561">
    <w:abstractNumId w:val="4"/>
  </w:num>
  <w:num w:numId="9" w16cid:durableId="517307843">
    <w:abstractNumId w:val="5"/>
  </w:num>
  <w:num w:numId="10" w16cid:durableId="1375159396">
    <w:abstractNumId w:val="4"/>
  </w:num>
  <w:num w:numId="11" w16cid:durableId="1855998875">
    <w:abstractNumId w:val="4"/>
  </w:num>
  <w:num w:numId="12" w16cid:durableId="888762083">
    <w:abstractNumId w:val="5"/>
  </w:num>
  <w:num w:numId="13" w16cid:durableId="1421874605">
    <w:abstractNumId w:val="5"/>
  </w:num>
  <w:num w:numId="14" w16cid:durableId="2034304253">
    <w:abstractNumId w:val="2"/>
  </w:num>
  <w:num w:numId="15" w16cid:durableId="244612863">
    <w:abstractNumId w:val="2"/>
  </w:num>
  <w:num w:numId="16" w16cid:durableId="1683697826">
    <w:abstractNumId w:val="2"/>
  </w:num>
  <w:num w:numId="17" w16cid:durableId="1427270423">
    <w:abstractNumId w:val="7"/>
  </w:num>
  <w:num w:numId="18" w16cid:durableId="1286042416">
    <w:abstractNumId w:val="0"/>
  </w:num>
  <w:num w:numId="19" w16cid:durableId="322970271">
    <w:abstractNumId w:val="4"/>
  </w:num>
  <w:num w:numId="20" w16cid:durableId="616446539">
    <w:abstractNumId w:val="5"/>
  </w:num>
  <w:num w:numId="21" w16cid:durableId="1937398501">
    <w:abstractNumId w:val="4"/>
  </w:num>
  <w:num w:numId="22" w16cid:durableId="1575697738">
    <w:abstractNumId w:val="4"/>
  </w:num>
  <w:num w:numId="23" w16cid:durableId="1820882858">
    <w:abstractNumId w:val="5"/>
  </w:num>
  <w:num w:numId="24" w16cid:durableId="517737764">
    <w:abstractNumId w:val="5"/>
  </w:num>
  <w:num w:numId="25" w16cid:durableId="1748528906">
    <w:abstractNumId w:val="2"/>
  </w:num>
  <w:num w:numId="26" w16cid:durableId="1343433185">
    <w:abstractNumId w:val="2"/>
  </w:num>
  <w:num w:numId="27" w16cid:durableId="1574968135">
    <w:abstractNumId w:val="2"/>
  </w:num>
  <w:num w:numId="28" w16cid:durableId="714815390">
    <w:abstractNumId w:val="7"/>
  </w:num>
  <w:num w:numId="29" w16cid:durableId="946811711">
    <w:abstractNumId w:val="2"/>
  </w:num>
  <w:num w:numId="30" w16cid:durableId="996882843">
    <w:abstractNumId w:val="2"/>
  </w:num>
  <w:num w:numId="31" w16cid:durableId="1606185036">
    <w:abstractNumId w:val="7"/>
  </w:num>
  <w:num w:numId="32" w16cid:durableId="1115752548">
    <w:abstractNumId w:val="2"/>
  </w:num>
  <w:num w:numId="33" w16cid:durableId="108551630">
    <w:abstractNumId w:val="2"/>
  </w:num>
  <w:num w:numId="34" w16cid:durableId="1409107347">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344930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63388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96602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05621149">
    <w:abstractNumId w:val="2"/>
    <w:lvlOverride w:ilvl="0">
      <w:lvl w:ilvl="0">
        <w:start w:val="1"/>
        <w:numFmt w:val="decimal"/>
        <w:pStyle w:val="Kop1-genummerd"/>
        <w:lvlText w:val="%1."/>
        <w:lvlJc w:val="left"/>
        <w:pPr>
          <w:ind w:left="360" w:hanging="360"/>
        </w:pPr>
        <w:rPr>
          <w:rFonts w:hint="default"/>
        </w:rPr>
      </w:lvl>
    </w:lvlOverride>
    <w:lvlOverride w:ilvl="1">
      <w:lvl w:ilvl="1">
        <w:start w:val="1"/>
        <w:numFmt w:val="decimal"/>
        <w:lvlRestart w:val="0"/>
        <w:pStyle w:val="Kop2-genummerd"/>
        <w:lvlText w:val="%1.%2."/>
        <w:lvlJc w:val="left"/>
        <w:pPr>
          <w:ind w:left="0" w:firstLine="0"/>
        </w:pPr>
        <w:rPr>
          <w:rFonts w:hint="default"/>
        </w:rPr>
      </w:lvl>
    </w:lvlOverride>
    <w:lvlOverride w:ilvl="2">
      <w:lvl w:ilvl="2">
        <w:start w:val="1"/>
        <w:numFmt w:val="decimal"/>
        <w:lvlRestart w:val="0"/>
        <w:pStyle w:val="Kop3-genummerd"/>
        <w:lvlText w:val="%1.%2.%3."/>
        <w:lvlJc w:val="left"/>
        <w:pPr>
          <w:ind w:left="1077" w:hanging="35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9" w16cid:durableId="1856844686">
    <w:abstractNumId w:val="6"/>
  </w:num>
  <w:num w:numId="40" w16cid:durableId="678196627">
    <w:abstractNumId w:val="3"/>
  </w:num>
  <w:num w:numId="41" w16cid:durableId="76973813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C17"/>
    <w:rsid w:val="000D4118"/>
    <w:rsid w:val="00174BF0"/>
    <w:rsid w:val="00192840"/>
    <w:rsid w:val="001A71D9"/>
    <w:rsid w:val="001E1C17"/>
    <w:rsid w:val="00225B02"/>
    <w:rsid w:val="00475261"/>
    <w:rsid w:val="00476272"/>
    <w:rsid w:val="004E10E2"/>
    <w:rsid w:val="00505539"/>
    <w:rsid w:val="00506189"/>
    <w:rsid w:val="005147C8"/>
    <w:rsid w:val="00537BF1"/>
    <w:rsid w:val="005B2AF3"/>
    <w:rsid w:val="005B424D"/>
    <w:rsid w:val="005E4B36"/>
    <w:rsid w:val="006E1286"/>
    <w:rsid w:val="007D0955"/>
    <w:rsid w:val="00812E89"/>
    <w:rsid w:val="00814684"/>
    <w:rsid w:val="00821D64"/>
    <w:rsid w:val="00840A00"/>
    <w:rsid w:val="00915C38"/>
    <w:rsid w:val="0093286C"/>
    <w:rsid w:val="00944185"/>
    <w:rsid w:val="009B60D0"/>
    <w:rsid w:val="00AA06BF"/>
    <w:rsid w:val="00AC5B25"/>
    <w:rsid w:val="00AD3036"/>
    <w:rsid w:val="00B42813"/>
    <w:rsid w:val="00BB0BD6"/>
    <w:rsid w:val="00CF0BFA"/>
    <w:rsid w:val="00D66FC4"/>
    <w:rsid w:val="00D777C8"/>
    <w:rsid w:val="00DD2DB9"/>
    <w:rsid w:val="00DF6498"/>
    <w:rsid w:val="00E1684F"/>
    <w:rsid w:val="00E366D2"/>
    <w:rsid w:val="00E55BEF"/>
    <w:rsid w:val="00EA3E5F"/>
    <w:rsid w:val="00EE65BE"/>
    <w:rsid w:val="00FD4F72"/>
    <w:rsid w:val="00FF73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F4165"/>
  <w15:chartTrackingRefBased/>
  <w15:docId w15:val="{C235D074-95C3-4C19-A172-8399E9201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NL"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lsdException w:name="List Number" w:semiHidden="1" w:uiPriority="4"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qFormat="1"/>
    <w:lsdException w:name="List Bullet 3" w:semiHidden="1" w:uiPriority="3" w:unhideWhenUsed="1"/>
    <w:lsdException w:name="List Bullet 4" w:semiHidden="1" w:uiPriority="3" w:unhideWhenUsed="1"/>
    <w:lsdException w:name="List Bullet 5" w:semiHidden="1" w:uiPriority="3" w:unhideWhenUsed="1"/>
    <w:lsdException w:name="List Number 2" w:semiHidden="1" w:uiPriority="4" w:unhideWhenUsed="1"/>
    <w:lsdException w:name="List Number 3" w:semiHidden="1" w:uiPriority="4" w:unhideWhenUsed="1"/>
    <w:lsdException w:name="List Number 4" w:semiHidden="1" w:uiPriority="4" w:unhideWhenUsed="1"/>
    <w:lsdException w:name="List Number 5" w:semiHidden="1" w:uiPriority="4"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A06BF"/>
  </w:style>
  <w:style w:type="paragraph" w:styleId="Kop1">
    <w:name w:val="heading 1"/>
    <w:basedOn w:val="Standaard"/>
    <w:next w:val="Standaard"/>
    <w:link w:val="Kop1Char"/>
    <w:uiPriority w:val="9"/>
    <w:qFormat/>
    <w:rsid w:val="00AA06BF"/>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Kop2">
    <w:name w:val="heading 2"/>
    <w:basedOn w:val="Standaard"/>
    <w:next w:val="Standaard"/>
    <w:link w:val="Kop2Char"/>
    <w:uiPriority w:val="9"/>
    <w:unhideWhenUsed/>
    <w:qFormat/>
    <w:rsid w:val="00AA06BF"/>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Kop3">
    <w:name w:val="heading 3"/>
    <w:basedOn w:val="Standaard"/>
    <w:next w:val="Standaard"/>
    <w:link w:val="Kop3Char"/>
    <w:uiPriority w:val="9"/>
    <w:unhideWhenUsed/>
    <w:qFormat/>
    <w:rsid w:val="00AA06BF"/>
    <w:pPr>
      <w:pBdr>
        <w:top w:val="single" w:sz="6" w:space="2" w:color="4472C4" w:themeColor="accent1"/>
      </w:pBdr>
      <w:spacing w:before="300" w:after="0"/>
      <w:outlineLvl w:val="2"/>
    </w:pPr>
    <w:rPr>
      <w:caps/>
      <w:color w:val="1F3763" w:themeColor="accent1" w:themeShade="7F"/>
      <w:spacing w:val="15"/>
    </w:rPr>
  </w:style>
  <w:style w:type="paragraph" w:styleId="Kop4">
    <w:name w:val="heading 4"/>
    <w:basedOn w:val="Standaard"/>
    <w:next w:val="Standaard"/>
    <w:link w:val="Kop4Char"/>
    <w:uiPriority w:val="9"/>
    <w:unhideWhenUsed/>
    <w:qFormat/>
    <w:rsid w:val="00AA06BF"/>
    <w:pPr>
      <w:pBdr>
        <w:top w:val="dotted" w:sz="6" w:space="2" w:color="4472C4" w:themeColor="accent1"/>
      </w:pBdr>
      <w:spacing w:before="200" w:after="0"/>
      <w:outlineLvl w:val="3"/>
    </w:pPr>
    <w:rPr>
      <w:caps/>
      <w:color w:val="2F5496" w:themeColor="accent1" w:themeShade="BF"/>
      <w:spacing w:val="10"/>
    </w:rPr>
  </w:style>
  <w:style w:type="paragraph" w:styleId="Kop5">
    <w:name w:val="heading 5"/>
    <w:basedOn w:val="Standaard"/>
    <w:next w:val="Standaard"/>
    <w:link w:val="Kop5Char"/>
    <w:uiPriority w:val="9"/>
    <w:semiHidden/>
    <w:unhideWhenUsed/>
    <w:qFormat/>
    <w:rsid w:val="00AA06BF"/>
    <w:pPr>
      <w:pBdr>
        <w:bottom w:val="single" w:sz="6" w:space="1" w:color="4472C4" w:themeColor="accent1"/>
      </w:pBdr>
      <w:spacing w:before="200" w:after="0"/>
      <w:outlineLvl w:val="4"/>
    </w:pPr>
    <w:rPr>
      <w:caps/>
      <w:color w:val="2F5496" w:themeColor="accent1" w:themeShade="BF"/>
      <w:spacing w:val="10"/>
    </w:rPr>
  </w:style>
  <w:style w:type="paragraph" w:styleId="Kop6">
    <w:name w:val="heading 6"/>
    <w:basedOn w:val="Standaard"/>
    <w:next w:val="Standaard"/>
    <w:link w:val="Kop6Char"/>
    <w:uiPriority w:val="9"/>
    <w:semiHidden/>
    <w:unhideWhenUsed/>
    <w:qFormat/>
    <w:rsid w:val="00AA06BF"/>
    <w:pPr>
      <w:pBdr>
        <w:bottom w:val="dotted" w:sz="6" w:space="1" w:color="4472C4" w:themeColor="accent1"/>
      </w:pBdr>
      <w:spacing w:before="200" w:after="0"/>
      <w:outlineLvl w:val="5"/>
    </w:pPr>
    <w:rPr>
      <w:caps/>
      <w:color w:val="2F5496" w:themeColor="accent1" w:themeShade="BF"/>
      <w:spacing w:val="10"/>
    </w:rPr>
  </w:style>
  <w:style w:type="paragraph" w:styleId="Kop7">
    <w:name w:val="heading 7"/>
    <w:basedOn w:val="Standaard"/>
    <w:next w:val="Standaard"/>
    <w:link w:val="Kop7Char"/>
    <w:uiPriority w:val="9"/>
    <w:semiHidden/>
    <w:unhideWhenUsed/>
    <w:qFormat/>
    <w:rsid w:val="00AA06BF"/>
    <w:pPr>
      <w:spacing w:before="200" w:after="0"/>
      <w:outlineLvl w:val="6"/>
    </w:pPr>
    <w:rPr>
      <w:caps/>
      <w:color w:val="2F5496" w:themeColor="accent1" w:themeShade="BF"/>
      <w:spacing w:val="10"/>
    </w:rPr>
  </w:style>
  <w:style w:type="paragraph" w:styleId="Kop8">
    <w:name w:val="heading 8"/>
    <w:basedOn w:val="Standaard"/>
    <w:next w:val="Standaard"/>
    <w:link w:val="Kop8Char"/>
    <w:uiPriority w:val="9"/>
    <w:semiHidden/>
    <w:unhideWhenUsed/>
    <w:qFormat/>
    <w:rsid w:val="00AA06BF"/>
    <w:pPr>
      <w:spacing w:before="2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AA06BF"/>
    <w:pPr>
      <w:spacing w:before="200" w:after="0"/>
      <w:outlineLvl w:val="8"/>
    </w:pPr>
    <w:rPr>
      <w:i/>
      <w:iCs/>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AA06BF"/>
    <w:rPr>
      <w:caps/>
      <w:spacing w:val="15"/>
      <w:shd w:val="clear" w:color="auto" w:fill="D9E2F3" w:themeFill="accent1" w:themeFillTint="33"/>
    </w:rPr>
  </w:style>
  <w:style w:type="character" w:customStyle="1" w:styleId="Kop3Char">
    <w:name w:val="Kop 3 Char"/>
    <w:basedOn w:val="Standaardalinea-lettertype"/>
    <w:link w:val="Kop3"/>
    <w:uiPriority w:val="9"/>
    <w:rsid w:val="00AA06BF"/>
    <w:rPr>
      <w:caps/>
      <w:color w:val="1F3763" w:themeColor="accent1" w:themeShade="7F"/>
      <w:spacing w:val="15"/>
    </w:rPr>
  </w:style>
  <w:style w:type="character" w:customStyle="1" w:styleId="Kop1Char">
    <w:name w:val="Kop 1 Char"/>
    <w:basedOn w:val="Standaardalinea-lettertype"/>
    <w:link w:val="Kop1"/>
    <w:uiPriority w:val="9"/>
    <w:rsid w:val="00AA06BF"/>
    <w:rPr>
      <w:caps/>
      <w:color w:val="FFFFFF" w:themeColor="background1"/>
      <w:spacing w:val="15"/>
      <w:sz w:val="22"/>
      <w:szCs w:val="22"/>
      <w:shd w:val="clear" w:color="auto" w:fill="4472C4" w:themeFill="accent1"/>
    </w:rPr>
  </w:style>
  <w:style w:type="paragraph" w:styleId="Titel">
    <w:name w:val="Title"/>
    <w:basedOn w:val="Standaard"/>
    <w:next w:val="Standaard"/>
    <w:link w:val="TitelChar"/>
    <w:uiPriority w:val="10"/>
    <w:qFormat/>
    <w:rsid w:val="00AA06BF"/>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elChar">
    <w:name w:val="Titel Char"/>
    <w:basedOn w:val="Standaardalinea-lettertype"/>
    <w:link w:val="Titel"/>
    <w:uiPriority w:val="10"/>
    <w:rsid w:val="00AA06BF"/>
    <w:rPr>
      <w:rFonts w:asciiTheme="majorHAnsi" w:eastAsiaTheme="majorEastAsia" w:hAnsiTheme="majorHAnsi" w:cstheme="majorBidi"/>
      <w:caps/>
      <w:color w:val="4472C4" w:themeColor="accent1"/>
      <w:spacing w:val="10"/>
      <w:sz w:val="52"/>
      <w:szCs w:val="52"/>
    </w:rPr>
  </w:style>
  <w:style w:type="paragraph" w:styleId="Ondertitel">
    <w:name w:val="Subtitle"/>
    <w:basedOn w:val="Standaard"/>
    <w:next w:val="Standaard"/>
    <w:link w:val="OndertitelChar"/>
    <w:uiPriority w:val="11"/>
    <w:qFormat/>
    <w:rsid w:val="00AA06BF"/>
    <w:pPr>
      <w:spacing w:before="0" w:after="500" w:line="240" w:lineRule="auto"/>
    </w:pPr>
    <w:rPr>
      <w:caps/>
      <w:color w:val="595959" w:themeColor="text1" w:themeTint="A6"/>
      <w:spacing w:val="10"/>
      <w:sz w:val="21"/>
      <w:szCs w:val="21"/>
    </w:rPr>
  </w:style>
  <w:style w:type="character" w:customStyle="1" w:styleId="OndertitelChar">
    <w:name w:val="Ondertitel Char"/>
    <w:basedOn w:val="Standaardalinea-lettertype"/>
    <w:link w:val="Ondertitel"/>
    <w:uiPriority w:val="11"/>
    <w:rsid w:val="00AA06BF"/>
    <w:rPr>
      <w:caps/>
      <w:color w:val="595959" w:themeColor="text1" w:themeTint="A6"/>
      <w:spacing w:val="10"/>
      <w:sz w:val="21"/>
      <w:szCs w:val="21"/>
    </w:rPr>
  </w:style>
  <w:style w:type="paragraph" w:styleId="Lijstalinea">
    <w:name w:val="List Paragraph"/>
    <w:basedOn w:val="Standaard"/>
    <w:uiPriority w:val="34"/>
    <w:qFormat/>
    <w:rsid w:val="005B2AF3"/>
    <w:pPr>
      <w:ind w:left="720"/>
      <w:contextualSpacing/>
    </w:pPr>
  </w:style>
  <w:style w:type="character" w:customStyle="1" w:styleId="Kop4Char">
    <w:name w:val="Kop 4 Char"/>
    <w:basedOn w:val="Standaardalinea-lettertype"/>
    <w:link w:val="Kop4"/>
    <w:uiPriority w:val="9"/>
    <w:rsid w:val="00AA06BF"/>
    <w:rPr>
      <w:caps/>
      <w:color w:val="2F5496" w:themeColor="accent1" w:themeShade="BF"/>
      <w:spacing w:val="10"/>
    </w:rPr>
  </w:style>
  <w:style w:type="paragraph" w:styleId="Lijstnummering">
    <w:name w:val="List Number"/>
    <w:basedOn w:val="Standaard"/>
    <w:autoRedefine/>
    <w:uiPriority w:val="4"/>
    <w:rsid w:val="005B2AF3"/>
    <w:pPr>
      <w:numPr>
        <w:numId w:val="24"/>
      </w:numPr>
      <w:spacing w:before="20" w:after="20"/>
    </w:pPr>
    <w:rPr>
      <w:szCs w:val="22"/>
      <w:lang w:eastAsia="nl-NL"/>
    </w:rPr>
  </w:style>
  <w:style w:type="paragraph" w:styleId="Lijstopsomteken">
    <w:name w:val="List Bullet"/>
    <w:basedOn w:val="Standaard"/>
    <w:autoRedefine/>
    <w:uiPriority w:val="3"/>
    <w:rsid w:val="005B2AF3"/>
    <w:pPr>
      <w:numPr>
        <w:numId w:val="22"/>
      </w:numPr>
      <w:spacing w:before="20" w:after="20"/>
    </w:pPr>
  </w:style>
  <w:style w:type="paragraph" w:styleId="Lijstopsomteken2">
    <w:name w:val="List Bullet 2"/>
    <w:basedOn w:val="Standaard"/>
    <w:autoRedefine/>
    <w:uiPriority w:val="3"/>
    <w:unhideWhenUsed/>
    <w:rsid w:val="005B2AF3"/>
    <w:pPr>
      <w:numPr>
        <w:ilvl w:val="1"/>
        <w:numId w:val="22"/>
      </w:numPr>
      <w:spacing w:before="20" w:after="20"/>
    </w:pPr>
  </w:style>
  <w:style w:type="paragraph" w:styleId="Lijstopsomteken3">
    <w:name w:val="List Bullet 3"/>
    <w:basedOn w:val="Standaard"/>
    <w:autoRedefine/>
    <w:uiPriority w:val="3"/>
    <w:unhideWhenUsed/>
    <w:rsid w:val="005B2AF3"/>
    <w:pPr>
      <w:numPr>
        <w:ilvl w:val="2"/>
        <w:numId w:val="22"/>
      </w:numPr>
      <w:spacing w:before="20" w:after="20"/>
    </w:pPr>
  </w:style>
  <w:style w:type="paragraph" w:styleId="Lijst">
    <w:name w:val="List"/>
    <w:basedOn w:val="Standaard"/>
    <w:autoRedefine/>
    <w:uiPriority w:val="99"/>
    <w:semiHidden/>
    <w:unhideWhenUsed/>
    <w:rsid w:val="005B2AF3"/>
    <w:pPr>
      <w:numPr>
        <w:numId w:val="18"/>
      </w:numPr>
      <w:spacing w:before="20" w:after="20"/>
    </w:pPr>
  </w:style>
  <w:style w:type="paragraph" w:styleId="Lijstnummering3">
    <w:name w:val="List Number 3"/>
    <w:basedOn w:val="Standaard"/>
    <w:uiPriority w:val="4"/>
    <w:unhideWhenUsed/>
    <w:rsid w:val="005B2AF3"/>
    <w:pPr>
      <w:numPr>
        <w:ilvl w:val="2"/>
        <w:numId w:val="24"/>
      </w:numPr>
      <w:contextualSpacing/>
    </w:pPr>
  </w:style>
  <w:style w:type="paragraph" w:styleId="Lijstnummering2">
    <w:name w:val="List Number 2"/>
    <w:basedOn w:val="Standaard"/>
    <w:uiPriority w:val="4"/>
    <w:unhideWhenUsed/>
    <w:rsid w:val="005B2AF3"/>
    <w:pPr>
      <w:numPr>
        <w:ilvl w:val="1"/>
        <w:numId w:val="24"/>
      </w:numPr>
      <w:contextualSpacing/>
    </w:pPr>
  </w:style>
  <w:style w:type="paragraph" w:customStyle="1" w:styleId="Kop2-genummerd">
    <w:name w:val="Kop 2 - genummerd"/>
    <w:basedOn w:val="Kop2"/>
    <w:next w:val="Standaard"/>
    <w:autoRedefine/>
    <w:uiPriority w:val="2"/>
    <w:unhideWhenUsed/>
    <w:rsid w:val="00E55BEF"/>
    <w:pPr>
      <w:numPr>
        <w:ilvl w:val="1"/>
        <w:numId w:val="38"/>
      </w:numPr>
    </w:pPr>
  </w:style>
  <w:style w:type="paragraph" w:customStyle="1" w:styleId="Kop1-genummerd">
    <w:name w:val="Kop 1 - genummerd"/>
    <w:basedOn w:val="Kop1"/>
    <w:next w:val="Standaard"/>
    <w:autoRedefine/>
    <w:uiPriority w:val="2"/>
    <w:rsid w:val="00E55BEF"/>
    <w:pPr>
      <w:numPr>
        <w:numId w:val="4"/>
      </w:numPr>
    </w:pPr>
    <w:rPr>
      <w:rFonts w:eastAsia="Times New Roman" w:cs="Times New Roman"/>
    </w:rPr>
  </w:style>
  <w:style w:type="paragraph" w:customStyle="1" w:styleId="Kop3-genummerd">
    <w:name w:val="Kop 3 - genummerd"/>
    <w:basedOn w:val="Kop3"/>
    <w:next w:val="Standaard"/>
    <w:autoRedefine/>
    <w:uiPriority w:val="2"/>
    <w:unhideWhenUsed/>
    <w:rsid w:val="00D66FC4"/>
    <w:pPr>
      <w:numPr>
        <w:ilvl w:val="2"/>
        <w:numId w:val="33"/>
      </w:numPr>
    </w:pPr>
  </w:style>
  <w:style w:type="paragraph" w:customStyle="1" w:styleId="Bijlage">
    <w:name w:val="Bijlage"/>
    <w:basedOn w:val="Kop1"/>
    <w:next w:val="Standaard"/>
    <w:autoRedefine/>
    <w:uiPriority w:val="3"/>
    <w:rsid w:val="00E55BEF"/>
    <w:pPr>
      <w:numPr>
        <w:numId w:val="31"/>
      </w:numPr>
      <w:ind w:left="714" w:hanging="357"/>
      <w:contextualSpacing/>
    </w:pPr>
    <w:rPr>
      <w:rFonts w:eastAsia="Times New Roman" w:cs="Times New Roman"/>
    </w:rPr>
  </w:style>
  <w:style w:type="paragraph" w:styleId="Citaat">
    <w:name w:val="Quote"/>
    <w:basedOn w:val="Standaard"/>
    <w:next w:val="Standaard"/>
    <w:link w:val="CitaatChar"/>
    <w:uiPriority w:val="29"/>
    <w:qFormat/>
    <w:rsid w:val="00AA06BF"/>
    <w:rPr>
      <w:i/>
      <w:iCs/>
      <w:sz w:val="24"/>
      <w:szCs w:val="24"/>
    </w:rPr>
  </w:style>
  <w:style w:type="character" w:customStyle="1" w:styleId="CitaatChar">
    <w:name w:val="Citaat Char"/>
    <w:basedOn w:val="Standaardalinea-lettertype"/>
    <w:link w:val="Citaat"/>
    <w:uiPriority w:val="29"/>
    <w:rsid w:val="00AA06BF"/>
    <w:rPr>
      <w:i/>
      <w:iCs/>
      <w:sz w:val="24"/>
      <w:szCs w:val="24"/>
    </w:rPr>
  </w:style>
  <w:style w:type="table" w:styleId="Tabelraster">
    <w:name w:val="Table Grid"/>
    <w:basedOn w:val="Standaardtabel"/>
    <w:uiPriority w:val="59"/>
    <w:rsid w:val="00AA0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5Char">
    <w:name w:val="Kop 5 Char"/>
    <w:basedOn w:val="Standaardalinea-lettertype"/>
    <w:link w:val="Kop5"/>
    <w:uiPriority w:val="9"/>
    <w:semiHidden/>
    <w:rsid w:val="00AA06BF"/>
    <w:rPr>
      <w:caps/>
      <w:color w:val="2F5496" w:themeColor="accent1" w:themeShade="BF"/>
      <w:spacing w:val="10"/>
    </w:rPr>
  </w:style>
  <w:style w:type="character" w:customStyle="1" w:styleId="Kop6Char">
    <w:name w:val="Kop 6 Char"/>
    <w:basedOn w:val="Standaardalinea-lettertype"/>
    <w:link w:val="Kop6"/>
    <w:uiPriority w:val="9"/>
    <w:semiHidden/>
    <w:rsid w:val="00AA06BF"/>
    <w:rPr>
      <w:caps/>
      <w:color w:val="2F5496" w:themeColor="accent1" w:themeShade="BF"/>
      <w:spacing w:val="10"/>
    </w:rPr>
  </w:style>
  <w:style w:type="character" w:customStyle="1" w:styleId="Kop7Char">
    <w:name w:val="Kop 7 Char"/>
    <w:basedOn w:val="Standaardalinea-lettertype"/>
    <w:link w:val="Kop7"/>
    <w:uiPriority w:val="9"/>
    <w:semiHidden/>
    <w:rsid w:val="00AA06BF"/>
    <w:rPr>
      <w:caps/>
      <w:color w:val="2F5496" w:themeColor="accent1" w:themeShade="BF"/>
      <w:spacing w:val="10"/>
    </w:rPr>
  </w:style>
  <w:style w:type="character" w:customStyle="1" w:styleId="Kop8Char">
    <w:name w:val="Kop 8 Char"/>
    <w:basedOn w:val="Standaardalinea-lettertype"/>
    <w:link w:val="Kop8"/>
    <w:uiPriority w:val="9"/>
    <w:semiHidden/>
    <w:rsid w:val="00AA06BF"/>
    <w:rPr>
      <w:caps/>
      <w:spacing w:val="10"/>
      <w:sz w:val="18"/>
      <w:szCs w:val="18"/>
    </w:rPr>
  </w:style>
  <w:style w:type="character" w:customStyle="1" w:styleId="Kop9Char">
    <w:name w:val="Kop 9 Char"/>
    <w:basedOn w:val="Standaardalinea-lettertype"/>
    <w:link w:val="Kop9"/>
    <w:uiPriority w:val="9"/>
    <w:semiHidden/>
    <w:rsid w:val="00AA06BF"/>
    <w:rPr>
      <w:i/>
      <w:iCs/>
      <w:caps/>
      <w:spacing w:val="10"/>
      <w:sz w:val="18"/>
      <w:szCs w:val="18"/>
    </w:rPr>
  </w:style>
  <w:style w:type="paragraph" w:styleId="Bijschrift">
    <w:name w:val="caption"/>
    <w:basedOn w:val="Standaard"/>
    <w:next w:val="Standaard"/>
    <w:uiPriority w:val="35"/>
    <w:semiHidden/>
    <w:unhideWhenUsed/>
    <w:qFormat/>
    <w:rsid w:val="00AA06BF"/>
    <w:rPr>
      <w:b/>
      <w:bCs/>
      <w:color w:val="2F5496" w:themeColor="accent1" w:themeShade="BF"/>
      <w:sz w:val="16"/>
      <w:szCs w:val="16"/>
    </w:rPr>
  </w:style>
  <w:style w:type="character" w:styleId="Zwaar">
    <w:name w:val="Strong"/>
    <w:uiPriority w:val="22"/>
    <w:qFormat/>
    <w:rsid w:val="00AA06BF"/>
    <w:rPr>
      <w:b/>
      <w:bCs/>
    </w:rPr>
  </w:style>
  <w:style w:type="character" w:styleId="Nadruk">
    <w:name w:val="Emphasis"/>
    <w:uiPriority w:val="20"/>
    <w:qFormat/>
    <w:rsid w:val="00AA06BF"/>
    <w:rPr>
      <w:caps/>
      <w:color w:val="1F3763" w:themeColor="accent1" w:themeShade="7F"/>
      <w:spacing w:val="5"/>
    </w:rPr>
  </w:style>
  <w:style w:type="paragraph" w:styleId="Geenafstand">
    <w:name w:val="No Spacing"/>
    <w:uiPriority w:val="1"/>
    <w:qFormat/>
    <w:rsid w:val="00AA06BF"/>
    <w:pPr>
      <w:spacing w:after="0" w:line="240" w:lineRule="auto"/>
    </w:pPr>
  </w:style>
  <w:style w:type="paragraph" w:styleId="Duidelijkcitaat">
    <w:name w:val="Intense Quote"/>
    <w:basedOn w:val="Standaard"/>
    <w:next w:val="Standaard"/>
    <w:link w:val="DuidelijkcitaatChar"/>
    <w:uiPriority w:val="30"/>
    <w:qFormat/>
    <w:rsid w:val="00AA06BF"/>
    <w:pPr>
      <w:spacing w:before="240" w:after="240" w:line="240" w:lineRule="auto"/>
      <w:ind w:left="1080" w:right="1080"/>
      <w:jc w:val="center"/>
    </w:pPr>
    <w:rPr>
      <w:color w:val="4472C4" w:themeColor="accent1"/>
      <w:sz w:val="24"/>
      <w:szCs w:val="24"/>
    </w:rPr>
  </w:style>
  <w:style w:type="character" w:customStyle="1" w:styleId="DuidelijkcitaatChar">
    <w:name w:val="Duidelijk citaat Char"/>
    <w:basedOn w:val="Standaardalinea-lettertype"/>
    <w:link w:val="Duidelijkcitaat"/>
    <w:uiPriority w:val="30"/>
    <w:rsid w:val="00AA06BF"/>
    <w:rPr>
      <w:color w:val="4472C4" w:themeColor="accent1"/>
      <w:sz w:val="24"/>
      <w:szCs w:val="24"/>
    </w:rPr>
  </w:style>
  <w:style w:type="character" w:styleId="Subtielebenadrukking">
    <w:name w:val="Subtle Emphasis"/>
    <w:uiPriority w:val="19"/>
    <w:qFormat/>
    <w:rsid w:val="00AA06BF"/>
    <w:rPr>
      <w:i/>
      <w:iCs/>
      <w:color w:val="1F3763" w:themeColor="accent1" w:themeShade="7F"/>
    </w:rPr>
  </w:style>
  <w:style w:type="character" w:styleId="Intensievebenadrukking">
    <w:name w:val="Intense Emphasis"/>
    <w:uiPriority w:val="21"/>
    <w:qFormat/>
    <w:rsid w:val="00AA06BF"/>
    <w:rPr>
      <w:b/>
      <w:bCs/>
      <w:caps/>
      <w:color w:val="1F3763" w:themeColor="accent1" w:themeShade="7F"/>
      <w:spacing w:val="10"/>
    </w:rPr>
  </w:style>
  <w:style w:type="character" w:styleId="Subtieleverwijzing">
    <w:name w:val="Subtle Reference"/>
    <w:uiPriority w:val="31"/>
    <w:qFormat/>
    <w:rsid w:val="00AA06BF"/>
    <w:rPr>
      <w:b/>
      <w:bCs/>
      <w:color w:val="4472C4" w:themeColor="accent1"/>
    </w:rPr>
  </w:style>
  <w:style w:type="character" w:styleId="Intensieveverwijzing">
    <w:name w:val="Intense Reference"/>
    <w:uiPriority w:val="32"/>
    <w:qFormat/>
    <w:rsid w:val="00AA06BF"/>
    <w:rPr>
      <w:b/>
      <w:bCs/>
      <w:i/>
      <w:iCs/>
      <w:caps/>
      <w:color w:val="4472C4" w:themeColor="accent1"/>
    </w:rPr>
  </w:style>
  <w:style w:type="character" w:styleId="Titelvanboek">
    <w:name w:val="Book Title"/>
    <w:uiPriority w:val="33"/>
    <w:qFormat/>
    <w:rsid w:val="00AA06BF"/>
    <w:rPr>
      <w:b/>
      <w:bCs/>
      <w:i/>
      <w:iCs/>
      <w:spacing w:val="0"/>
    </w:rPr>
  </w:style>
  <w:style w:type="paragraph" w:styleId="Kopvaninhoudsopgave">
    <w:name w:val="TOC Heading"/>
    <w:basedOn w:val="Kop1"/>
    <w:next w:val="Standaard"/>
    <w:uiPriority w:val="39"/>
    <w:semiHidden/>
    <w:unhideWhenUsed/>
    <w:qFormat/>
    <w:rsid w:val="00AA06BF"/>
    <w:pPr>
      <w:outlineLvl w:val="9"/>
    </w:pPr>
  </w:style>
  <w:style w:type="paragraph" w:customStyle="1" w:styleId="xl27">
    <w:name w:val="xl27"/>
    <w:basedOn w:val="Standaard"/>
    <w:rsid w:val="00814684"/>
    <w:pPr>
      <w:pBdr>
        <w:left w:val="single" w:sz="4" w:space="0" w:color="auto"/>
        <w:bottom w:val="single" w:sz="4" w:space="0" w:color="auto"/>
        <w:right w:val="single" w:sz="4" w:space="0" w:color="auto"/>
      </w:pBdr>
      <w:spacing w:beforeAutospacing="1" w:after="100" w:afterAutospacing="1" w:line="240" w:lineRule="auto"/>
    </w:pPr>
    <w:rPr>
      <w:rFonts w:ascii="Arial" w:eastAsia="Arial Unicode MS" w:hAnsi="Arial" w:cs="Arial"/>
      <w:sz w:val="18"/>
      <w:szCs w:val="18"/>
      <w:lang w:eastAsia="nl-NL"/>
    </w:rPr>
  </w:style>
  <w:style w:type="paragraph" w:styleId="Koptekst">
    <w:name w:val="header"/>
    <w:basedOn w:val="Standaard"/>
    <w:link w:val="KoptekstChar"/>
    <w:uiPriority w:val="99"/>
    <w:unhideWhenUsed/>
    <w:rsid w:val="00174BF0"/>
    <w:pPr>
      <w:tabs>
        <w:tab w:val="center" w:pos="4536"/>
        <w:tab w:val="right" w:pos="9072"/>
      </w:tabs>
      <w:spacing w:before="0" w:after="0" w:line="240" w:lineRule="auto"/>
    </w:pPr>
  </w:style>
  <w:style w:type="character" w:customStyle="1" w:styleId="KoptekstChar">
    <w:name w:val="Koptekst Char"/>
    <w:basedOn w:val="Standaardalinea-lettertype"/>
    <w:link w:val="Koptekst"/>
    <w:uiPriority w:val="99"/>
    <w:rsid w:val="00174BF0"/>
  </w:style>
  <w:style w:type="paragraph" w:styleId="Voettekst">
    <w:name w:val="footer"/>
    <w:basedOn w:val="Standaard"/>
    <w:link w:val="VoettekstChar"/>
    <w:uiPriority w:val="99"/>
    <w:unhideWhenUsed/>
    <w:rsid w:val="00174BF0"/>
    <w:pPr>
      <w:tabs>
        <w:tab w:val="center" w:pos="4536"/>
        <w:tab w:val="right" w:pos="9072"/>
      </w:tabs>
      <w:spacing w:before="0" w:after="0" w:line="240" w:lineRule="auto"/>
    </w:pPr>
  </w:style>
  <w:style w:type="character" w:customStyle="1" w:styleId="VoettekstChar">
    <w:name w:val="Voettekst Char"/>
    <w:basedOn w:val="Standaardalinea-lettertype"/>
    <w:link w:val="Voettekst"/>
    <w:uiPriority w:val="99"/>
    <w:rsid w:val="00174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58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D81473C3445442BDF3E26564559A3B" ma:contentTypeVersion="2" ma:contentTypeDescription="Een nieuw document maken." ma:contentTypeScope="" ma:versionID="1ed84e6ff209cc0ba7e5214966a74913">
  <xsd:schema xmlns:xsd="http://www.w3.org/2001/XMLSchema" xmlns:xs="http://www.w3.org/2001/XMLSchema" xmlns:p="http://schemas.microsoft.com/office/2006/metadata/properties" xmlns:ns2="cfdd5b53-9357-4da0-b98a-83bb99318b32" targetNamespace="http://schemas.microsoft.com/office/2006/metadata/properties" ma:root="true" ma:fieldsID="cdeb3c6ebd7cc2d2934b580c44adbdee" ns2:_="">
    <xsd:import namespace="cfdd5b53-9357-4da0-b98a-83bb99318b3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d5b53-9357-4da0-b98a-83bb99318b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9D113B-D6E8-413A-A3E9-AD46BCB3E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d5b53-9357-4da0-b98a-83bb99318b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233EB2-64DC-4406-8894-6E9FA12C8971}">
  <ds:schemaRefs>
    <ds:schemaRef ds:uri="http://schemas.microsoft.com/sharepoint/v3/contenttype/forms"/>
  </ds:schemaRefs>
</ds:datastoreItem>
</file>

<file path=customXml/itemProps3.xml><?xml version="1.0" encoding="utf-8"?>
<ds:datastoreItem xmlns:ds="http://schemas.openxmlformats.org/officeDocument/2006/customXml" ds:itemID="{581EA6E3-639A-4968-B0FF-9D4D4193949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7</Pages>
  <Words>1530</Words>
  <Characters>8415</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Ramkema, M.D.</dc:creator>
  <cp:keywords/>
  <dc:description/>
  <cp:lastModifiedBy>Ramkema, M.D. (Marja)</cp:lastModifiedBy>
  <cp:revision>8</cp:revision>
  <dcterms:created xsi:type="dcterms:W3CDTF">2024-09-13T09:34:00Z</dcterms:created>
  <dcterms:modified xsi:type="dcterms:W3CDTF">2026-01-29T09:11:00Z</dcterms:modified>
</cp:coreProperties>
</file>