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5C59" w14:textId="0C0CACCF" w:rsidR="00440889" w:rsidRPr="008E1B3B" w:rsidRDefault="00440889" w:rsidP="00B563F7">
      <w:pPr>
        <w:spacing w:line="240" w:lineRule="atLeast"/>
        <w:ind w:left="567" w:hanging="567"/>
        <w:contextualSpacing/>
        <w:jc w:val="both"/>
        <w:rPr>
          <w:rFonts w:ascii="Thesans" w:hAnsi="Thesans" w:cs="Arial"/>
          <w:b/>
          <w:bCs/>
          <w:sz w:val="22"/>
          <w:szCs w:val="22"/>
        </w:rPr>
      </w:pPr>
      <w:bookmarkStart w:id="0" w:name="bmStart"/>
      <w:bookmarkEnd w:id="0"/>
      <w:r w:rsidRPr="008E1B3B">
        <w:rPr>
          <w:rFonts w:cs="Helvetica"/>
          <w:bCs/>
          <w:noProof/>
          <w:szCs w:val="22"/>
        </w:rPr>
        <w:drawing>
          <wp:inline distT="0" distB="0" distL="0" distR="0" wp14:anchorId="5D4E38F2" wp14:editId="4F329589">
            <wp:extent cx="3990340" cy="809625"/>
            <wp:effectExtent l="0" t="0" r="0" b="9525"/>
            <wp:docPr id="6" name="Afbeelding 6" descr="Afbeelding met Lettertype, Graphics,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Lettertype, Graphics, schermopname, grafische vormgeving&#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0340" cy="809625"/>
                    </a:xfrm>
                    <a:prstGeom prst="rect">
                      <a:avLst/>
                    </a:prstGeom>
                    <a:noFill/>
                  </pic:spPr>
                </pic:pic>
              </a:graphicData>
            </a:graphic>
          </wp:inline>
        </w:drawing>
      </w:r>
    </w:p>
    <w:p w14:paraId="1F36CBC2" w14:textId="77777777" w:rsidR="00440889" w:rsidRPr="008E1B3B" w:rsidRDefault="00440889" w:rsidP="00B563F7">
      <w:pPr>
        <w:spacing w:line="240" w:lineRule="atLeast"/>
        <w:ind w:left="567" w:hanging="567"/>
        <w:contextualSpacing/>
        <w:jc w:val="both"/>
        <w:rPr>
          <w:rFonts w:ascii="Thesans" w:hAnsi="Thesans" w:cs="Arial"/>
          <w:b/>
          <w:bCs/>
          <w:sz w:val="22"/>
          <w:szCs w:val="22"/>
        </w:rPr>
      </w:pPr>
    </w:p>
    <w:p w14:paraId="17079BBF" w14:textId="77777777" w:rsidR="00440889" w:rsidRPr="008E1B3B" w:rsidRDefault="00440889" w:rsidP="00B563F7">
      <w:pPr>
        <w:spacing w:line="240" w:lineRule="atLeast"/>
        <w:ind w:left="567" w:hanging="567"/>
        <w:contextualSpacing/>
        <w:jc w:val="both"/>
        <w:rPr>
          <w:rFonts w:ascii="Thesans" w:hAnsi="Thesans" w:cs="Arial"/>
          <w:b/>
          <w:bCs/>
          <w:sz w:val="22"/>
          <w:szCs w:val="22"/>
        </w:rPr>
      </w:pPr>
    </w:p>
    <w:p w14:paraId="1474457F" w14:textId="5093A568" w:rsidR="000142D6" w:rsidRPr="008E1B3B" w:rsidRDefault="005A3747" w:rsidP="00B563F7">
      <w:pPr>
        <w:spacing w:line="240" w:lineRule="atLeast"/>
        <w:contextualSpacing/>
        <w:jc w:val="center"/>
        <w:rPr>
          <w:rFonts w:ascii="Thesans" w:hAnsi="Thesans" w:cs="Arial"/>
          <w:b/>
          <w:bCs/>
          <w:sz w:val="24"/>
        </w:rPr>
      </w:pPr>
      <w:r w:rsidRPr="008E1B3B">
        <w:rPr>
          <w:rFonts w:ascii="Thesans" w:hAnsi="Thesans" w:cs="Arial"/>
          <w:b/>
          <w:bCs/>
          <w:sz w:val="24"/>
        </w:rPr>
        <w:t>Gegevensuitwisselingsovereenkomst</w:t>
      </w:r>
    </w:p>
    <w:p w14:paraId="10D5C49A" w14:textId="77777777" w:rsidR="000142D6" w:rsidRPr="008E1B3B" w:rsidRDefault="000142D6" w:rsidP="00B563F7">
      <w:pPr>
        <w:spacing w:line="240" w:lineRule="atLeast"/>
        <w:contextualSpacing/>
        <w:jc w:val="center"/>
        <w:rPr>
          <w:rFonts w:ascii="Thesans" w:hAnsi="Thesans" w:cs="Arial"/>
          <w:b/>
          <w:bCs/>
          <w:sz w:val="22"/>
          <w:szCs w:val="22"/>
        </w:rPr>
      </w:pPr>
    </w:p>
    <w:p w14:paraId="28999799" w14:textId="72A4D161" w:rsidR="000142D6" w:rsidRPr="008E1B3B" w:rsidRDefault="009B262F" w:rsidP="00B563F7">
      <w:pPr>
        <w:spacing w:line="240" w:lineRule="atLeast"/>
        <w:contextualSpacing/>
        <w:jc w:val="center"/>
        <w:rPr>
          <w:rFonts w:ascii="Thesans" w:hAnsi="Thesans" w:cs="Arial"/>
          <w:b/>
          <w:bCs/>
          <w:sz w:val="22"/>
          <w:szCs w:val="22"/>
        </w:rPr>
      </w:pPr>
      <w:r w:rsidRPr="008E1B3B">
        <w:rPr>
          <w:rFonts w:ascii="Thesans" w:hAnsi="Thesans" w:cs="Arial"/>
          <w:b/>
          <w:bCs/>
          <w:sz w:val="22"/>
          <w:szCs w:val="22"/>
        </w:rPr>
        <w:t xml:space="preserve">Bij </w:t>
      </w:r>
      <w:r w:rsidR="000142D6" w:rsidRPr="008E1B3B">
        <w:rPr>
          <w:rFonts w:ascii="Thesans" w:hAnsi="Thesans" w:cs="Arial"/>
          <w:b/>
          <w:bCs/>
          <w:sz w:val="22"/>
          <w:szCs w:val="22"/>
        </w:rPr>
        <w:t xml:space="preserve">Raamovereenkomst </w:t>
      </w:r>
      <w:r w:rsidR="009E1EE4" w:rsidRPr="008E1B3B">
        <w:rPr>
          <w:rFonts w:ascii="Thesans" w:hAnsi="Thesans" w:cs="Arial"/>
          <w:b/>
          <w:bCs/>
          <w:sz w:val="22"/>
          <w:szCs w:val="22"/>
        </w:rPr>
        <w:t>Thuiswerk</w:t>
      </w:r>
      <w:r w:rsidRPr="008E1B3B">
        <w:rPr>
          <w:rFonts w:ascii="Thesans" w:hAnsi="Thesans" w:cs="Arial"/>
          <w:b/>
          <w:bCs/>
          <w:sz w:val="22"/>
          <w:szCs w:val="22"/>
        </w:rPr>
        <w:t>meubilair met contractnummer</w:t>
      </w:r>
      <w:r w:rsidRPr="008E1B3B">
        <w:rPr>
          <w:rFonts w:ascii="Thesans" w:hAnsi="Thesans" w:cs="Arial"/>
          <w:sz w:val="22"/>
          <w:szCs w:val="22"/>
        </w:rPr>
        <w:t xml:space="preserve"> </w:t>
      </w:r>
      <w:r w:rsidR="008E1B3B" w:rsidRPr="00F10CCB">
        <w:rPr>
          <w:rFonts w:ascii="Thesans" w:hAnsi="Thesans" w:cs="Arial"/>
          <w:b/>
          <w:bCs/>
          <w:sz w:val="22"/>
          <w:szCs w:val="22"/>
          <w:highlight w:val="yellow"/>
        </w:rPr>
        <w:t>XXX</w:t>
      </w:r>
    </w:p>
    <w:p w14:paraId="0150BD17" w14:textId="77777777" w:rsidR="000142D6" w:rsidRPr="008E1B3B" w:rsidRDefault="000142D6" w:rsidP="00B563F7">
      <w:pPr>
        <w:spacing w:line="240" w:lineRule="atLeast"/>
        <w:contextualSpacing/>
        <w:jc w:val="center"/>
        <w:rPr>
          <w:rFonts w:ascii="Thesans" w:hAnsi="Thesans" w:cs="Arial"/>
          <w:sz w:val="22"/>
          <w:szCs w:val="22"/>
        </w:rPr>
      </w:pPr>
    </w:p>
    <w:p w14:paraId="2720F242" w14:textId="77777777" w:rsidR="009E1EE4" w:rsidRPr="008E1B3B" w:rsidRDefault="009E1EE4" w:rsidP="00B563F7">
      <w:pPr>
        <w:spacing w:line="240" w:lineRule="atLeast"/>
        <w:contextualSpacing/>
        <w:jc w:val="center"/>
        <w:rPr>
          <w:rFonts w:ascii="Thesans" w:hAnsi="Thesans" w:cs="Arial"/>
          <w:sz w:val="22"/>
          <w:szCs w:val="22"/>
        </w:rPr>
      </w:pPr>
    </w:p>
    <w:p w14:paraId="1A760677" w14:textId="77777777" w:rsidR="00440889" w:rsidRPr="008E1B3B" w:rsidRDefault="00440889" w:rsidP="008E1B3B">
      <w:pPr>
        <w:suppressAutoHyphens/>
        <w:contextualSpacing/>
        <w:jc w:val="center"/>
        <w:rPr>
          <w:rFonts w:ascii="Thesans" w:hAnsi="Thesans" w:cs="Helvetica"/>
          <w:bCs/>
          <w:sz w:val="22"/>
          <w:szCs w:val="22"/>
        </w:rPr>
      </w:pPr>
    </w:p>
    <w:p w14:paraId="3CE2B223" w14:textId="7B59FA5B" w:rsidR="00440889" w:rsidRPr="008E1B3B" w:rsidRDefault="00440889" w:rsidP="008E1B3B">
      <w:pPr>
        <w:suppressAutoHyphens/>
        <w:contextualSpacing/>
        <w:jc w:val="center"/>
        <w:rPr>
          <w:rFonts w:ascii="Thesans" w:hAnsi="Thesans"/>
          <w:color w:val="000000"/>
          <w:sz w:val="22"/>
          <w:szCs w:val="22"/>
        </w:rPr>
      </w:pPr>
      <w:r w:rsidRPr="008E1B3B">
        <w:rPr>
          <w:rFonts w:ascii="Thesans" w:hAnsi="Thesans"/>
          <w:b/>
          <w:bCs/>
          <w:color w:val="000000"/>
          <w:sz w:val="22"/>
          <w:szCs w:val="22"/>
        </w:rPr>
        <w:t>Centraal Orgaan opvang Asielzoekers</w:t>
      </w:r>
    </w:p>
    <w:p w14:paraId="5FD8B750" w14:textId="77777777" w:rsidR="00440889" w:rsidRPr="008E1B3B" w:rsidRDefault="00440889" w:rsidP="008E1B3B">
      <w:pPr>
        <w:suppressAutoHyphens/>
        <w:contextualSpacing/>
        <w:jc w:val="center"/>
        <w:rPr>
          <w:rFonts w:ascii="Thesans" w:hAnsi="Thesans"/>
          <w:color w:val="000000"/>
          <w:sz w:val="22"/>
          <w:szCs w:val="22"/>
        </w:rPr>
      </w:pPr>
    </w:p>
    <w:p w14:paraId="17FD66A9" w14:textId="77777777" w:rsidR="00440889" w:rsidRPr="008E1B3B" w:rsidRDefault="00440889" w:rsidP="008E1B3B">
      <w:pPr>
        <w:suppressAutoHyphens/>
        <w:contextualSpacing/>
        <w:jc w:val="center"/>
        <w:rPr>
          <w:rFonts w:ascii="Thesans" w:hAnsi="Thesans"/>
          <w:color w:val="000000"/>
          <w:sz w:val="22"/>
          <w:szCs w:val="22"/>
        </w:rPr>
      </w:pPr>
      <w:r w:rsidRPr="008E1B3B">
        <w:rPr>
          <w:rFonts w:ascii="Thesans" w:hAnsi="Thesans"/>
          <w:color w:val="000000"/>
          <w:sz w:val="22"/>
          <w:szCs w:val="22"/>
        </w:rPr>
        <w:t>En</w:t>
      </w:r>
    </w:p>
    <w:p w14:paraId="6F5818C4" w14:textId="77777777" w:rsidR="00440889" w:rsidRPr="008E1B3B" w:rsidRDefault="00440889" w:rsidP="008E1B3B">
      <w:pPr>
        <w:suppressAutoHyphens/>
        <w:contextualSpacing/>
        <w:jc w:val="center"/>
        <w:rPr>
          <w:rFonts w:ascii="Thesans" w:hAnsi="Thesans"/>
          <w:color w:val="000000"/>
          <w:sz w:val="22"/>
          <w:szCs w:val="22"/>
        </w:rPr>
      </w:pPr>
    </w:p>
    <w:p w14:paraId="21BAF9F6" w14:textId="77777777" w:rsidR="00440889" w:rsidRPr="008E1B3B" w:rsidRDefault="00440889" w:rsidP="008E1B3B">
      <w:pPr>
        <w:suppressAutoHyphens/>
        <w:contextualSpacing/>
        <w:jc w:val="center"/>
        <w:rPr>
          <w:rFonts w:ascii="Thesans" w:hAnsi="Thesans"/>
          <w:b/>
          <w:bCs/>
          <w:color w:val="000000"/>
          <w:sz w:val="22"/>
          <w:szCs w:val="22"/>
        </w:rPr>
      </w:pPr>
      <w:r w:rsidRPr="008E1B3B">
        <w:rPr>
          <w:rFonts w:ascii="Thesans" w:hAnsi="Thesans"/>
          <w:b/>
          <w:bCs/>
          <w:color w:val="000000"/>
          <w:sz w:val="22"/>
          <w:szCs w:val="22"/>
          <w:highlight w:val="yellow"/>
        </w:rPr>
        <w:t>&lt;Opdrachtnemer&gt;</w:t>
      </w:r>
    </w:p>
    <w:p w14:paraId="1D14156E" w14:textId="77777777" w:rsidR="00440889" w:rsidRPr="008E1B3B" w:rsidRDefault="00440889" w:rsidP="008E1B3B">
      <w:pPr>
        <w:suppressAutoHyphens/>
        <w:contextualSpacing/>
        <w:jc w:val="center"/>
        <w:rPr>
          <w:rFonts w:ascii="Thesans" w:hAnsi="Thesans" w:cs="Helvetica"/>
          <w:bCs/>
          <w:sz w:val="22"/>
          <w:szCs w:val="22"/>
        </w:rPr>
      </w:pPr>
    </w:p>
    <w:p w14:paraId="2686E63E" w14:textId="77777777" w:rsidR="00440889" w:rsidRPr="008E1B3B" w:rsidRDefault="00440889" w:rsidP="008E1B3B">
      <w:pPr>
        <w:suppressAutoHyphens/>
        <w:contextualSpacing/>
        <w:jc w:val="center"/>
        <w:rPr>
          <w:rFonts w:ascii="Thesans" w:hAnsi="Thesans" w:cs="Helvetica"/>
          <w:bCs/>
          <w:sz w:val="22"/>
          <w:szCs w:val="22"/>
        </w:rPr>
      </w:pPr>
      <w:r w:rsidRPr="008E1B3B">
        <w:rPr>
          <w:rFonts w:ascii="Thesans" w:hAnsi="Thesans" w:cs="Helvetica"/>
          <w:bCs/>
          <w:sz w:val="22"/>
          <w:szCs w:val="22"/>
        </w:rPr>
        <w:t>Projectnummer: CDR-</w:t>
      </w:r>
      <w:r w:rsidRPr="008E1B3B">
        <w:rPr>
          <w:rFonts w:ascii="Thesans" w:hAnsi="Thesans" w:cs="Arial"/>
          <w:color w:val="00252F"/>
          <w:sz w:val="22"/>
          <w:szCs w:val="22"/>
          <w:shd w:val="clear" w:color="auto" w:fill="FFFFFF"/>
        </w:rPr>
        <w:t xml:space="preserve"> </w:t>
      </w:r>
      <w:r w:rsidRPr="008E1B3B">
        <w:rPr>
          <w:rFonts w:ascii="Thesans" w:hAnsi="Thesans" w:cs="Helvetica"/>
          <w:bCs/>
          <w:sz w:val="22"/>
          <w:szCs w:val="22"/>
        </w:rPr>
        <w:t>1270786</w:t>
      </w:r>
    </w:p>
    <w:p w14:paraId="203BA4BA" w14:textId="77777777" w:rsidR="00440889" w:rsidRPr="008E1B3B" w:rsidRDefault="00440889" w:rsidP="008E1B3B">
      <w:pPr>
        <w:suppressAutoHyphens/>
        <w:contextualSpacing/>
        <w:jc w:val="center"/>
        <w:rPr>
          <w:rFonts w:ascii="Thesans" w:hAnsi="Thesans" w:cs="Helvetica"/>
          <w:bCs/>
          <w:sz w:val="22"/>
          <w:szCs w:val="22"/>
        </w:rPr>
      </w:pPr>
      <w:r w:rsidRPr="008E1B3B">
        <w:rPr>
          <w:rFonts w:ascii="Thesans" w:hAnsi="Thesans"/>
          <w:color w:val="000000"/>
          <w:sz w:val="22"/>
          <w:szCs w:val="22"/>
        </w:rPr>
        <w:t>Contractnummer &lt;</w:t>
      </w:r>
      <w:r w:rsidRPr="008E1B3B">
        <w:rPr>
          <w:rFonts w:ascii="Thesans" w:hAnsi="Thesans"/>
          <w:color w:val="000000"/>
          <w:sz w:val="22"/>
          <w:szCs w:val="22"/>
          <w:highlight w:val="yellow"/>
        </w:rPr>
        <w:t>Contractnummer</w:t>
      </w:r>
      <w:r w:rsidRPr="008E1B3B">
        <w:rPr>
          <w:rFonts w:ascii="Thesans" w:hAnsi="Thesans"/>
          <w:color w:val="000000"/>
          <w:sz w:val="22"/>
          <w:szCs w:val="22"/>
        </w:rPr>
        <w:t>&gt;</w:t>
      </w:r>
    </w:p>
    <w:p w14:paraId="2B2B42FF" w14:textId="77777777" w:rsidR="00440889" w:rsidRPr="008E1B3B" w:rsidRDefault="00440889" w:rsidP="008E1B3B">
      <w:pPr>
        <w:suppressAutoHyphens/>
        <w:ind w:right="-1"/>
        <w:contextualSpacing/>
        <w:jc w:val="center"/>
        <w:rPr>
          <w:rFonts w:cs="Arial"/>
          <w:bCs/>
          <w:szCs w:val="22"/>
        </w:rPr>
      </w:pPr>
    </w:p>
    <w:p w14:paraId="66C38B1F" w14:textId="77777777" w:rsidR="009E1EE4" w:rsidRPr="008E1B3B" w:rsidRDefault="009E1EE4" w:rsidP="00B563F7">
      <w:pPr>
        <w:spacing w:line="240" w:lineRule="atLeast"/>
        <w:contextualSpacing/>
        <w:jc w:val="center"/>
        <w:rPr>
          <w:rFonts w:ascii="Thesans" w:hAnsi="Thesans" w:cs="Arial"/>
          <w:sz w:val="22"/>
          <w:szCs w:val="22"/>
        </w:rPr>
      </w:pPr>
    </w:p>
    <w:p w14:paraId="29D67D8B" w14:textId="77777777" w:rsidR="00440889" w:rsidRPr="008E1B3B" w:rsidRDefault="00440889" w:rsidP="008E1B3B">
      <w:pPr>
        <w:spacing w:line="240" w:lineRule="auto"/>
        <w:ind w:left="567" w:hanging="567"/>
        <w:contextualSpacing/>
        <w:jc w:val="both"/>
        <w:rPr>
          <w:rFonts w:ascii="Thesans" w:hAnsi="Thesans" w:cs="Arial"/>
          <w:b/>
          <w:bCs/>
          <w:sz w:val="22"/>
          <w:szCs w:val="22"/>
        </w:rPr>
      </w:pPr>
      <w:r w:rsidRPr="008E1B3B">
        <w:rPr>
          <w:rFonts w:ascii="Thesans" w:hAnsi="Thesans" w:cs="Arial"/>
          <w:b/>
          <w:bCs/>
          <w:sz w:val="22"/>
          <w:szCs w:val="22"/>
        </w:rPr>
        <w:br w:type="page"/>
      </w:r>
    </w:p>
    <w:p w14:paraId="31E99647" w14:textId="77777777" w:rsidR="00FF10AC" w:rsidRPr="008E1B3B" w:rsidRDefault="00FF10AC" w:rsidP="00B563F7">
      <w:pPr>
        <w:spacing w:line="240" w:lineRule="atLeast"/>
        <w:ind w:left="567" w:hanging="567"/>
        <w:contextualSpacing/>
        <w:jc w:val="both"/>
        <w:rPr>
          <w:rFonts w:ascii="Thesans" w:hAnsi="Thesans" w:cs="Arial"/>
          <w:b/>
          <w:bCs/>
          <w:sz w:val="22"/>
          <w:szCs w:val="22"/>
        </w:rPr>
      </w:pPr>
    </w:p>
    <w:p w14:paraId="7E549C87" w14:textId="77777777" w:rsidR="00FF10AC" w:rsidRPr="008E1B3B" w:rsidRDefault="00FF10AC" w:rsidP="00B563F7">
      <w:pPr>
        <w:pStyle w:val="Geenafstand"/>
        <w:contextualSpacing/>
        <w:rPr>
          <w:lang w:val="nl-NL"/>
        </w:rPr>
      </w:pPr>
    </w:p>
    <w:p w14:paraId="749DA198" w14:textId="69370200" w:rsidR="000142D6" w:rsidRPr="008E1B3B" w:rsidRDefault="000142D6" w:rsidP="00B563F7">
      <w:pPr>
        <w:spacing w:line="240" w:lineRule="atLeast"/>
        <w:ind w:left="567" w:hanging="567"/>
        <w:contextualSpacing/>
        <w:jc w:val="both"/>
        <w:rPr>
          <w:rFonts w:ascii="Thesans" w:hAnsi="Thesans" w:cs="Arial"/>
          <w:b/>
          <w:bCs/>
          <w:sz w:val="22"/>
          <w:szCs w:val="22"/>
        </w:rPr>
      </w:pPr>
      <w:r w:rsidRPr="008E1B3B">
        <w:rPr>
          <w:rFonts w:ascii="Thesans" w:hAnsi="Thesans" w:cs="Arial"/>
          <w:b/>
          <w:bCs/>
          <w:sz w:val="22"/>
          <w:szCs w:val="22"/>
        </w:rPr>
        <w:t xml:space="preserve">Partijen: </w:t>
      </w:r>
    </w:p>
    <w:p w14:paraId="71903E07" w14:textId="77777777" w:rsidR="0013072E" w:rsidRPr="008E1B3B" w:rsidRDefault="0013072E" w:rsidP="00B563F7">
      <w:pPr>
        <w:spacing w:line="240" w:lineRule="atLeast"/>
        <w:ind w:left="567" w:hanging="567"/>
        <w:contextualSpacing/>
        <w:jc w:val="both"/>
        <w:rPr>
          <w:rFonts w:ascii="Thesans" w:hAnsi="Thesans" w:cs="Arial"/>
          <w:b/>
          <w:bCs/>
          <w:sz w:val="22"/>
          <w:szCs w:val="22"/>
        </w:rPr>
      </w:pPr>
    </w:p>
    <w:p w14:paraId="6628717B" w14:textId="38017637" w:rsidR="00440889" w:rsidRPr="008E1B3B" w:rsidRDefault="00440889" w:rsidP="00B563F7">
      <w:pPr>
        <w:suppressAutoHyphens/>
        <w:ind w:left="567" w:right="-1" w:hanging="567"/>
        <w:contextualSpacing/>
        <w:jc w:val="both"/>
        <w:rPr>
          <w:rFonts w:ascii="Thesans" w:hAnsi="Thesans" w:cs="Arial"/>
          <w:sz w:val="22"/>
          <w:szCs w:val="22"/>
        </w:rPr>
      </w:pPr>
      <w:r w:rsidRPr="008E1B3B">
        <w:rPr>
          <w:rFonts w:ascii="Thesans" w:hAnsi="Thesans" w:cs="Arial"/>
          <w:sz w:val="22"/>
          <w:szCs w:val="22"/>
        </w:rPr>
        <w:t xml:space="preserve">1. </w:t>
      </w:r>
      <w:r w:rsidRPr="008E1B3B">
        <w:rPr>
          <w:rFonts w:ascii="Thesans" w:hAnsi="Thesans" w:cs="Arial"/>
          <w:sz w:val="22"/>
          <w:szCs w:val="22"/>
        </w:rPr>
        <w:tab/>
      </w:r>
      <w:r w:rsidR="00B563F7" w:rsidRPr="008E1B3B">
        <w:rPr>
          <w:rFonts w:ascii="Thesans" w:hAnsi="Thesans" w:cs="Arial"/>
          <w:sz w:val="22"/>
          <w:szCs w:val="22"/>
        </w:rPr>
        <w:t xml:space="preserve">Het rechtspersoonlijkheid bezittende </w:t>
      </w:r>
      <w:r w:rsidRPr="008E1B3B">
        <w:rPr>
          <w:rFonts w:ascii="Thesans" w:hAnsi="Thesans"/>
          <w:b/>
          <w:bCs/>
          <w:sz w:val="22"/>
          <w:szCs w:val="22"/>
        </w:rPr>
        <w:t>Centraal Orgaan opvang Asielzoekers</w:t>
      </w:r>
      <w:r w:rsidR="008E1B3B" w:rsidRPr="008E1B3B">
        <w:rPr>
          <w:rFonts w:ascii="Thesans" w:hAnsi="Thesans"/>
          <w:sz w:val="22"/>
          <w:szCs w:val="22"/>
        </w:rPr>
        <w:t xml:space="preserve">, </w:t>
      </w:r>
      <w:r w:rsidR="00B563F7" w:rsidRPr="008E1B3B">
        <w:rPr>
          <w:rFonts w:ascii="Thesans" w:hAnsi="Thesans" w:cs="Arial"/>
          <w:sz w:val="22"/>
          <w:szCs w:val="22"/>
        </w:rPr>
        <w:t>als bedoeld in artikel 2 van de Wet Centraal Orgaan opvang Asielzoekers</w:t>
      </w:r>
      <w:r w:rsidR="00B563F7" w:rsidRPr="008E1B3B" w:rsidDel="00B563F7">
        <w:rPr>
          <w:rFonts w:ascii="Thesans" w:hAnsi="Thesans" w:cs="Arial"/>
          <w:sz w:val="22"/>
          <w:szCs w:val="22"/>
        </w:rPr>
        <w:t xml:space="preserve"> </w:t>
      </w:r>
      <w:r w:rsidRPr="008E1B3B">
        <w:rPr>
          <w:rFonts w:ascii="Thesans" w:hAnsi="Thesans" w:cs="Arial"/>
          <w:sz w:val="22"/>
          <w:szCs w:val="22"/>
        </w:rPr>
        <w:t xml:space="preserve">, gevestigd aan de Rijnstraat 8, 2515 XP Den Haag, </w:t>
      </w:r>
      <w:r w:rsidR="00B563F7" w:rsidRPr="008E1B3B">
        <w:rPr>
          <w:rFonts w:ascii="Thesans" w:hAnsi="Thesans" w:cs="Arial"/>
          <w:sz w:val="22"/>
          <w:szCs w:val="22"/>
        </w:rPr>
        <w:t>Postbus 30203, 2500 GE Den Haag, in deze rechtsgeldig vertegenwoordigd door de heer E. Vissers, Directeur Bedrijfsvoering,</w:t>
      </w:r>
      <w:r w:rsidR="008E1B3B">
        <w:rPr>
          <w:rFonts w:ascii="Thesans" w:hAnsi="Thesans" w:cs="Arial"/>
          <w:sz w:val="22"/>
          <w:szCs w:val="22"/>
        </w:rPr>
        <w:t xml:space="preserve"> </w:t>
      </w:r>
      <w:r w:rsidRPr="008E1B3B">
        <w:rPr>
          <w:rFonts w:ascii="Thesans" w:hAnsi="Thesans" w:cs="Arial"/>
          <w:sz w:val="22"/>
          <w:szCs w:val="22"/>
        </w:rPr>
        <w:t>hierna te noemen: Opdrachtgever,</w:t>
      </w:r>
    </w:p>
    <w:p w14:paraId="05C0F8C6" w14:textId="77777777" w:rsidR="000142D6" w:rsidRPr="008E1B3B" w:rsidRDefault="000142D6" w:rsidP="00B563F7">
      <w:pPr>
        <w:pStyle w:val="Geenafstand"/>
        <w:spacing w:line="240" w:lineRule="atLeast"/>
        <w:contextualSpacing/>
        <w:rPr>
          <w:lang w:val="nl-NL"/>
        </w:rPr>
      </w:pPr>
    </w:p>
    <w:p w14:paraId="06E48BD7" w14:textId="77777777" w:rsidR="000142D6" w:rsidRPr="008E1B3B" w:rsidRDefault="000142D6" w:rsidP="00B563F7">
      <w:pPr>
        <w:spacing w:line="240" w:lineRule="atLeast"/>
        <w:ind w:left="567" w:hanging="567"/>
        <w:contextualSpacing/>
        <w:jc w:val="both"/>
        <w:rPr>
          <w:rFonts w:ascii="Thesans" w:hAnsi="Thesans" w:cs="Arial"/>
          <w:sz w:val="22"/>
          <w:szCs w:val="22"/>
        </w:rPr>
      </w:pPr>
      <w:r w:rsidRPr="008E1B3B">
        <w:rPr>
          <w:rFonts w:ascii="Thesans" w:hAnsi="Thesans" w:cs="Arial"/>
          <w:sz w:val="22"/>
          <w:szCs w:val="22"/>
        </w:rPr>
        <w:t xml:space="preserve">en </w:t>
      </w:r>
    </w:p>
    <w:p w14:paraId="7BE2C4C4" w14:textId="77777777" w:rsidR="000142D6" w:rsidRPr="008E1B3B" w:rsidRDefault="000142D6" w:rsidP="00B563F7">
      <w:pPr>
        <w:pStyle w:val="Geenafstand"/>
        <w:spacing w:line="240" w:lineRule="atLeast"/>
        <w:contextualSpacing/>
        <w:rPr>
          <w:lang w:val="nl-NL"/>
        </w:rPr>
      </w:pPr>
    </w:p>
    <w:p w14:paraId="7C1C770F" w14:textId="0100C976" w:rsidR="000142D6" w:rsidRPr="008E1B3B" w:rsidRDefault="00FF10AC" w:rsidP="00B563F7">
      <w:pPr>
        <w:suppressAutoHyphens/>
        <w:spacing w:line="240" w:lineRule="atLeast"/>
        <w:ind w:left="567" w:hanging="567"/>
        <w:contextualSpacing/>
        <w:jc w:val="both"/>
        <w:rPr>
          <w:rFonts w:ascii="Thesans" w:hAnsi="Thesans" w:cs="Arial"/>
          <w:sz w:val="22"/>
          <w:szCs w:val="22"/>
        </w:rPr>
      </w:pPr>
      <w:r w:rsidRPr="008E1B3B">
        <w:rPr>
          <w:rFonts w:ascii="Thesans" w:hAnsi="Thesans" w:cs="Arial"/>
          <w:sz w:val="22"/>
          <w:szCs w:val="22"/>
          <w:highlight w:val="yellow"/>
        </w:rPr>
        <w:t>2.</w:t>
      </w:r>
      <w:r w:rsidRPr="008E1B3B">
        <w:rPr>
          <w:rFonts w:ascii="Thesans" w:hAnsi="Thesans" w:cs="Arial"/>
          <w:sz w:val="22"/>
          <w:szCs w:val="22"/>
          <w:highlight w:val="yellow"/>
        </w:rPr>
        <w:tab/>
      </w:r>
      <w:r w:rsidR="00B563F7" w:rsidRPr="008E1B3B">
        <w:rPr>
          <w:rFonts w:ascii="Thesans" w:hAnsi="Thesans" w:cs="Arial"/>
          <w:b/>
          <w:bCs/>
          <w:sz w:val="22"/>
          <w:szCs w:val="22"/>
        </w:rPr>
        <w:t xml:space="preserve"> [</w:t>
      </w:r>
      <w:r w:rsidR="00B563F7" w:rsidRPr="008E1B3B">
        <w:rPr>
          <w:rFonts w:ascii="Thesans" w:hAnsi="Thesans" w:cs="Arial"/>
          <w:b/>
          <w:bCs/>
          <w:sz w:val="22"/>
          <w:szCs w:val="22"/>
          <w:highlight w:val="yellow"/>
        </w:rPr>
        <w:t>volledige naam en rechtsvorm contractant</w:t>
      </w:r>
      <w:r w:rsidR="00B563F7" w:rsidRPr="008E1B3B">
        <w:rPr>
          <w:rFonts w:ascii="Thesans" w:hAnsi="Thesans" w:cs="Arial"/>
          <w:sz w:val="22"/>
          <w:szCs w:val="22"/>
          <w:highlight w:val="yellow"/>
        </w:rPr>
        <w:t>]</w:t>
      </w:r>
      <w:r w:rsidR="00B563F7" w:rsidRPr="008E1B3B">
        <w:rPr>
          <w:rFonts w:ascii="Thesans" w:hAnsi="Thesans" w:cs="Arial"/>
          <w:sz w:val="22"/>
          <w:szCs w:val="22"/>
        </w:rPr>
        <w:t xml:space="preserve">, (statutair) gevestigd te </w:t>
      </w:r>
      <w:r w:rsidR="00B563F7" w:rsidRPr="008E1B3B">
        <w:rPr>
          <w:rFonts w:ascii="Thesans" w:hAnsi="Thesans" w:cs="Arial"/>
          <w:sz w:val="22"/>
          <w:szCs w:val="22"/>
          <w:highlight w:val="yellow"/>
        </w:rPr>
        <w:t xml:space="preserve">........ </w:t>
      </w:r>
      <w:r w:rsidR="00B563F7" w:rsidRPr="008E1B3B">
        <w:rPr>
          <w:rFonts w:ascii="Thesans" w:hAnsi="Thesans" w:cs="Arial"/>
          <w:sz w:val="22"/>
          <w:szCs w:val="22"/>
        </w:rPr>
        <w:t xml:space="preserve"> en ingeschreven in het Handelsregister onder [</w:t>
      </w:r>
      <w:r w:rsidR="00B563F7" w:rsidRPr="008E1B3B">
        <w:rPr>
          <w:rFonts w:ascii="Thesans" w:hAnsi="Thesans" w:cs="Arial"/>
          <w:sz w:val="22"/>
          <w:szCs w:val="22"/>
          <w:highlight w:val="yellow"/>
        </w:rPr>
        <w:t>nummer</w:t>
      </w:r>
      <w:r w:rsidR="00B563F7" w:rsidRPr="008E1B3B">
        <w:rPr>
          <w:rFonts w:ascii="Thesans" w:hAnsi="Thesans" w:cs="Arial"/>
          <w:sz w:val="22"/>
          <w:szCs w:val="22"/>
        </w:rPr>
        <w:t>]</w:t>
      </w:r>
      <w:r w:rsidR="00B563F7" w:rsidRPr="008E1B3B">
        <w:rPr>
          <w:rFonts w:ascii="Thesans" w:hAnsi="Thesans" w:cs="Arial"/>
          <w:sz w:val="22"/>
          <w:szCs w:val="22"/>
          <w:highlight w:val="yellow"/>
        </w:rPr>
        <w:t>,</w:t>
      </w:r>
      <w:r w:rsidR="00B563F7" w:rsidRPr="008E1B3B">
        <w:rPr>
          <w:rFonts w:ascii="Thesans" w:hAnsi="Thesans" w:cs="Arial"/>
          <w:sz w:val="22"/>
          <w:szCs w:val="22"/>
        </w:rPr>
        <w:t xml:space="preserve"> in deze vertegenwoordigd door de heer/mevrouw </w:t>
      </w:r>
      <w:r w:rsidR="00B563F7" w:rsidRPr="008E1B3B">
        <w:rPr>
          <w:rFonts w:ascii="Thesans" w:hAnsi="Thesans" w:cs="Arial"/>
          <w:sz w:val="22"/>
          <w:szCs w:val="22"/>
          <w:highlight w:val="yellow"/>
        </w:rPr>
        <w:t>...............</w:t>
      </w:r>
      <w:r w:rsidR="00B563F7" w:rsidRPr="008E1B3B">
        <w:rPr>
          <w:rFonts w:ascii="Thesans" w:hAnsi="Thesans" w:cs="Arial"/>
          <w:sz w:val="22"/>
          <w:szCs w:val="22"/>
        </w:rPr>
        <w:t xml:space="preserve"> </w:t>
      </w:r>
      <w:r w:rsidR="00B563F7" w:rsidRPr="008E1B3B">
        <w:rPr>
          <w:rFonts w:ascii="Thesans" w:hAnsi="Thesans" w:cs="Arial"/>
          <w:i/>
          <w:sz w:val="22"/>
          <w:szCs w:val="22"/>
        </w:rPr>
        <w:t xml:space="preserve">(en </w:t>
      </w:r>
      <w:r w:rsidR="00B563F7" w:rsidRPr="008E1B3B">
        <w:rPr>
          <w:rFonts w:ascii="Thesans" w:hAnsi="Thesans" w:cs="Arial"/>
          <w:i/>
          <w:sz w:val="22"/>
          <w:szCs w:val="22"/>
          <w:highlight w:val="yellow"/>
        </w:rPr>
        <w:t>..............)</w:t>
      </w:r>
      <w:r w:rsidR="00B563F7" w:rsidRPr="008E1B3B">
        <w:rPr>
          <w:rFonts w:ascii="Thesans" w:hAnsi="Thesans" w:cs="Arial"/>
          <w:sz w:val="22"/>
          <w:szCs w:val="22"/>
        </w:rPr>
        <w:t xml:space="preserve"> [naam en functie ondertekenaar] </w:t>
      </w:r>
      <w:r w:rsidR="000142D6" w:rsidRPr="008E1B3B">
        <w:rPr>
          <w:rFonts w:ascii="Thesans" w:hAnsi="Thesans" w:cs="Arial"/>
          <w:sz w:val="22"/>
          <w:szCs w:val="22"/>
        </w:rPr>
        <w:t xml:space="preserve">hierna te noemen </w:t>
      </w:r>
      <w:r w:rsidR="009B262F" w:rsidRPr="008E1B3B">
        <w:rPr>
          <w:rFonts w:ascii="Thesans" w:hAnsi="Thesans" w:cs="Arial"/>
          <w:sz w:val="22"/>
          <w:szCs w:val="22"/>
        </w:rPr>
        <w:t>“</w:t>
      </w:r>
      <w:r w:rsidR="00B23271" w:rsidRPr="008E1B3B">
        <w:rPr>
          <w:rFonts w:ascii="Thesans" w:hAnsi="Thesans" w:cs="Arial"/>
          <w:sz w:val="22"/>
          <w:szCs w:val="22"/>
        </w:rPr>
        <w:t>O</w:t>
      </w:r>
      <w:r w:rsidR="000142D6" w:rsidRPr="008E1B3B">
        <w:rPr>
          <w:rFonts w:ascii="Thesans" w:hAnsi="Thesans" w:cs="Arial"/>
          <w:sz w:val="22"/>
          <w:szCs w:val="22"/>
        </w:rPr>
        <w:t>pdrachtnemer</w:t>
      </w:r>
      <w:r w:rsidR="009B262F" w:rsidRPr="008E1B3B">
        <w:rPr>
          <w:rFonts w:ascii="Thesans" w:hAnsi="Thesans" w:cs="Arial"/>
          <w:sz w:val="22"/>
          <w:szCs w:val="22"/>
        </w:rPr>
        <w:t>”</w:t>
      </w:r>
      <w:r w:rsidR="000142D6" w:rsidRPr="008E1B3B">
        <w:rPr>
          <w:rFonts w:ascii="Thesans" w:hAnsi="Thesans" w:cs="Arial"/>
          <w:sz w:val="22"/>
          <w:szCs w:val="22"/>
        </w:rPr>
        <w:t xml:space="preserve"> </w:t>
      </w:r>
    </w:p>
    <w:p w14:paraId="11A25894" w14:textId="77777777" w:rsidR="000142D6" w:rsidRPr="008E1B3B" w:rsidRDefault="000142D6" w:rsidP="00B563F7">
      <w:pPr>
        <w:spacing w:line="240" w:lineRule="atLeast"/>
        <w:ind w:left="567" w:hanging="567"/>
        <w:contextualSpacing/>
        <w:jc w:val="both"/>
        <w:rPr>
          <w:rFonts w:ascii="Thesans" w:hAnsi="Thesans" w:cs="Arial"/>
          <w:sz w:val="22"/>
          <w:szCs w:val="22"/>
        </w:rPr>
      </w:pPr>
    </w:p>
    <w:p w14:paraId="05DED9B8" w14:textId="3179F5B3" w:rsidR="007D6114" w:rsidRPr="008E1B3B" w:rsidRDefault="007D6114" w:rsidP="00B563F7">
      <w:pPr>
        <w:widowControl w:val="0"/>
        <w:spacing w:line="240" w:lineRule="atLeast"/>
        <w:contextualSpacing/>
        <w:jc w:val="both"/>
        <w:rPr>
          <w:rFonts w:ascii="Thesans" w:hAnsi="Thesans" w:cs="Arial"/>
          <w:sz w:val="22"/>
          <w:szCs w:val="22"/>
          <w:lang w:eastAsia="nl-NL"/>
        </w:rPr>
      </w:pPr>
      <w:r w:rsidRPr="008E1B3B">
        <w:rPr>
          <w:rFonts w:ascii="Thesans" w:hAnsi="Thesans" w:cs="Arial"/>
          <w:sz w:val="22"/>
          <w:szCs w:val="22"/>
          <w:lang w:eastAsia="nl-NL"/>
        </w:rPr>
        <w:t>Afzonderlijk in gezamenlijkheid ook aan te duiden als “Partij</w:t>
      </w:r>
      <w:r w:rsidR="008E1B3B" w:rsidRPr="008E1B3B">
        <w:rPr>
          <w:rFonts w:ascii="Thesans" w:hAnsi="Thesans" w:cs="Arial"/>
          <w:sz w:val="22"/>
          <w:szCs w:val="22"/>
          <w:lang w:eastAsia="nl-NL"/>
        </w:rPr>
        <w:t>(</w:t>
      </w:r>
      <w:r w:rsidRPr="008E1B3B">
        <w:rPr>
          <w:rFonts w:ascii="Thesans" w:hAnsi="Thesans" w:cs="Arial"/>
          <w:sz w:val="22"/>
          <w:szCs w:val="22"/>
          <w:lang w:eastAsia="nl-NL"/>
        </w:rPr>
        <w:t>en</w:t>
      </w:r>
      <w:r w:rsidR="008E1B3B" w:rsidRPr="008E1B3B">
        <w:rPr>
          <w:rFonts w:ascii="Thesans" w:hAnsi="Thesans" w:cs="Arial"/>
          <w:sz w:val="22"/>
          <w:szCs w:val="22"/>
          <w:lang w:eastAsia="nl-NL"/>
        </w:rPr>
        <w:t>)</w:t>
      </w:r>
      <w:r w:rsidR="00B563F7" w:rsidRPr="008E1B3B">
        <w:rPr>
          <w:rFonts w:ascii="Thesans" w:hAnsi="Thesans" w:cs="Arial"/>
          <w:sz w:val="22"/>
          <w:szCs w:val="22"/>
          <w:lang w:eastAsia="nl-NL"/>
        </w:rPr>
        <w:t xml:space="preserve"> of Gegevens</w:t>
      </w:r>
      <w:r w:rsidR="008E1B3B" w:rsidRPr="008E1B3B">
        <w:rPr>
          <w:rFonts w:ascii="Thesans" w:hAnsi="Thesans" w:cs="Arial"/>
          <w:sz w:val="22"/>
          <w:szCs w:val="22"/>
          <w:lang w:eastAsia="nl-NL"/>
        </w:rPr>
        <w:t>-</w:t>
      </w:r>
      <w:r w:rsidR="00B563F7" w:rsidRPr="008E1B3B">
        <w:rPr>
          <w:rFonts w:ascii="Thesans" w:hAnsi="Thesans" w:cs="Arial"/>
          <w:sz w:val="22"/>
          <w:szCs w:val="22"/>
          <w:lang w:eastAsia="nl-NL"/>
        </w:rPr>
        <w:t>verantwoordelijke</w:t>
      </w:r>
      <w:r w:rsidR="008E1B3B" w:rsidRPr="008E1B3B">
        <w:rPr>
          <w:rFonts w:ascii="Thesans" w:hAnsi="Thesans" w:cs="Arial"/>
          <w:sz w:val="22"/>
          <w:szCs w:val="22"/>
          <w:lang w:eastAsia="nl-NL"/>
        </w:rPr>
        <w:t>(n)</w:t>
      </w:r>
      <w:r w:rsidRPr="008E1B3B">
        <w:rPr>
          <w:rFonts w:ascii="Thesans" w:hAnsi="Thesans" w:cs="Arial"/>
          <w:sz w:val="22"/>
          <w:szCs w:val="22"/>
          <w:lang w:eastAsia="nl-NL"/>
        </w:rPr>
        <w:t>”,</w:t>
      </w:r>
    </w:p>
    <w:p w14:paraId="5F0E8E9C" w14:textId="77777777" w:rsidR="00440889" w:rsidRPr="008E1B3B" w:rsidRDefault="00440889" w:rsidP="00B563F7">
      <w:pPr>
        <w:widowControl w:val="0"/>
        <w:spacing w:line="240" w:lineRule="atLeast"/>
        <w:ind w:left="567" w:hanging="567"/>
        <w:contextualSpacing/>
        <w:jc w:val="both"/>
        <w:rPr>
          <w:rFonts w:ascii="Thesans" w:hAnsi="Thesans" w:cs="Arial"/>
          <w:sz w:val="22"/>
          <w:szCs w:val="22"/>
          <w:lang w:eastAsia="nl-NL"/>
        </w:rPr>
      </w:pPr>
    </w:p>
    <w:p w14:paraId="515308BD" w14:textId="77777777" w:rsidR="007D6114" w:rsidRPr="008E1B3B" w:rsidRDefault="007D6114" w:rsidP="00B563F7">
      <w:pPr>
        <w:keepNext/>
        <w:keepLines/>
        <w:widowControl w:val="0"/>
        <w:spacing w:line="240" w:lineRule="atLeast"/>
        <w:ind w:left="567" w:hanging="567"/>
        <w:contextualSpacing/>
        <w:jc w:val="both"/>
        <w:outlineLvl w:val="2"/>
        <w:rPr>
          <w:rFonts w:ascii="Thesans" w:hAnsi="Thesans" w:cs="Arial"/>
          <w:b/>
          <w:bCs/>
          <w:sz w:val="22"/>
          <w:szCs w:val="22"/>
          <w:lang w:eastAsia="nl-NL"/>
        </w:rPr>
      </w:pPr>
      <w:bookmarkStart w:id="1" w:name="bookmark4"/>
      <w:r w:rsidRPr="008E1B3B">
        <w:rPr>
          <w:rFonts w:ascii="Thesans" w:hAnsi="Thesans" w:cs="Arial"/>
          <w:b/>
          <w:bCs/>
          <w:sz w:val="22"/>
          <w:szCs w:val="22"/>
          <w:lang w:eastAsia="nl-NL"/>
        </w:rPr>
        <w:t>OVERWEGENDE DAT:</w:t>
      </w:r>
      <w:bookmarkEnd w:id="1"/>
    </w:p>
    <w:p w14:paraId="2BEC7A78" w14:textId="77777777" w:rsidR="00440889" w:rsidRPr="008E1B3B" w:rsidRDefault="00440889" w:rsidP="00B563F7">
      <w:pPr>
        <w:keepNext/>
        <w:keepLines/>
        <w:widowControl w:val="0"/>
        <w:spacing w:line="240" w:lineRule="atLeast"/>
        <w:ind w:left="567" w:hanging="567"/>
        <w:contextualSpacing/>
        <w:jc w:val="both"/>
        <w:outlineLvl w:val="2"/>
        <w:rPr>
          <w:rFonts w:ascii="Thesans" w:hAnsi="Thesans" w:cs="Arial"/>
          <w:b/>
          <w:bCs/>
          <w:sz w:val="22"/>
          <w:szCs w:val="22"/>
          <w:lang w:eastAsia="nl-NL"/>
        </w:rPr>
      </w:pPr>
    </w:p>
    <w:p w14:paraId="79830A88" w14:textId="15398119" w:rsidR="007D6114" w:rsidRPr="008E1B3B" w:rsidRDefault="00B563F7" w:rsidP="00B563F7">
      <w:pPr>
        <w:widowControl w:val="0"/>
        <w:numPr>
          <w:ilvl w:val="0"/>
          <w:numId w:val="26"/>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Opdrachtgever</w:t>
      </w:r>
      <w:r w:rsidR="007D6114" w:rsidRPr="008E1B3B">
        <w:rPr>
          <w:rFonts w:ascii="Thesans" w:hAnsi="Thesans" w:cs="Arial"/>
          <w:sz w:val="22"/>
          <w:szCs w:val="22"/>
          <w:lang w:eastAsia="nl-NL"/>
        </w:rPr>
        <w:t xml:space="preserve"> en Opdrachtnemer hebben een Overeenkomst omtrent het gebruik door COA-medewerkers van meubilair ten behoeve van de inrichting van de werkomgeving van COA-medewerkers;</w:t>
      </w:r>
    </w:p>
    <w:p w14:paraId="3337F560" w14:textId="4101DDC2" w:rsidR="007D6114" w:rsidRPr="008E1B3B" w:rsidRDefault="007D6114" w:rsidP="00B563F7">
      <w:pPr>
        <w:widowControl w:val="0"/>
        <w:numPr>
          <w:ilvl w:val="0"/>
          <w:numId w:val="26"/>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COA-medewerkers kunnen via een portal bestellingen plaatsen voor meubilair;</w:t>
      </w:r>
    </w:p>
    <w:p w14:paraId="402041B4" w14:textId="76D2EF76" w:rsidR="00440889" w:rsidRPr="008E1B3B" w:rsidRDefault="00B563F7" w:rsidP="008E1B3B">
      <w:pPr>
        <w:widowControl w:val="0"/>
        <w:numPr>
          <w:ilvl w:val="0"/>
          <w:numId w:val="26"/>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Opdrachtgever</w:t>
      </w:r>
      <w:r w:rsidR="00F10CCB">
        <w:rPr>
          <w:rFonts w:ascii="Thesans" w:hAnsi="Thesans" w:cs="Arial"/>
          <w:sz w:val="22"/>
          <w:szCs w:val="22"/>
          <w:lang w:eastAsia="nl-NL"/>
        </w:rPr>
        <w:t xml:space="preserve"> </w:t>
      </w:r>
      <w:r w:rsidR="007D6114" w:rsidRPr="008E1B3B">
        <w:rPr>
          <w:rFonts w:ascii="Thesans" w:hAnsi="Thesans" w:cs="Arial"/>
          <w:sz w:val="22"/>
          <w:szCs w:val="22"/>
          <w:lang w:eastAsia="nl-NL"/>
        </w:rPr>
        <w:t>middels een versleuteld Excel-overzicht Persoonsgegevens beschikbaar stelt aan Opdrachtnemer ten behoeve van de inrichting van deze portal;</w:t>
      </w:r>
    </w:p>
    <w:p w14:paraId="4C9DD701" w14:textId="77777777" w:rsidR="007D6114" w:rsidRPr="008E1B3B" w:rsidRDefault="007D6114" w:rsidP="00B563F7">
      <w:pPr>
        <w:widowControl w:val="0"/>
        <w:numPr>
          <w:ilvl w:val="0"/>
          <w:numId w:val="26"/>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Opdrachtnemer tevens aanvullende Persoonsgegevens verwerkt welke nodig zijn om de bestelling af te handelen;</w:t>
      </w:r>
    </w:p>
    <w:p w14:paraId="5E4E1103" w14:textId="77777777" w:rsidR="007D6114" w:rsidRPr="008E1B3B" w:rsidRDefault="007D6114" w:rsidP="00B563F7">
      <w:pPr>
        <w:widowControl w:val="0"/>
        <w:numPr>
          <w:ilvl w:val="0"/>
          <w:numId w:val="26"/>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Partijen de Persoonsgegevens ieder onder eigen verantwoordelijkheid verwerken, aangezien zij zelfstandig het doel en de middelen van hun eigen Verwerkingen vaststellen;</w:t>
      </w:r>
    </w:p>
    <w:p w14:paraId="73EF7D26" w14:textId="2BE7BAED" w:rsidR="007D6114" w:rsidRPr="008E1B3B" w:rsidRDefault="007D6114" w:rsidP="00B563F7">
      <w:pPr>
        <w:widowControl w:val="0"/>
        <w:numPr>
          <w:ilvl w:val="0"/>
          <w:numId w:val="26"/>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 xml:space="preserve">Ieder der Partijen derhalve zelfstandig als Verwerkingsverantwoordelijke zoals bedoeld in artikel 4 onderdeel 7 van de Algemene verordening gegevensbescherming (hierna: “AVG”) is aan te merken en Partijen niet over en weer </w:t>
      </w:r>
      <w:r w:rsidR="008E1B3B" w:rsidRPr="008E1B3B">
        <w:rPr>
          <w:rFonts w:ascii="Thesans" w:hAnsi="Thesans" w:cs="Arial"/>
          <w:sz w:val="22"/>
          <w:szCs w:val="22"/>
          <w:lang w:eastAsia="nl-NL"/>
        </w:rPr>
        <w:t>elkaars</w:t>
      </w:r>
      <w:r w:rsidRPr="008E1B3B">
        <w:rPr>
          <w:rFonts w:ascii="Thesans" w:hAnsi="Thesans" w:cs="Arial"/>
          <w:sz w:val="22"/>
          <w:szCs w:val="22"/>
          <w:lang w:eastAsia="nl-NL"/>
        </w:rPr>
        <w:t xml:space="preserve"> Verwerker zijn;</w:t>
      </w:r>
    </w:p>
    <w:p w14:paraId="661AE5D6" w14:textId="424FE67F" w:rsidR="007D6114" w:rsidRPr="008E1B3B" w:rsidRDefault="007D6114" w:rsidP="00B563F7">
      <w:pPr>
        <w:widowControl w:val="0"/>
        <w:numPr>
          <w:ilvl w:val="0"/>
          <w:numId w:val="26"/>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Partijen, in het kader van een zorgvuldige Verwerking van Persoonsgegevens, afspraken wensen te maken over de uitwisseling van</w:t>
      </w:r>
      <w:r w:rsidR="00440889" w:rsidRPr="008E1B3B">
        <w:rPr>
          <w:rFonts w:ascii="Thesans" w:hAnsi="Thesans" w:cs="Arial"/>
          <w:sz w:val="22"/>
          <w:szCs w:val="22"/>
          <w:lang w:eastAsia="nl-NL"/>
        </w:rPr>
        <w:t xml:space="preserve"> </w:t>
      </w:r>
      <w:r w:rsidRPr="008E1B3B">
        <w:rPr>
          <w:rFonts w:ascii="Thesans" w:hAnsi="Thesans" w:cs="Arial"/>
          <w:sz w:val="22"/>
          <w:szCs w:val="22"/>
          <w:lang w:eastAsia="nl-NL"/>
        </w:rPr>
        <w:t>Persoonsgegevens in voorkomende gevallen middels de onderhavige</w:t>
      </w:r>
      <w:r w:rsidR="00440889" w:rsidRPr="008E1B3B">
        <w:rPr>
          <w:rFonts w:ascii="Thesans" w:hAnsi="Thesans" w:cs="Arial"/>
          <w:sz w:val="22"/>
          <w:szCs w:val="22"/>
          <w:lang w:eastAsia="nl-NL"/>
        </w:rPr>
        <w:t xml:space="preserve"> </w:t>
      </w:r>
      <w:r w:rsidRPr="008E1B3B">
        <w:rPr>
          <w:rFonts w:ascii="Thesans" w:hAnsi="Thesans" w:cs="Arial"/>
          <w:sz w:val="22"/>
          <w:szCs w:val="22"/>
          <w:lang w:eastAsia="nl-NL"/>
        </w:rPr>
        <w:t>Gegevensuitwisselingsovereenkomst.</w:t>
      </w:r>
    </w:p>
    <w:p w14:paraId="5FF022C2" w14:textId="77777777" w:rsidR="00440889" w:rsidRPr="008E1B3B" w:rsidRDefault="00440889" w:rsidP="00B563F7">
      <w:pPr>
        <w:pStyle w:val="Geenafstand"/>
        <w:ind w:left="567" w:hanging="567"/>
        <w:contextualSpacing/>
        <w:jc w:val="both"/>
        <w:rPr>
          <w:lang w:val="nl-NL" w:eastAsia="nl-NL"/>
        </w:rPr>
      </w:pPr>
    </w:p>
    <w:p w14:paraId="30F032C3" w14:textId="77777777" w:rsidR="007D6114" w:rsidRPr="008E1B3B" w:rsidRDefault="007D6114" w:rsidP="00B563F7">
      <w:pPr>
        <w:widowControl w:val="0"/>
        <w:spacing w:line="240" w:lineRule="atLeast"/>
        <w:ind w:left="567" w:hanging="567"/>
        <w:contextualSpacing/>
        <w:jc w:val="both"/>
        <w:rPr>
          <w:rFonts w:ascii="Thesans" w:hAnsi="Thesans" w:cs="Arial"/>
          <w:b/>
          <w:bCs/>
          <w:sz w:val="22"/>
          <w:szCs w:val="22"/>
          <w:lang w:eastAsia="nl-NL"/>
        </w:rPr>
      </w:pPr>
      <w:r w:rsidRPr="008E1B3B">
        <w:rPr>
          <w:rFonts w:ascii="Thesans" w:hAnsi="Thesans" w:cs="Arial"/>
          <w:b/>
          <w:bCs/>
          <w:sz w:val="22"/>
          <w:szCs w:val="22"/>
          <w:lang w:eastAsia="nl-NL"/>
        </w:rPr>
        <w:t>KOMEN OVEREEN:</w:t>
      </w:r>
    </w:p>
    <w:p w14:paraId="5C007FB0" w14:textId="77777777" w:rsidR="00440889" w:rsidRPr="008E1B3B" w:rsidRDefault="00440889" w:rsidP="00B563F7">
      <w:pPr>
        <w:widowControl w:val="0"/>
        <w:spacing w:line="240" w:lineRule="atLeast"/>
        <w:ind w:left="567" w:hanging="567"/>
        <w:contextualSpacing/>
        <w:jc w:val="both"/>
        <w:rPr>
          <w:rFonts w:ascii="Thesans" w:hAnsi="Thesans" w:cs="Arial"/>
          <w:sz w:val="22"/>
          <w:szCs w:val="22"/>
          <w:lang w:eastAsia="nl-NL"/>
        </w:rPr>
      </w:pPr>
    </w:p>
    <w:p w14:paraId="09D82B86" w14:textId="73BB57D2" w:rsidR="007D6114" w:rsidRPr="008E1B3B" w:rsidRDefault="007D6114" w:rsidP="00B563F7">
      <w:pPr>
        <w:keepNext/>
        <w:keepLines/>
        <w:widowControl w:val="0"/>
        <w:spacing w:line="240" w:lineRule="atLeast"/>
        <w:ind w:left="567" w:hanging="567"/>
        <w:contextualSpacing/>
        <w:jc w:val="both"/>
        <w:outlineLvl w:val="2"/>
        <w:rPr>
          <w:rFonts w:ascii="Thesans" w:hAnsi="Thesans" w:cs="Arial"/>
          <w:b/>
          <w:bCs/>
          <w:sz w:val="22"/>
          <w:szCs w:val="22"/>
          <w:lang w:eastAsia="nl-NL"/>
        </w:rPr>
      </w:pPr>
      <w:bookmarkStart w:id="2" w:name="bookmark6"/>
      <w:r w:rsidRPr="008E1B3B">
        <w:rPr>
          <w:rFonts w:ascii="Thesans" w:hAnsi="Thesans" w:cs="Arial"/>
          <w:b/>
          <w:bCs/>
          <w:sz w:val="22"/>
          <w:szCs w:val="22"/>
          <w:lang w:eastAsia="nl-NL"/>
        </w:rPr>
        <w:t xml:space="preserve">1. </w:t>
      </w:r>
      <w:r w:rsidR="0013072E" w:rsidRPr="008E1B3B">
        <w:rPr>
          <w:rFonts w:ascii="Thesans" w:hAnsi="Thesans" w:cs="Arial"/>
          <w:b/>
          <w:bCs/>
          <w:sz w:val="22"/>
          <w:szCs w:val="22"/>
          <w:lang w:eastAsia="nl-NL"/>
        </w:rPr>
        <w:tab/>
      </w:r>
      <w:r w:rsidRPr="008E1B3B">
        <w:rPr>
          <w:rFonts w:ascii="Thesans" w:hAnsi="Thesans" w:cs="Arial"/>
          <w:b/>
          <w:bCs/>
          <w:sz w:val="22"/>
          <w:szCs w:val="22"/>
          <w:lang w:eastAsia="nl-NL"/>
        </w:rPr>
        <w:t>Definities en bijlagen</w:t>
      </w:r>
      <w:bookmarkEnd w:id="2"/>
    </w:p>
    <w:p w14:paraId="26F2C55D" w14:textId="77777777" w:rsidR="00440889" w:rsidRPr="008E1B3B" w:rsidRDefault="00440889" w:rsidP="00B563F7">
      <w:pPr>
        <w:keepNext/>
        <w:keepLines/>
        <w:widowControl w:val="0"/>
        <w:spacing w:line="240" w:lineRule="atLeast"/>
        <w:ind w:left="567" w:hanging="567"/>
        <w:contextualSpacing/>
        <w:jc w:val="both"/>
        <w:outlineLvl w:val="2"/>
        <w:rPr>
          <w:rFonts w:ascii="Thesans" w:hAnsi="Thesans" w:cs="Arial"/>
          <w:b/>
          <w:bCs/>
          <w:sz w:val="22"/>
          <w:szCs w:val="22"/>
          <w:lang w:eastAsia="nl-NL"/>
        </w:rPr>
      </w:pPr>
    </w:p>
    <w:p w14:paraId="450A6E80" w14:textId="11DE96C0" w:rsidR="0013072E" w:rsidRPr="008E1B3B" w:rsidRDefault="007D6114" w:rsidP="00B563F7">
      <w:pPr>
        <w:widowControl w:val="0"/>
        <w:numPr>
          <w:ilvl w:val="0"/>
          <w:numId w:val="27"/>
        </w:numPr>
        <w:tabs>
          <w:tab w:val="left" w:pos="618"/>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In deze Gegevensuitwisselingsovereenkomst (en behorende Bijlagen) wordt onder begrippen die in de AVG zijn gedefinieerd, de betekenis toegekend die daaraan in de AVG is gegeven.</w:t>
      </w:r>
    </w:p>
    <w:p w14:paraId="3C3DEE88" w14:textId="77777777" w:rsidR="007D6114" w:rsidRPr="008E1B3B" w:rsidRDefault="007D6114" w:rsidP="00B563F7">
      <w:pPr>
        <w:widowControl w:val="0"/>
        <w:numPr>
          <w:ilvl w:val="0"/>
          <w:numId w:val="27"/>
        </w:numPr>
        <w:tabs>
          <w:tab w:val="left" w:pos="618"/>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De Bijlage bij deze Gegevensuitwisselingsovereenkomst maakt een onverbrekelijk deel uit van de Gegevensuitwisselingsovereenkomst en kan niet los worden gezien van de Gegevensuitwisselingsovereenkomst.</w:t>
      </w:r>
    </w:p>
    <w:p w14:paraId="0FD7565A" w14:textId="77777777" w:rsidR="00FF10AC" w:rsidRPr="008E1B3B" w:rsidRDefault="00FF10AC" w:rsidP="00B563F7">
      <w:pPr>
        <w:keepNext/>
        <w:keepLines/>
        <w:widowControl w:val="0"/>
        <w:tabs>
          <w:tab w:val="left" w:pos="567"/>
        </w:tabs>
        <w:spacing w:line="240" w:lineRule="atLeast"/>
        <w:ind w:left="567" w:hanging="567"/>
        <w:contextualSpacing/>
        <w:jc w:val="both"/>
        <w:outlineLvl w:val="2"/>
        <w:rPr>
          <w:rFonts w:ascii="Thesans" w:hAnsi="Thesans" w:cs="Arial"/>
          <w:sz w:val="22"/>
          <w:szCs w:val="22"/>
          <w:lang w:eastAsia="nl-NL"/>
        </w:rPr>
      </w:pPr>
    </w:p>
    <w:p w14:paraId="6355052D" w14:textId="77777777" w:rsidR="008E1B3B" w:rsidRPr="008E1B3B" w:rsidRDefault="008E1B3B" w:rsidP="00B563F7">
      <w:pPr>
        <w:keepNext/>
        <w:keepLines/>
        <w:widowControl w:val="0"/>
        <w:tabs>
          <w:tab w:val="left" w:pos="567"/>
        </w:tabs>
        <w:spacing w:line="240" w:lineRule="atLeast"/>
        <w:ind w:left="567" w:hanging="567"/>
        <w:contextualSpacing/>
        <w:jc w:val="both"/>
        <w:outlineLvl w:val="2"/>
        <w:rPr>
          <w:rFonts w:ascii="Thesans" w:hAnsi="Thesans" w:cs="Arial"/>
          <w:sz w:val="22"/>
          <w:szCs w:val="22"/>
          <w:lang w:eastAsia="nl-NL"/>
        </w:rPr>
      </w:pPr>
    </w:p>
    <w:p w14:paraId="2EF49C91" w14:textId="5318694D" w:rsidR="007D6114" w:rsidRPr="008E1B3B" w:rsidRDefault="007D6114" w:rsidP="00B563F7">
      <w:pPr>
        <w:keepNext/>
        <w:keepLines/>
        <w:widowControl w:val="0"/>
        <w:tabs>
          <w:tab w:val="left" w:pos="567"/>
        </w:tabs>
        <w:spacing w:line="240" w:lineRule="atLeast"/>
        <w:ind w:left="567" w:hanging="567"/>
        <w:contextualSpacing/>
        <w:jc w:val="both"/>
        <w:outlineLvl w:val="2"/>
        <w:rPr>
          <w:rFonts w:ascii="Thesans" w:hAnsi="Thesans" w:cs="Arial"/>
          <w:b/>
          <w:bCs/>
          <w:sz w:val="22"/>
          <w:szCs w:val="22"/>
          <w:lang w:eastAsia="nl-NL"/>
        </w:rPr>
      </w:pPr>
      <w:r w:rsidRPr="008E1B3B">
        <w:rPr>
          <w:rFonts w:ascii="Thesans" w:hAnsi="Thesans" w:cs="Arial"/>
          <w:b/>
          <w:bCs/>
          <w:sz w:val="22"/>
          <w:szCs w:val="22"/>
          <w:lang w:eastAsia="nl-NL"/>
        </w:rPr>
        <w:t>2.</w:t>
      </w:r>
      <w:r w:rsidR="00440889" w:rsidRPr="008E1B3B">
        <w:rPr>
          <w:rFonts w:ascii="Thesans" w:hAnsi="Thesans" w:cs="Arial"/>
          <w:b/>
          <w:bCs/>
          <w:sz w:val="22"/>
          <w:szCs w:val="22"/>
          <w:lang w:eastAsia="nl-NL"/>
        </w:rPr>
        <w:tab/>
      </w:r>
      <w:bookmarkStart w:id="3" w:name="bookmark8"/>
      <w:r w:rsidRPr="008E1B3B">
        <w:rPr>
          <w:rFonts w:ascii="Thesans" w:hAnsi="Thesans" w:cs="Arial"/>
          <w:b/>
          <w:bCs/>
          <w:sz w:val="22"/>
          <w:szCs w:val="22"/>
          <w:lang w:eastAsia="nl-NL"/>
        </w:rPr>
        <w:t>Totstandkoming en duur de van Gegevensuitwisselingsovereenkomst</w:t>
      </w:r>
      <w:bookmarkEnd w:id="3"/>
    </w:p>
    <w:p w14:paraId="139D6548" w14:textId="77777777" w:rsidR="00FF10AC" w:rsidRPr="008E1B3B" w:rsidRDefault="00FF10AC" w:rsidP="00B563F7">
      <w:pPr>
        <w:keepNext/>
        <w:keepLines/>
        <w:widowControl w:val="0"/>
        <w:tabs>
          <w:tab w:val="left" w:pos="567"/>
        </w:tabs>
        <w:spacing w:line="240" w:lineRule="atLeast"/>
        <w:ind w:left="567" w:hanging="567"/>
        <w:contextualSpacing/>
        <w:jc w:val="both"/>
        <w:outlineLvl w:val="2"/>
        <w:rPr>
          <w:rFonts w:ascii="Thesans" w:hAnsi="Thesans" w:cs="Arial"/>
          <w:b/>
          <w:bCs/>
          <w:sz w:val="22"/>
          <w:szCs w:val="22"/>
          <w:lang w:eastAsia="nl-NL"/>
        </w:rPr>
      </w:pPr>
    </w:p>
    <w:p w14:paraId="79273340" w14:textId="77777777" w:rsidR="007D6114" w:rsidRPr="008E1B3B" w:rsidRDefault="007D6114" w:rsidP="00B563F7">
      <w:pPr>
        <w:widowControl w:val="0"/>
        <w:numPr>
          <w:ilvl w:val="0"/>
          <w:numId w:val="28"/>
        </w:numPr>
        <w:tabs>
          <w:tab w:val="left" w:pos="618"/>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Deze Gegevensuitwisselingsovereenkomst komt tot stand door ondertekening door beide Partijen en treedt na ondertekening in werking op de wijze zoals omschreven in de Overeenkomst of de Bijlage.</w:t>
      </w:r>
    </w:p>
    <w:p w14:paraId="6FE61083" w14:textId="77777777" w:rsidR="007D6114" w:rsidRPr="008E1B3B" w:rsidRDefault="007D6114" w:rsidP="00B563F7">
      <w:pPr>
        <w:widowControl w:val="0"/>
        <w:numPr>
          <w:ilvl w:val="0"/>
          <w:numId w:val="28"/>
        </w:numPr>
        <w:tabs>
          <w:tab w:val="left" w:pos="618"/>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De bepalingen die de strekking hebben om voort te duren na opzegging of ontbinding van de Gegevensuitwisselingsovereenkomst zullen van kracht blijven na opzegging of ontbinding van de Gegevensuitwisselingsovereenkomst.</w:t>
      </w:r>
    </w:p>
    <w:p w14:paraId="53DD4633" w14:textId="77777777" w:rsidR="00440889" w:rsidRPr="008E1B3B" w:rsidRDefault="00440889" w:rsidP="00B563F7">
      <w:pPr>
        <w:widowControl w:val="0"/>
        <w:tabs>
          <w:tab w:val="left" w:pos="618"/>
        </w:tabs>
        <w:spacing w:line="240" w:lineRule="atLeast"/>
        <w:ind w:left="567" w:hanging="567"/>
        <w:contextualSpacing/>
        <w:jc w:val="both"/>
        <w:rPr>
          <w:rFonts w:ascii="Thesans" w:hAnsi="Thesans" w:cs="Arial"/>
          <w:sz w:val="22"/>
          <w:szCs w:val="22"/>
          <w:lang w:eastAsia="nl-NL"/>
        </w:rPr>
      </w:pPr>
    </w:p>
    <w:p w14:paraId="681471F1" w14:textId="45F2013E" w:rsidR="007D6114" w:rsidRPr="008E1B3B" w:rsidRDefault="0013072E" w:rsidP="00B563F7">
      <w:pPr>
        <w:keepNext/>
        <w:keepLines/>
        <w:widowControl w:val="0"/>
        <w:tabs>
          <w:tab w:val="left" w:pos="567"/>
        </w:tabs>
        <w:spacing w:line="240" w:lineRule="atLeast"/>
        <w:contextualSpacing/>
        <w:jc w:val="both"/>
        <w:outlineLvl w:val="2"/>
        <w:rPr>
          <w:rFonts w:ascii="Thesans" w:hAnsi="Thesans" w:cs="Arial"/>
          <w:b/>
          <w:bCs/>
          <w:sz w:val="22"/>
          <w:szCs w:val="22"/>
          <w:lang w:eastAsia="nl-NL"/>
        </w:rPr>
      </w:pPr>
      <w:bookmarkStart w:id="4" w:name="bookmark10"/>
      <w:r w:rsidRPr="008E1B3B">
        <w:rPr>
          <w:rFonts w:ascii="Thesans" w:hAnsi="Thesans" w:cs="Arial"/>
          <w:b/>
          <w:bCs/>
          <w:sz w:val="22"/>
          <w:szCs w:val="22"/>
          <w:lang w:eastAsia="nl-NL"/>
        </w:rPr>
        <w:t>3.</w:t>
      </w:r>
      <w:r w:rsidRPr="008E1B3B">
        <w:rPr>
          <w:rFonts w:ascii="Thesans" w:hAnsi="Thesans" w:cs="Arial"/>
          <w:b/>
          <w:bCs/>
          <w:sz w:val="22"/>
          <w:szCs w:val="22"/>
          <w:lang w:eastAsia="nl-NL"/>
        </w:rPr>
        <w:tab/>
      </w:r>
      <w:r w:rsidR="007D6114" w:rsidRPr="008E1B3B">
        <w:rPr>
          <w:rFonts w:ascii="Thesans" w:hAnsi="Thesans" w:cs="Arial"/>
          <w:b/>
          <w:bCs/>
          <w:sz w:val="22"/>
          <w:szCs w:val="22"/>
          <w:lang w:eastAsia="nl-NL"/>
        </w:rPr>
        <w:t>Verplichtingen van Partijen</w:t>
      </w:r>
      <w:bookmarkEnd w:id="4"/>
    </w:p>
    <w:p w14:paraId="5EFA15EA" w14:textId="77777777" w:rsidR="00FF10AC" w:rsidRPr="008E1B3B" w:rsidRDefault="00FF10AC" w:rsidP="00B563F7">
      <w:pPr>
        <w:pStyle w:val="Geenafstand"/>
        <w:contextualSpacing/>
        <w:rPr>
          <w:lang w:val="nl-NL" w:eastAsia="nl-NL"/>
        </w:rPr>
      </w:pPr>
    </w:p>
    <w:p w14:paraId="73640A3B" w14:textId="77777777" w:rsidR="007D6114" w:rsidRPr="008E1B3B" w:rsidRDefault="007D6114" w:rsidP="00B563F7">
      <w:pPr>
        <w:widowControl w:val="0"/>
        <w:numPr>
          <w:ilvl w:val="0"/>
          <w:numId w:val="29"/>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Partijen zijn ieder zelf verantwoordelijk voor de naleving van de toepasselijke wet- en regelgeving, waaronder de AVG, bij de Verwerkingen die onder hun verantwoordelijkheid plaatsvinden. Gegevensuitwisseling vindt niet eerder plaats dan na een zelfstandige toetsing door de Partijen en geschiedt in overeenstemming met de toepasselijke wet- en regelgeving.</w:t>
      </w:r>
    </w:p>
    <w:p w14:paraId="5FE977E9" w14:textId="77777777" w:rsidR="007D6114" w:rsidRPr="008E1B3B" w:rsidRDefault="007D6114" w:rsidP="00B563F7">
      <w:pPr>
        <w:widowControl w:val="0"/>
        <w:numPr>
          <w:ilvl w:val="0"/>
          <w:numId w:val="29"/>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 xml:space="preserve">De gegevensuitwisseling zal overeenkomstig de in </w:t>
      </w:r>
      <w:r w:rsidRPr="008E1B3B">
        <w:rPr>
          <w:rFonts w:ascii="Thesans" w:hAnsi="Thesans" w:cs="Arial"/>
          <w:sz w:val="22"/>
          <w:szCs w:val="22"/>
          <w:u w:val="single"/>
          <w:lang w:eastAsia="nl-NL"/>
        </w:rPr>
        <w:t>bijlage 1</w:t>
      </w:r>
      <w:r w:rsidRPr="008E1B3B">
        <w:rPr>
          <w:rFonts w:ascii="Thesans" w:hAnsi="Thesans" w:cs="Arial"/>
          <w:sz w:val="22"/>
          <w:szCs w:val="22"/>
          <w:lang w:eastAsia="nl-NL"/>
        </w:rPr>
        <w:t xml:space="preserve"> omschreven methode plaatsvinden.</w:t>
      </w:r>
    </w:p>
    <w:p w14:paraId="1AAA16DD" w14:textId="77777777" w:rsidR="007D6114" w:rsidRPr="008E1B3B" w:rsidRDefault="007D6114" w:rsidP="00B563F7">
      <w:pPr>
        <w:widowControl w:val="0"/>
        <w:numPr>
          <w:ilvl w:val="0"/>
          <w:numId w:val="29"/>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 xml:space="preserve">Partijen verklaren over en weer de in </w:t>
      </w:r>
      <w:r w:rsidRPr="008E1B3B">
        <w:rPr>
          <w:rFonts w:ascii="Thesans" w:hAnsi="Thesans" w:cs="Arial"/>
          <w:sz w:val="22"/>
          <w:szCs w:val="22"/>
          <w:u w:val="single"/>
          <w:lang w:eastAsia="nl-NL"/>
        </w:rPr>
        <w:t>Bijlage 1</w:t>
      </w:r>
      <w:r w:rsidRPr="008E1B3B">
        <w:rPr>
          <w:rFonts w:ascii="Thesans" w:hAnsi="Thesans" w:cs="Arial"/>
          <w:sz w:val="22"/>
          <w:szCs w:val="22"/>
          <w:lang w:eastAsia="nl-NL"/>
        </w:rPr>
        <w:t xml:space="preserve"> beschreven Gegevens op behoorlijke en zorgvuldige wijze te zullen verwerken.</w:t>
      </w:r>
    </w:p>
    <w:p w14:paraId="0A3BE15F" w14:textId="77777777" w:rsidR="007D6114" w:rsidRPr="008E1B3B" w:rsidRDefault="007D6114" w:rsidP="00B563F7">
      <w:pPr>
        <w:widowControl w:val="0"/>
        <w:numPr>
          <w:ilvl w:val="0"/>
          <w:numId w:val="29"/>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De verstrekkende Partij zal de Betrokkenen informeren over de doorgifte van de Persoonsgegevens aan en het gebruik door de andere Partij.</w:t>
      </w:r>
    </w:p>
    <w:p w14:paraId="3641BF1F" w14:textId="77777777" w:rsidR="007D6114" w:rsidRPr="008E1B3B" w:rsidRDefault="007D6114" w:rsidP="00B563F7">
      <w:pPr>
        <w:widowControl w:val="0"/>
        <w:numPr>
          <w:ilvl w:val="0"/>
          <w:numId w:val="29"/>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 xml:space="preserve">De ontvangende Partij is vanaf het moment van ontvangst van de Persoonsgegevens als omschreven in </w:t>
      </w:r>
      <w:r w:rsidRPr="008E1B3B">
        <w:rPr>
          <w:rFonts w:ascii="Thesans" w:hAnsi="Thesans" w:cs="Arial"/>
          <w:sz w:val="22"/>
          <w:szCs w:val="22"/>
          <w:u w:val="single"/>
          <w:lang w:eastAsia="nl-NL"/>
        </w:rPr>
        <w:t>bijlage 1,</w:t>
      </w:r>
      <w:r w:rsidRPr="008E1B3B">
        <w:rPr>
          <w:rFonts w:ascii="Thesans" w:hAnsi="Thesans" w:cs="Arial"/>
          <w:sz w:val="22"/>
          <w:szCs w:val="22"/>
          <w:lang w:eastAsia="nl-NL"/>
        </w:rPr>
        <w:t xml:space="preserve"> aan te merken als Verwerkingsverantwoordelijke ten aanzien van de verdere Verwerking van deze Persoonsgegevens.</w:t>
      </w:r>
    </w:p>
    <w:p w14:paraId="2C6F420F" w14:textId="224CCEE7" w:rsidR="007D6114" w:rsidRPr="008E1B3B" w:rsidRDefault="007D6114" w:rsidP="00B563F7">
      <w:pPr>
        <w:widowControl w:val="0"/>
        <w:numPr>
          <w:ilvl w:val="0"/>
          <w:numId w:val="29"/>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 xml:space="preserve">De ontvangende Partij zal de Persoonsgegevens uitsluitend verwerken voor het doel waarvoor de Persoonsgegevens zijn verstrekt en/of de </w:t>
      </w:r>
      <w:r w:rsidR="008E1B3B" w:rsidRPr="008E1B3B">
        <w:rPr>
          <w:rFonts w:ascii="Thesans" w:hAnsi="Thesans" w:cs="Arial"/>
          <w:sz w:val="22"/>
          <w:szCs w:val="22"/>
          <w:lang w:eastAsia="nl-NL"/>
        </w:rPr>
        <w:t>uitvoering van</w:t>
      </w:r>
      <w:r w:rsidRPr="008E1B3B">
        <w:rPr>
          <w:rFonts w:ascii="Thesans" w:hAnsi="Thesans" w:cs="Arial"/>
          <w:sz w:val="22"/>
          <w:szCs w:val="22"/>
          <w:lang w:eastAsia="nl-NL"/>
        </w:rPr>
        <w:t xml:space="preserve"> de Overeenkomst en/of deze Gegevensuitwisselingsovereenkomst, of ter uitvoering van een wettelijke verplichting of gerechtelijke uitspraak.</w:t>
      </w:r>
    </w:p>
    <w:p w14:paraId="4346159C" w14:textId="77777777" w:rsidR="007D6114" w:rsidRPr="008E1B3B" w:rsidRDefault="007D6114" w:rsidP="00B563F7">
      <w:pPr>
        <w:widowControl w:val="0"/>
        <w:numPr>
          <w:ilvl w:val="0"/>
          <w:numId w:val="29"/>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De verplichtingen die voortvloeien uit deze Gegevensuitwisselingsovereenkomst gelden ook voor degenen die onder het gezag van Partijen Persoonsgegevens verwerken, zoals haar medewerkers.</w:t>
      </w:r>
    </w:p>
    <w:p w14:paraId="72B7EB8B" w14:textId="77777777" w:rsidR="007D6114" w:rsidRPr="008E1B3B" w:rsidRDefault="007D6114" w:rsidP="00B563F7">
      <w:pPr>
        <w:widowControl w:val="0"/>
        <w:numPr>
          <w:ilvl w:val="0"/>
          <w:numId w:val="29"/>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Indien een Partij (delen van) de (verdere) Verwerking van de verstrekte Persoonsgegevens uitbesteedt aan een Verwerker, draagt hij er zorg voor dat de Verwerker de Persoonsgegevens op behoorlijke en zorgvuldige wijze en in overeenstemming met de toepasselijke wet- en regelgeving verwerkt. Afspraken omtrent de Verwerking van Persoonsgegevens door een Verwerker zullen worden vastgelegd in een passende Verwerkersovereenkomst.</w:t>
      </w:r>
    </w:p>
    <w:p w14:paraId="14D42697" w14:textId="77777777" w:rsidR="007D6114" w:rsidRPr="008E1B3B" w:rsidRDefault="007D6114" w:rsidP="00B563F7">
      <w:pPr>
        <w:widowControl w:val="0"/>
        <w:numPr>
          <w:ilvl w:val="0"/>
          <w:numId w:val="29"/>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Partijen spannen zich in om niet méér Persoonsgegevens aan elkaar te verstrekken dan noodzakelijk om het doel van verstrekking te verwezenlijken.</w:t>
      </w:r>
    </w:p>
    <w:p w14:paraId="7754FA18" w14:textId="77777777" w:rsidR="00440889" w:rsidRPr="008E1B3B" w:rsidRDefault="00440889" w:rsidP="00B563F7">
      <w:pPr>
        <w:widowControl w:val="0"/>
        <w:spacing w:line="240" w:lineRule="atLeast"/>
        <w:ind w:left="567" w:hanging="567"/>
        <w:contextualSpacing/>
        <w:jc w:val="both"/>
        <w:rPr>
          <w:rFonts w:ascii="Thesans" w:hAnsi="Thesans" w:cs="Arial"/>
          <w:sz w:val="22"/>
          <w:szCs w:val="22"/>
          <w:lang w:eastAsia="nl-NL"/>
        </w:rPr>
      </w:pPr>
    </w:p>
    <w:p w14:paraId="29D92255" w14:textId="10184024" w:rsidR="007D6114" w:rsidRPr="008E1B3B" w:rsidRDefault="007D6114" w:rsidP="00B563F7">
      <w:pPr>
        <w:keepNext/>
        <w:keepLines/>
        <w:widowControl w:val="0"/>
        <w:spacing w:line="240" w:lineRule="atLeast"/>
        <w:ind w:left="567" w:hanging="567"/>
        <w:contextualSpacing/>
        <w:jc w:val="both"/>
        <w:outlineLvl w:val="2"/>
        <w:rPr>
          <w:rFonts w:ascii="Thesans" w:hAnsi="Thesans" w:cs="Arial"/>
          <w:b/>
          <w:bCs/>
          <w:sz w:val="22"/>
          <w:szCs w:val="22"/>
          <w:lang w:eastAsia="nl-NL"/>
        </w:rPr>
      </w:pPr>
      <w:bookmarkStart w:id="5" w:name="bookmark12"/>
      <w:r w:rsidRPr="008E1B3B">
        <w:rPr>
          <w:rFonts w:ascii="Thesans" w:hAnsi="Thesans" w:cs="Arial"/>
          <w:b/>
          <w:bCs/>
          <w:sz w:val="22"/>
          <w:szCs w:val="22"/>
          <w:lang w:eastAsia="nl-NL"/>
        </w:rPr>
        <w:t xml:space="preserve">4. </w:t>
      </w:r>
      <w:r w:rsidR="0013072E" w:rsidRPr="008E1B3B">
        <w:rPr>
          <w:rFonts w:ascii="Thesans" w:hAnsi="Thesans" w:cs="Arial"/>
          <w:b/>
          <w:bCs/>
          <w:sz w:val="22"/>
          <w:szCs w:val="22"/>
          <w:lang w:eastAsia="nl-NL"/>
        </w:rPr>
        <w:tab/>
      </w:r>
      <w:r w:rsidRPr="008E1B3B">
        <w:rPr>
          <w:rFonts w:ascii="Thesans" w:hAnsi="Thesans" w:cs="Arial"/>
          <w:b/>
          <w:bCs/>
          <w:sz w:val="22"/>
          <w:szCs w:val="22"/>
          <w:lang w:eastAsia="nl-NL"/>
        </w:rPr>
        <w:t>Beveiliging</w:t>
      </w:r>
      <w:bookmarkEnd w:id="5"/>
    </w:p>
    <w:p w14:paraId="4EEEBEBE" w14:textId="77777777" w:rsidR="00440889" w:rsidRPr="008E1B3B" w:rsidRDefault="00440889" w:rsidP="00B563F7">
      <w:pPr>
        <w:keepNext/>
        <w:keepLines/>
        <w:widowControl w:val="0"/>
        <w:spacing w:line="240" w:lineRule="atLeast"/>
        <w:ind w:left="567" w:hanging="567"/>
        <w:contextualSpacing/>
        <w:jc w:val="both"/>
        <w:outlineLvl w:val="2"/>
        <w:rPr>
          <w:rFonts w:ascii="Thesans" w:hAnsi="Thesans" w:cs="Arial"/>
          <w:b/>
          <w:bCs/>
          <w:sz w:val="22"/>
          <w:szCs w:val="22"/>
          <w:lang w:eastAsia="nl-NL"/>
        </w:rPr>
      </w:pPr>
    </w:p>
    <w:p w14:paraId="3BE8F4F5" w14:textId="418F918A" w:rsidR="0013072E" w:rsidRPr="008E1B3B" w:rsidRDefault="007D6114" w:rsidP="00B563F7">
      <w:pPr>
        <w:widowControl w:val="0"/>
        <w:numPr>
          <w:ilvl w:val="0"/>
          <w:numId w:val="30"/>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Partijen dragen ieder eigen verantwoordelijkheid voor de beveiliging van Persoons</w:t>
      </w:r>
      <w:r w:rsidR="0013072E" w:rsidRPr="008E1B3B">
        <w:rPr>
          <w:rFonts w:ascii="Thesans" w:hAnsi="Thesans" w:cs="Arial"/>
          <w:sz w:val="22"/>
          <w:szCs w:val="22"/>
          <w:lang w:eastAsia="nl-NL"/>
        </w:rPr>
        <w:t>-</w:t>
      </w:r>
      <w:r w:rsidRPr="008E1B3B">
        <w:rPr>
          <w:rFonts w:ascii="Thesans" w:hAnsi="Thesans" w:cs="Arial"/>
          <w:sz w:val="22"/>
          <w:szCs w:val="22"/>
          <w:lang w:eastAsia="nl-NL"/>
        </w:rPr>
        <w:t>gegevens conform artikel 4 lid 2 van deze Gegevensuitwisselingsovereenkomst ten aanzien van de Verwerkingen die onder hun verantwoordelijkheid plaatsvinden.</w:t>
      </w:r>
    </w:p>
    <w:p w14:paraId="115E59BD" w14:textId="25568F24" w:rsidR="0013072E" w:rsidRPr="008E1B3B" w:rsidRDefault="007D6114" w:rsidP="00B563F7">
      <w:pPr>
        <w:widowControl w:val="0"/>
        <w:numPr>
          <w:ilvl w:val="0"/>
          <w:numId w:val="30"/>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 xml:space="preserve">Partijen zullen passende technische en organisatorische beveiligingsmaatregelen ten uitvoer leggen om Persoonsgegevens te beveiligen tegen verlies of tegen enige vorm van onrechtmatige Verwerking. </w:t>
      </w:r>
    </w:p>
    <w:p w14:paraId="040E1E0E" w14:textId="77777777" w:rsidR="008E1B3B" w:rsidRPr="008E1B3B" w:rsidRDefault="008E1B3B" w:rsidP="008E1B3B">
      <w:pPr>
        <w:widowControl w:val="0"/>
        <w:spacing w:line="240" w:lineRule="atLeast"/>
        <w:contextualSpacing/>
        <w:jc w:val="both"/>
        <w:rPr>
          <w:rFonts w:ascii="Thesans" w:hAnsi="Thesans" w:cs="Arial"/>
          <w:sz w:val="22"/>
          <w:szCs w:val="22"/>
          <w:lang w:eastAsia="nl-NL"/>
        </w:rPr>
      </w:pPr>
    </w:p>
    <w:p w14:paraId="1E1D3A76" w14:textId="77777777" w:rsidR="008E1B3B" w:rsidRPr="008E1B3B" w:rsidRDefault="008E1B3B" w:rsidP="008E1B3B">
      <w:pPr>
        <w:widowControl w:val="0"/>
        <w:spacing w:line="240" w:lineRule="atLeast"/>
        <w:contextualSpacing/>
        <w:jc w:val="both"/>
        <w:rPr>
          <w:rFonts w:ascii="Thesans" w:hAnsi="Thesans" w:cs="Arial"/>
          <w:sz w:val="22"/>
          <w:szCs w:val="22"/>
          <w:lang w:eastAsia="nl-NL"/>
        </w:rPr>
      </w:pPr>
    </w:p>
    <w:p w14:paraId="7A6AD7FC" w14:textId="77777777" w:rsidR="008E1B3B" w:rsidRPr="008E1B3B" w:rsidRDefault="008E1B3B" w:rsidP="008E1B3B">
      <w:pPr>
        <w:widowControl w:val="0"/>
        <w:spacing w:line="240" w:lineRule="atLeast"/>
        <w:contextualSpacing/>
        <w:jc w:val="both"/>
        <w:rPr>
          <w:rFonts w:ascii="Thesans" w:hAnsi="Thesans" w:cs="Arial"/>
          <w:sz w:val="22"/>
          <w:szCs w:val="22"/>
          <w:lang w:eastAsia="nl-NL"/>
        </w:rPr>
      </w:pPr>
    </w:p>
    <w:p w14:paraId="6D8ED90B" w14:textId="77777777" w:rsidR="008E1B3B" w:rsidRPr="008E1B3B" w:rsidRDefault="008E1B3B" w:rsidP="008E1B3B">
      <w:pPr>
        <w:widowControl w:val="0"/>
        <w:spacing w:line="240" w:lineRule="atLeast"/>
        <w:contextualSpacing/>
        <w:jc w:val="both"/>
        <w:rPr>
          <w:rFonts w:ascii="Thesans" w:hAnsi="Thesans" w:cs="Arial"/>
          <w:sz w:val="22"/>
          <w:szCs w:val="22"/>
          <w:lang w:eastAsia="nl-NL"/>
        </w:rPr>
      </w:pPr>
    </w:p>
    <w:p w14:paraId="4614429D" w14:textId="645E5223" w:rsidR="007D6114" w:rsidRPr="008E1B3B" w:rsidRDefault="007D6114" w:rsidP="00B563F7">
      <w:pPr>
        <w:widowControl w:val="0"/>
        <w:spacing w:line="240" w:lineRule="atLeast"/>
        <w:ind w:left="567"/>
        <w:contextualSpacing/>
        <w:jc w:val="both"/>
        <w:rPr>
          <w:rFonts w:ascii="Thesans" w:hAnsi="Thesans" w:cs="Arial"/>
          <w:sz w:val="22"/>
          <w:szCs w:val="22"/>
          <w:lang w:eastAsia="nl-NL"/>
        </w:rPr>
      </w:pPr>
      <w:r w:rsidRPr="008E1B3B">
        <w:rPr>
          <w:rFonts w:ascii="Thesans" w:hAnsi="Thesans" w:cs="Arial"/>
          <w:sz w:val="22"/>
          <w:szCs w:val="22"/>
          <w:lang w:eastAsia="nl-NL"/>
        </w:rPr>
        <w:t xml:space="preserve">Deze maatregelen garanderen, </w:t>
      </w:r>
      <w:r w:rsidR="008E1B3B" w:rsidRPr="008E1B3B">
        <w:rPr>
          <w:rFonts w:ascii="Thesans" w:hAnsi="Thesans" w:cs="Arial"/>
          <w:sz w:val="22"/>
          <w:szCs w:val="22"/>
          <w:lang w:eastAsia="nl-NL"/>
        </w:rPr>
        <w:t>rekening houdend</w:t>
      </w:r>
      <w:r w:rsidRPr="008E1B3B">
        <w:rPr>
          <w:rFonts w:ascii="Thesans" w:hAnsi="Thesans" w:cs="Arial"/>
          <w:sz w:val="22"/>
          <w:szCs w:val="22"/>
          <w:lang w:eastAsia="nl-NL"/>
        </w:rPr>
        <w:t xml:space="preserve"> met de stand van de techniek en de kosten van de tenuitvoerlegging, een passend beveiligingsniveau gelet op de risico’s die de Verwerking en de aard van de te beschermen gegevens met zich meebrengen. De maatregelen zijn er mede op gericht onnodige verzameling en verdere Verwerking van Persoonsgegevens te voorkomen.</w:t>
      </w:r>
    </w:p>
    <w:p w14:paraId="124C4F43" w14:textId="77777777" w:rsidR="007D6114" w:rsidRPr="008E1B3B" w:rsidRDefault="007D6114" w:rsidP="00B563F7">
      <w:pPr>
        <w:widowControl w:val="0"/>
        <w:numPr>
          <w:ilvl w:val="0"/>
          <w:numId w:val="30"/>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Op verzoek van de ene Partij zal de andere Partij inlichtingen verschaffen over de beveiligingsmaatregelen die zij heeft getroffen ten aanzien van de Persoonsgegevens die zij van de andere Partij ontvangt.</w:t>
      </w:r>
    </w:p>
    <w:p w14:paraId="5CC94C9F" w14:textId="77777777" w:rsidR="00440889" w:rsidRPr="008E1B3B" w:rsidRDefault="00440889" w:rsidP="00B563F7">
      <w:pPr>
        <w:pStyle w:val="Geenafstand"/>
        <w:contextualSpacing/>
        <w:rPr>
          <w:lang w:val="nl-NL" w:eastAsia="nl-NL"/>
        </w:rPr>
      </w:pPr>
      <w:bookmarkStart w:id="6" w:name="bookmark14"/>
    </w:p>
    <w:p w14:paraId="14898918" w14:textId="504DA4DE" w:rsidR="007D6114" w:rsidRPr="008E1B3B" w:rsidRDefault="007D6114" w:rsidP="00B563F7">
      <w:pPr>
        <w:keepNext/>
        <w:keepLines/>
        <w:widowControl w:val="0"/>
        <w:tabs>
          <w:tab w:val="left" w:pos="567"/>
        </w:tabs>
        <w:spacing w:line="240" w:lineRule="atLeast"/>
        <w:contextualSpacing/>
        <w:jc w:val="both"/>
        <w:outlineLvl w:val="2"/>
        <w:rPr>
          <w:rFonts w:ascii="Thesans" w:hAnsi="Thesans" w:cs="Arial"/>
          <w:b/>
          <w:bCs/>
          <w:sz w:val="22"/>
          <w:szCs w:val="22"/>
          <w:lang w:eastAsia="nl-NL"/>
        </w:rPr>
      </w:pPr>
      <w:r w:rsidRPr="008E1B3B">
        <w:rPr>
          <w:rFonts w:ascii="Thesans" w:hAnsi="Thesans" w:cs="Arial"/>
          <w:b/>
          <w:bCs/>
          <w:sz w:val="22"/>
          <w:szCs w:val="22"/>
          <w:lang w:eastAsia="nl-NL"/>
        </w:rPr>
        <w:t xml:space="preserve">5. </w:t>
      </w:r>
      <w:r w:rsidR="00440889" w:rsidRPr="008E1B3B">
        <w:rPr>
          <w:rFonts w:ascii="Thesans" w:hAnsi="Thesans" w:cs="Arial"/>
          <w:b/>
          <w:bCs/>
          <w:sz w:val="22"/>
          <w:szCs w:val="22"/>
          <w:lang w:eastAsia="nl-NL"/>
        </w:rPr>
        <w:tab/>
      </w:r>
      <w:r w:rsidRPr="008E1B3B">
        <w:rPr>
          <w:rFonts w:ascii="Thesans" w:hAnsi="Thesans" w:cs="Arial"/>
          <w:b/>
          <w:bCs/>
          <w:sz w:val="22"/>
          <w:szCs w:val="22"/>
          <w:lang w:eastAsia="nl-NL"/>
        </w:rPr>
        <w:t>Geheimhouding, vertrouwelijkheid en melding bij afgifte</w:t>
      </w:r>
      <w:bookmarkEnd w:id="6"/>
    </w:p>
    <w:p w14:paraId="18219E85" w14:textId="77777777" w:rsidR="00440889" w:rsidRPr="008E1B3B" w:rsidRDefault="00440889" w:rsidP="00B563F7">
      <w:pPr>
        <w:pStyle w:val="Geenafstand"/>
        <w:contextualSpacing/>
        <w:rPr>
          <w:lang w:val="nl-NL" w:eastAsia="nl-NL"/>
        </w:rPr>
      </w:pPr>
    </w:p>
    <w:p w14:paraId="7B5D29B1" w14:textId="50F59440" w:rsidR="007D6114" w:rsidRPr="008E1B3B" w:rsidRDefault="007D6114" w:rsidP="00B563F7">
      <w:pPr>
        <w:widowControl w:val="0"/>
        <w:numPr>
          <w:ilvl w:val="0"/>
          <w:numId w:val="31"/>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Op alle Persoonsgegevens die over en weer worden verstrekt, rust een geheimhoudings</w:t>
      </w:r>
      <w:r w:rsidR="00FF10AC" w:rsidRPr="008E1B3B">
        <w:rPr>
          <w:rFonts w:ascii="Thesans" w:hAnsi="Thesans" w:cs="Arial"/>
          <w:sz w:val="22"/>
          <w:szCs w:val="22"/>
          <w:lang w:eastAsia="nl-NL"/>
        </w:rPr>
        <w:t>-</w:t>
      </w:r>
      <w:r w:rsidRPr="008E1B3B">
        <w:rPr>
          <w:rFonts w:ascii="Thesans" w:hAnsi="Thesans" w:cs="Arial"/>
          <w:sz w:val="22"/>
          <w:szCs w:val="22"/>
          <w:lang w:eastAsia="nl-NL"/>
        </w:rPr>
        <w:t>plicht jegens derden.</w:t>
      </w:r>
    </w:p>
    <w:p w14:paraId="0C444A20" w14:textId="224DA0FE" w:rsidR="00440889" w:rsidRPr="008E1B3B" w:rsidRDefault="007D6114" w:rsidP="00B563F7">
      <w:pPr>
        <w:widowControl w:val="0"/>
        <w:numPr>
          <w:ilvl w:val="0"/>
          <w:numId w:val="31"/>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Partijen verplichten zich tot geheimhouding van alle Persoonsgegevens die zij van de andere Partij ontvangen in het kader van deze Gegevensuitwisselingsovereenkomst.</w:t>
      </w:r>
    </w:p>
    <w:p w14:paraId="2F20F3C1" w14:textId="41B7B05F" w:rsidR="007D6114" w:rsidRPr="008E1B3B" w:rsidRDefault="007D6114" w:rsidP="00B563F7">
      <w:pPr>
        <w:widowControl w:val="0"/>
        <w:numPr>
          <w:ilvl w:val="0"/>
          <w:numId w:val="31"/>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Deze geheimhoudingsplicht is niet van toepassing voor zover de verstrekkende Partij toestemming heeft gegeven om de informatie aan</w:t>
      </w:r>
      <w:r w:rsidR="00440889" w:rsidRPr="008E1B3B">
        <w:rPr>
          <w:rFonts w:ascii="Thesans" w:hAnsi="Thesans" w:cs="Arial"/>
          <w:sz w:val="22"/>
          <w:szCs w:val="22"/>
          <w:lang w:eastAsia="nl-NL"/>
        </w:rPr>
        <w:t xml:space="preserve"> </w:t>
      </w:r>
      <w:r w:rsidRPr="008E1B3B">
        <w:rPr>
          <w:rFonts w:ascii="Thesans" w:hAnsi="Thesans" w:cs="Arial"/>
          <w:sz w:val="22"/>
          <w:szCs w:val="22"/>
          <w:lang w:eastAsia="nl-NL"/>
        </w:rPr>
        <w:t>derden te verschaffen, indien het verstrekken van de informatie aan derden logischerwijs noodzakelijk is gezien het doel waarvoor de Persoonsgegevens werden verstrekt en/of de uitvoering van de Overeenkomst en/of deze Gegevensuitwisselingsovereenkomst, of indien er een wettelijke verplichting of gerechtelijke uitspraak bestaat op grond waarvan de informatie aan een derde dient te worden verstrekt.</w:t>
      </w:r>
    </w:p>
    <w:p w14:paraId="1E33FA13" w14:textId="77777777" w:rsidR="007D6114" w:rsidRPr="008E1B3B" w:rsidRDefault="007D6114" w:rsidP="00B563F7">
      <w:pPr>
        <w:widowControl w:val="0"/>
        <w:numPr>
          <w:ilvl w:val="0"/>
          <w:numId w:val="31"/>
        </w:numPr>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Partijen zullen in schriftelijke overeenkomsten met personeel en andere hulppersonen bedingen dat door die personen geheimhouding zal worden betracht ten aanzien van alle gegevens en informatie die zij in het kader van hun werkzaamheden verwerken.</w:t>
      </w:r>
    </w:p>
    <w:p w14:paraId="4B0D5EE7" w14:textId="77777777" w:rsidR="007D6114" w:rsidRPr="008E1B3B" w:rsidRDefault="007D6114" w:rsidP="00B563F7">
      <w:pPr>
        <w:widowControl w:val="0"/>
        <w:numPr>
          <w:ilvl w:val="0"/>
          <w:numId w:val="31"/>
        </w:numPr>
        <w:tabs>
          <w:tab w:val="left" w:pos="654"/>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Indien één der Partijen op grond van een wettelijke verplichting of een gerechtelijke uitspraak verplicht is om Persoonsgegevens die door de andere Partij verstrekt zijn, af te staan aan een derde, zal zij de andere Partij daarvan onverwijld op de hoogte stellen, tenzij enig wettelijk voorschrift dat weerhoudt.</w:t>
      </w:r>
    </w:p>
    <w:p w14:paraId="5AFEA001" w14:textId="350C740B" w:rsidR="007D6114" w:rsidRPr="008E1B3B" w:rsidRDefault="007D6114" w:rsidP="00B563F7">
      <w:pPr>
        <w:widowControl w:val="0"/>
        <w:numPr>
          <w:ilvl w:val="0"/>
          <w:numId w:val="31"/>
        </w:numPr>
        <w:tabs>
          <w:tab w:val="left" w:pos="654"/>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 xml:space="preserve">Bij schending van de in dit artikel beschreven </w:t>
      </w:r>
      <w:r w:rsidR="008E1B3B" w:rsidRPr="008E1B3B">
        <w:rPr>
          <w:rFonts w:ascii="Thesans" w:hAnsi="Thesans" w:cs="Arial"/>
          <w:sz w:val="22"/>
          <w:szCs w:val="22"/>
          <w:lang w:eastAsia="nl-NL"/>
        </w:rPr>
        <w:t>geheimhoudingsplicht</w:t>
      </w:r>
      <w:r w:rsidRPr="008E1B3B">
        <w:rPr>
          <w:rFonts w:ascii="Thesans" w:hAnsi="Thesans" w:cs="Arial"/>
          <w:sz w:val="22"/>
          <w:szCs w:val="22"/>
          <w:lang w:eastAsia="nl-NL"/>
        </w:rPr>
        <w:t xml:space="preserve"> door Opdrachtnemer, verbeurt Opdrachtnemer aan </w:t>
      </w:r>
      <w:r w:rsidR="00B563F7" w:rsidRPr="008E1B3B">
        <w:rPr>
          <w:rFonts w:ascii="Thesans" w:hAnsi="Thesans" w:cs="Arial"/>
          <w:sz w:val="22"/>
          <w:szCs w:val="22"/>
          <w:lang w:eastAsia="nl-NL"/>
        </w:rPr>
        <w:t xml:space="preserve">Opdrachtgever </w:t>
      </w:r>
      <w:r w:rsidRPr="008E1B3B">
        <w:rPr>
          <w:rFonts w:ascii="Thesans" w:hAnsi="Thesans" w:cs="Arial"/>
          <w:sz w:val="22"/>
          <w:szCs w:val="22"/>
          <w:lang w:eastAsia="nl-NL"/>
        </w:rPr>
        <w:t xml:space="preserve">een direct, zonder ingebrekestelling opeisbare contractuele boete van € 5.000,- (zegge: vijfduizend euro) per gebeurtenis, te vermeerderen met € 1.000,- (zegge: eenduizend euro) per dag dat deze overtreding voortduurt, onverminderd het recht van </w:t>
      </w:r>
      <w:r w:rsidR="00B563F7" w:rsidRPr="008E1B3B">
        <w:rPr>
          <w:rFonts w:ascii="Thesans" w:hAnsi="Thesans" w:cs="Arial"/>
          <w:sz w:val="22"/>
          <w:szCs w:val="22"/>
          <w:lang w:eastAsia="nl-NL"/>
        </w:rPr>
        <w:t xml:space="preserve">Opdrachtgever </w:t>
      </w:r>
      <w:r w:rsidRPr="008E1B3B">
        <w:rPr>
          <w:rFonts w:ascii="Thesans" w:hAnsi="Thesans" w:cs="Arial"/>
          <w:sz w:val="22"/>
          <w:szCs w:val="22"/>
          <w:lang w:eastAsia="nl-NL"/>
        </w:rPr>
        <w:t xml:space="preserve"> op aanvullende schadevergoeding. In een dergelijk geval zal </w:t>
      </w:r>
      <w:r w:rsidR="00B563F7" w:rsidRPr="008E1B3B">
        <w:rPr>
          <w:rFonts w:ascii="Thesans" w:hAnsi="Thesans" w:cs="Arial"/>
          <w:sz w:val="22"/>
          <w:szCs w:val="22"/>
          <w:lang w:eastAsia="nl-NL"/>
        </w:rPr>
        <w:t>Opdrachtgever</w:t>
      </w:r>
      <w:r w:rsidRPr="008E1B3B">
        <w:rPr>
          <w:rFonts w:ascii="Thesans" w:hAnsi="Thesans" w:cs="Arial"/>
          <w:sz w:val="22"/>
          <w:szCs w:val="22"/>
          <w:lang w:eastAsia="nl-NL"/>
        </w:rPr>
        <w:t xml:space="preserve"> tevens voortzetting van de Gegevens</w:t>
      </w:r>
      <w:r w:rsidR="008E1B3B" w:rsidRPr="008E1B3B">
        <w:rPr>
          <w:rFonts w:ascii="Thesans" w:hAnsi="Thesans" w:cs="Arial"/>
          <w:sz w:val="22"/>
          <w:szCs w:val="22"/>
          <w:lang w:eastAsia="nl-NL"/>
        </w:rPr>
        <w:t>-</w:t>
      </w:r>
      <w:r w:rsidRPr="008E1B3B">
        <w:rPr>
          <w:rFonts w:ascii="Thesans" w:hAnsi="Thesans" w:cs="Arial"/>
          <w:sz w:val="22"/>
          <w:szCs w:val="22"/>
          <w:lang w:eastAsia="nl-NL"/>
        </w:rPr>
        <w:t>uitwisselingsovereenkomst heroverwegen.</w:t>
      </w:r>
    </w:p>
    <w:p w14:paraId="392EB8E9" w14:textId="77777777" w:rsidR="00440889" w:rsidRPr="008E1B3B" w:rsidRDefault="00440889" w:rsidP="00B563F7">
      <w:pPr>
        <w:keepNext/>
        <w:keepLines/>
        <w:widowControl w:val="0"/>
        <w:spacing w:line="240" w:lineRule="atLeast"/>
        <w:ind w:left="567" w:hanging="567"/>
        <w:contextualSpacing/>
        <w:jc w:val="both"/>
        <w:outlineLvl w:val="2"/>
        <w:rPr>
          <w:rFonts w:ascii="Thesans" w:hAnsi="Thesans" w:cs="Arial"/>
          <w:sz w:val="22"/>
          <w:szCs w:val="22"/>
          <w:lang w:eastAsia="nl-NL"/>
        </w:rPr>
      </w:pPr>
      <w:bookmarkStart w:id="7" w:name="bookmark16"/>
    </w:p>
    <w:p w14:paraId="754D2944" w14:textId="0F2C1A71" w:rsidR="007D6114" w:rsidRPr="008E1B3B" w:rsidRDefault="007D6114" w:rsidP="00B563F7">
      <w:pPr>
        <w:keepNext/>
        <w:keepLines/>
        <w:widowControl w:val="0"/>
        <w:spacing w:line="240" w:lineRule="atLeast"/>
        <w:ind w:left="567" w:hanging="567"/>
        <w:contextualSpacing/>
        <w:jc w:val="both"/>
        <w:outlineLvl w:val="2"/>
        <w:rPr>
          <w:rFonts w:ascii="Thesans" w:hAnsi="Thesans" w:cs="Arial"/>
          <w:b/>
          <w:bCs/>
          <w:sz w:val="22"/>
          <w:szCs w:val="22"/>
          <w:lang w:eastAsia="nl-NL"/>
        </w:rPr>
      </w:pPr>
      <w:r w:rsidRPr="008E1B3B">
        <w:rPr>
          <w:rFonts w:ascii="Thesans" w:hAnsi="Thesans" w:cs="Arial"/>
          <w:b/>
          <w:bCs/>
          <w:sz w:val="22"/>
          <w:szCs w:val="22"/>
          <w:lang w:eastAsia="nl-NL"/>
        </w:rPr>
        <w:t xml:space="preserve">6. </w:t>
      </w:r>
      <w:r w:rsidR="0013072E" w:rsidRPr="008E1B3B">
        <w:rPr>
          <w:rFonts w:ascii="Thesans" w:hAnsi="Thesans" w:cs="Arial"/>
          <w:b/>
          <w:bCs/>
          <w:sz w:val="22"/>
          <w:szCs w:val="22"/>
          <w:lang w:eastAsia="nl-NL"/>
        </w:rPr>
        <w:tab/>
      </w:r>
      <w:r w:rsidRPr="008E1B3B">
        <w:rPr>
          <w:rFonts w:ascii="Thesans" w:hAnsi="Thesans" w:cs="Arial"/>
          <w:b/>
          <w:bCs/>
          <w:sz w:val="22"/>
          <w:szCs w:val="22"/>
          <w:lang w:eastAsia="nl-NL"/>
        </w:rPr>
        <w:t>Datalekken</w:t>
      </w:r>
      <w:bookmarkEnd w:id="7"/>
    </w:p>
    <w:p w14:paraId="3F710333" w14:textId="77777777" w:rsidR="00440889" w:rsidRPr="008E1B3B" w:rsidRDefault="00440889" w:rsidP="00B563F7">
      <w:pPr>
        <w:pStyle w:val="Geenafstand"/>
        <w:contextualSpacing/>
        <w:rPr>
          <w:lang w:val="nl-NL" w:eastAsia="nl-NL"/>
        </w:rPr>
      </w:pPr>
    </w:p>
    <w:p w14:paraId="2C350CEA" w14:textId="77777777" w:rsidR="007D6114" w:rsidRPr="008E1B3B" w:rsidRDefault="007D6114" w:rsidP="00B563F7">
      <w:pPr>
        <w:widowControl w:val="0"/>
        <w:numPr>
          <w:ilvl w:val="0"/>
          <w:numId w:val="32"/>
        </w:numPr>
        <w:tabs>
          <w:tab w:val="left" w:pos="654"/>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In het geval van een Datalek (waaronder wordt verstaan: een Inbreuk in verband met Persoonsgegevens in de zin van artikel 4 onder 12 AVG) ten aanzien van Persoonsgegevens die door één der Partijen aan de andere Partij zijn verstrekt, zullen Partijen elkaar onverwijld op de hoogte stellen. Deze meldplicht behelst in ieder geval het melden van het feit dat er een Datalek is geweest, alsmede:</w:t>
      </w:r>
    </w:p>
    <w:p w14:paraId="0A3D468D" w14:textId="77777777" w:rsidR="007D6114" w:rsidRPr="008E1B3B" w:rsidRDefault="007D6114" w:rsidP="00B563F7">
      <w:pPr>
        <w:widowControl w:val="0"/>
        <w:numPr>
          <w:ilvl w:val="0"/>
          <w:numId w:val="33"/>
        </w:numPr>
        <w:spacing w:line="240" w:lineRule="atLeast"/>
        <w:ind w:left="993" w:hanging="426"/>
        <w:contextualSpacing/>
        <w:jc w:val="both"/>
        <w:rPr>
          <w:rFonts w:ascii="Thesans" w:hAnsi="Thesans" w:cs="Arial"/>
          <w:sz w:val="22"/>
          <w:szCs w:val="22"/>
          <w:lang w:eastAsia="nl-NL"/>
        </w:rPr>
      </w:pPr>
      <w:r w:rsidRPr="008E1B3B">
        <w:rPr>
          <w:rFonts w:ascii="Thesans" w:hAnsi="Thesans" w:cs="Arial"/>
          <w:sz w:val="22"/>
          <w:szCs w:val="22"/>
          <w:lang w:eastAsia="nl-NL"/>
        </w:rPr>
        <w:t>Wat de (vermeende) oorzaak is van het Datalek;</w:t>
      </w:r>
    </w:p>
    <w:p w14:paraId="6BC84505" w14:textId="77777777" w:rsidR="007D6114" w:rsidRPr="008E1B3B" w:rsidRDefault="007D6114" w:rsidP="00B563F7">
      <w:pPr>
        <w:widowControl w:val="0"/>
        <w:numPr>
          <w:ilvl w:val="0"/>
          <w:numId w:val="33"/>
        </w:numPr>
        <w:spacing w:line="240" w:lineRule="atLeast"/>
        <w:ind w:left="993" w:hanging="426"/>
        <w:contextualSpacing/>
        <w:jc w:val="both"/>
        <w:rPr>
          <w:rFonts w:ascii="Thesans" w:hAnsi="Thesans" w:cs="Arial"/>
          <w:sz w:val="22"/>
          <w:szCs w:val="22"/>
          <w:lang w:eastAsia="nl-NL"/>
        </w:rPr>
      </w:pPr>
      <w:r w:rsidRPr="008E1B3B">
        <w:rPr>
          <w:rFonts w:ascii="Thesans" w:hAnsi="Thesans" w:cs="Arial"/>
          <w:sz w:val="22"/>
          <w:szCs w:val="22"/>
          <w:lang w:eastAsia="nl-NL"/>
        </w:rPr>
        <w:t>Welke Persoonsgegevens er zijn gelekt en van welke Betrokkenen deze gegevens zijn;</w:t>
      </w:r>
    </w:p>
    <w:p w14:paraId="7D0CBAB0" w14:textId="77777777" w:rsidR="007D6114" w:rsidRPr="008E1B3B" w:rsidRDefault="007D6114" w:rsidP="00B563F7">
      <w:pPr>
        <w:widowControl w:val="0"/>
        <w:numPr>
          <w:ilvl w:val="0"/>
          <w:numId w:val="33"/>
        </w:numPr>
        <w:spacing w:line="240" w:lineRule="atLeast"/>
        <w:ind w:left="993" w:hanging="426"/>
        <w:contextualSpacing/>
        <w:jc w:val="both"/>
        <w:rPr>
          <w:rFonts w:ascii="Thesans" w:hAnsi="Thesans" w:cs="Arial"/>
          <w:sz w:val="22"/>
          <w:szCs w:val="22"/>
          <w:lang w:eastAsia="nl-NL"/>
        </w:rPr>
      </w:pPr>
      <w:r w:rsidRPr="008E1B3B">
        <w:rPr>
          <w:rFonts w:ascii="Thesans" w:hAnsi="Thesans" w:cs="Arial"/>
          <w:sz w:val="22"/>
          <w:szCs w:val="22"/>
          <w:lang w:eastAsia="nl-NL"/>
        </w:rPr>
        <w:t>Aantal personen waarvan de gegevens zijn gelekt (indien niet bekend het minimale of maximale aantal gegevens);</w:t>
      </w:r>
    </w:p>
    <w:p w14:paraId="6C62E51A" w14:textId="059A73E4" w:rsidR="007D6114" w:rsidRPr="008E1B3B" w:rsidRDefault="007D6114" w:rsidP="00B563F7">
      <w:pPr>
        <w:widowControl w:val="0"/>
        <w:numPr>
          <w:ilvl w:val="0"/>
          <w:numId w:val="33"/>
        </w:numPr>
        <w:spacing w:line="240" w:lineRule="atLeast"/>
        <w:ind w:left="993" w:hanging="426"/>
        <w:contextualSpacing/>
        <w:jc w:val="both"/>
        <w:rPr>
          <w:rFonts w:ascii="Thesans" w:hAnsi="Thesans" w:cs="Arial"/>
          <w:sz w:val="22"/>
          <w:szCs w:val="22"/>
          <w:lang w:eastAsia="nl-NL"/>
        </w:rPr>
      </w:pPr>
      <w:r w:rsidRPr="008E1B3B">
        <w:rPr>
          <w:rFonts w:ascii="Thesans" w:hAnsi="Thesans" w:cs="Arial"/>
          <w:sz w:val="22"/>
          <w:szCs w:val="22"/>
          <w:lang w:eastAsia="nl-NL"/>
        </w:rPr>
        <w:t>Datum waarop het Datalek heeft plaatsgevonden (wanneer er geen datum bekend is, de periode waarbinnen het Datalek heeft plaatsgevonden);</w:t>
      </w:r>
    </w:p>
    <w:p w14:paraId="4F7805B8" w14:textId="77777777" w:rsidR="008E1B3B" w:rsidRPr="008E1B3B" w:rsidRDefault="008E1B3B" w:rsidP="008E1B3B">
      <w:pPr>
        <w:widowControl w:val="0"/>
        <w:spacing w:line="240" w:lineRule="atLeast"/>
        <w:contextualSpacing/>
        <w:jc w:val="both"/>
        <w:rPr>
          <w:rFonts w:ascii="Thesans" w:hAnsi="Thesans" w:cs="Arial"/>
          <w:sz w:val="22"/>
          <w:szCs w:val="22"/>
          <w:lang w:eastAsia="nl-NL"/>
        </w:rPr>
      </w:pPr>
    </w:p>
    <w:p w14:paraId="37FB8F85" w14:textId="77777777" w:rsidR="008E1B3B" w:rsidRPr="008E1B3B" w:rsidRDefault="008E1B3B" w:rsidP="008E1B3B">
      <w:pPr>
        <w:widowControl w:val="0"/>
        <w:spacing w:line="240" w:lineRule="atLeast"/>
        <w:contextualSpacing/>
        <w:jc w:val="both"/>
        <w:rPr>
          <w:rFonts w:ascii="Thesans" w:hAnsi="Thesans" w:cs="Arial"/>
          <w:sz w:val="22"/>
          <w:szCs w:val="22"/>
          <w:lang w:eastAsia="nl-NL"/>
        </w:rPr>
      </w:pPr>
    </w:p>
    <w:p w14:paraId="2EC5219B" w14:textId="77777777" w:rsidR="008E1B3B" w:rsidRPr="008E1B3B" w:rsidRDefault="008E1B3B" w:rsidP="008E1B3B">
      <w:pPr>
        <w:widowControl w:val="0"/>
        <w:spacing w:line="240" w:lineRule="atLeast"/>
        <w:contextualSpacing/>
        <w:jc w:val="both"/>
        <w:rPr>
          <w:rFonts w:ascii="Thesans" w:hAnsi="Thesans" w:cs="Arial"/>
          <w:sz w:val="22"/>
          <w:szCs w:val="22"/>
          <w:lang w:eastAsia="nl-NL"/>
        </w:rPr>
      </w:pPr>
    </w:p>
    <w:p w14:paraId="75DA4531" w14:textId="77777777" w:rsidR="00314CD8" w:rsidRPr="008E1B3B" w:rsidRDefault="007D6114" w:rsidP="00B563F7">
      <w:pPr>
        <w:widowControl w:val="0"/>
        <w:numPr>
          <w:ilvl w:val="0"/>
          <w:numId w:val="33"/>
        </w:numPr>
        <w:spacing w:line="240" w:lineRule="atLeast"/>
        <w:ind w:left="993" w:hanging="426"/>
        <w:contextualSpacing/>
        <w:jc w:val="both"/>
        <w:rPr>
          <w:rFonts w:ascii="Thesans" w:hAnsi="Thesans" w:cs="Arial"/>
          <w:sz w:val="22"/>
          <w:szCs w:val="22"/>
          <w:lang w:eastAsia="nl-NL"/>
        </w:rPr>
      </w:pPr>
      <w:r w:rsidRPr="008E1B3B">
        <w:rPr>
          <w:rFonts w:ascii="Thesans" w:hAnsi="Thesans" w:cs="Arial"/>
          <w:sz w:val="22"/>
          <w:szCs w:val="22"/>
          <w:lang w:eastAsia="nl-NL"/>
        </w:rPr>
        <w:t>Datum en tijdstip waarop het Datalek bekend is geworden bij een Partij (of bij een door deze Partij ingeschakelde derde);</w:t>
      </w:r>
    </w:p>
    <w:p w14:paraId="654C261C" w14:textId="2671C689" w:rsidR="007D6114" w:rsidRPr="008E1B3B" w:rsidRDefault="007D6114" w:rsidP="00B563F7">
      <w:pPr>
        <w:widowControl w:val="0"/>
        <w:numPr>
          <w:ilvl w:val="0"/>
          <w:numId w:val="33"/>
        </w:numPr>
        <w:spacing w:line="240" w:lineRule="atLeast"/>
        <w:ind w:left="993" w:hanging="426"/>
        <w:contextualSpacing/>
        <w:jc w:val="both"/>
        <w:rPr>
          <w:rFonts w:ascii="Thesans" w:hAnsi="Thesans" w:cs="Arial"/>
          <w:sz w:val="22"/>
          <w:szCs w:val="22"/>
          <w:lang w:eastAsia="nl-NL"/>
        </w:rPr>
      </w:pPr>
      <w:r w:rsidRPr="008E1B3B">
        <w:rPr>
          <w:rFonts w:ascii="Thesans" w:hAnsi="Thesans" w:cs="Arial"/>
          <w:sz w:val="22"/>
          <w:szCs w:val="22"/>
          <w:lang w:eastAsia="nl-NL"/>
        </w:rPr>
        <w:t>Of de gegevens versleuteld/gehasht of op een andere manier ontoegankelijk waren gemaakt voor onbevoegden;</w:t>
      </w:r>
    </w:p>
    <w:p w14:paraId="34F53F48" w14:textId="27B8332A" w:rsidR="00314CD8" w:rsidRPr="008E1B3B" w:rsidRDefault="007D6114" w:rsidP="00B563F7">
      <w:pPr>
        <w:widowControl w:val="0"/>
        <w:numPr>
          <w:ilvl w:val="0"/>
          <w:numId w:val="33"/>
        </w:numPr>
        <w:spacing w:line="240" w:lineRule="atLeast"/>
        <w:ind w:left="993" w:hanging="426"/>
        <w:contextualSpacing/>
        <w:jc w:val="both"/>
        <w:rPr>
          <w:rFonts w:ascii="Thesans" w:hAnsi="Thesans" w:cs="Arial"/>
          <w:sz w:val="22"/>
          <w:szCs w:val="22"/>
          <w:lang w:eastAsia="nl-NL"/>
        </w:rPr>
      </w:pPr>
      <w:r w:rsidRPr="008E1B3B">
        <w:rPr>
          <w:rFonts w:ascii="Thesans" w:hAnsi="Thesans" w:cs="Arial"/>
          <w:sz w:val="22"/>
          <w:szCs w:val="22"/>
          <w:lang w:eastAsia="nl-NL"/>
        </w:rPr>
        <w:t>Wat het (vooralsnog bekende en/of te verwachten) gevolg is;</w:t>
      </w:r>
    </w:p>
    <w:p w14:paraId="1348D1FB" w14:textId="146655C6" w:rsidR="007D6114" w:rsidRPr="008E1B3B" w:rsidRDefault="007D6114" w:rsidP="00B563F7">
      <w:pPr>
        <w:widowControl w:val="0"/>
        <w:numPr>
          <w:ilvl w:val="0"/>
          <w:numId w:val="33"/>
        </w:numPr>
        <w:spacing w:line="240" w:lineRule="atLeast"/>
        <w:ind w:left="993" w:hanging="426"/>
        <w:contextualSpacing/>
        <w:jc w:val="both"/>
        <w:rPr>
          <w:rFonts w:ascii="Thesans" w:hAnsi="Thesans" w:cs="Arial"/>
          <w:sz w:val="22"/>
          <w:szCs w:val="22"/>
          <w:lang w:eastAsia="nl-NL"/>
        </w:rPr>
      </w:pPr>
      <w:r w:rsidRPr="008E1B3B">
        <w:rPr>
          <w:rFonts w:ascii="Thesans" w:hAnsi="Thesans" w:cs="Arial"/>
          <w:sz w:val="22"/>
          <w:szCs w:val="22"/>
          <w:lang w:eastAsia="nl-NL"/>
        </w:rPr>
        <w:t>Wat de (voorgestelde) oplossing is;</w:t>
      </w:r>
    </w:p>
    <w:p w14:paraId="6BAC3E2E" w14:textId="77777777" w:rsidR="007D6114" w:rsidRPr="008E1B3B" w:rsidRDefault="007D6114" w:rsidP="00B563F7">
      <w:pPr>
        <w:widowControl w:val="0"/>
        <w:numPr>
          <w:ilvl w:val="0"/>
          <w:numId w:val="33"/>
        </w:numPr>
        <w:spacing w:line="240" w:lineRule="atLeast"/>
        <w:ind w:left="993" w:hanging="426"/>
        <w:contextualSpacing/>
        <w:jc w:val="both"/>
        <w:rPr>
          <w:rFonts w:ascii="Thesans" w:hAnsi="Thesans" w:cs="Arial"/>
          <w:sz w:val="22"/>
          <w:szCs w:val="22"/>
          <w:lang w:eastAsia="nl-NL"/>
        </w:rPr>
      </w:pPr>
      <w:r w:rsidRPr="008E1B3B">
        <w:rPr>
          <w:rFonts w:ascii="Thesans" w:hAnsi="Thesans" w:cs="Arial"/>
          <w:sz w:val="22"/>
          <w:szCs w:val="22"/>
          <w:lang w:eastAsia="nl-NL"/>
        </w:rPr>
        <w:t>Wat de contactgegevens voor de opvolging van de melding zijn;</w:t>
      </w:r>
    </w:p>
    <w:p w14:paraId="2773F459" w14:textId="77777777" w:rsidR="00314CD8" w:rsidRPr="008E1B3B" w:rsidRDefault="007D6114" w:rsidP="00B563F7">
      <w:pPr>
        <w:widowControl w:val="0"/>
        <w:numPr>
          <w:ilvl w:val="0"/>
          <w:numId w:val="33"/>
        </w:numPr>
        <w:spacing w:line="240" w:lineRule="atLeast"/>
        <w:ind w:left="993" w:hanging="426"/>
        <w:contextualSpacing/>
        <w:jc w:val="both"/>
        <w:rPr>
          <w:rFonts w:ascii="Thesans" w:hAnsi="Thesans" w:cs="Arial"/>
          <w:sz w:val="22"/>
          <w:szCs w:val="22"/>
          <w:lang w:eastAsia="nl-NL"/>
        </w:rPr>
      </w:pPr>
      <w:r w:rsidRPr="008E1B3B">
        <w:rPr>
          <w:rFonts w:ascii="Thesans" w:hAnsi="Thesans" w:cs="Arial"/>
          <w:sz w:val="22"/>
          <w:szCs w:val="22"/>
          <w:lang w:eastAsia="nl-NL"/>
        </w:rPr>
        <w:t>Wie geïnformeerd is (zoals de Betrokkenen zelf of de toezichthouder);</w:t>
      </w:r>
    </w:p>
    <w:p w14:paraId="5B9AA0E0" w14:textId="4BDAE444" w:rsidR="007D6114" w:rsidRPr="008E1B3B" w:rsidRDefault="007D6114" w:rsidP="00B563F7">
      <w:pPr>
        <w:widowControl w:val="0"/>
        <w:numPr>
          <w:ilvl w:val="0"/>
          <w:numId w:val="33"/>
        </w:numPr>
        <w:spacing w:line="240" w:lineRule="atLeast"/>
        <w:ind w:left="993" w:hanging="426"/>
        <w:contextualSpacing/>
        <w:jc w:val="both"/>
        <w:rPr>
          <w:rFonts w:ascii="Thesans" w:hAnsi="Thesans" w:cs="Arial"/>
          <w:sz w:val="22"/>
          <w:szCs w:val="22"/>
          <w:lang w:eastAsia="nl-NL"/>
        </w:rPr>
      </w:pPr>
      <w:r w:rsidRPr="008E1B3B">
        <w:rPr>
          <w:rFonts w:ascii="Thesans" w:hAnsi="Thesans" w:cs="Arial"/>
          <w:sz w:val="22"/>
          <w:szCs w:val="22"/>
          <w:lang w:eastAsia="nl-NL"/>
        </w:rPr>
        <w:t>Wat de reeds ondernomen maatregelen zijn om het Datalek te dichten en herhaling te voorkomen.</w:t>
      </w:r>
    </w:p>
    <w:p w14:paraId="561A8931" w14:textId="06F52420" w:rsidR="007D6114" w:rsidRPr="008E1B3B" w:rsidRDefault="007D6114" w:rsidP="00B563F7">
      <w:pPr>
        <w:widowControl w:val="0"/>
        <w:numPr>
          <w:ilvl w:val="0"/>
          <w:numId w:val="32"/>
        </w:numPr>
        <w:tabs>
          <w:tab w:val="left" w:pos="656"/>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 xml:space="preserve">Indien </w:t>
      </w:r>
      <w:r w:rsidR="00B563F7" w:rsidRPr="008E1B3B">
        <w:rPr>
          <w:rFonts w:ascii="Thesans" w:hAnsi="Thesans" w:cs="Arial"/>
          <w:sz w:val="22"/>
          <w:szCs w:val="22"/>
          <w:lang w:eastAsia="nl-NL"/>
        </w:rPr>
        <w:t xml:space="preserve">Opdrachtgever </w:t>
      </w:r>
      <w:r w:rsidRPr="008E1B3B">
        <w:rPr>
          <w:rFonts w:ascii="Thesans" w:hAnsi="Thesans" w:cs="Arial"/>
          <w:sz w:val="22"/>
          <w:szCs w:val="22"/>
          <w:lang w:eastAsia="nl-NL"/>
        </w:rPr>
        <w:t xml:space="preserve"> een datalek constateert (zoals omschreven in artikel 6 lid 1 van deze Gegevensuitwisselingsovereenkomst) zal de kennisgeving zowel per e-mail als telefonisch plaatsvinden. Het e-mailadres is </w:t>
      </w:r>
      <w:r w:rsidR="00334DF5" w:rsidRPr="008E1B3B">
        <w:rPr>
          <w:rFonts w:ascii="Thesans" w:hAnsi="Thesans" w:cs="Arial"/>
          <w:sz w:val="22"/>
          <w:szCs w:val="22"/>
          <w:highlight w:val="yellow"/>
          <w:lang w:eastAsia="nl-NL"/>
        </w:rPr>
        <w:t xml:space="preserve">……………. </w:t>
      </w:r>
      <w:r w:rsidR="00334DF5" w:rsidRPr="008E1B3B">
        <w:rPr>
          <w:rFonts w:ascii="Thesans" w:hAnsi="Thesans" w:cs="Arial"/>
          <w:sz w:val="22"/>
          <w:szCs w:val="22"/>
          <w:lang w:eastAsia="nl-NL"/>
        </w:rPr>
        <w:t xml:space="preserve"> </w:t>
      </w:r>
      <w:r w:rsidRPr="008E1B3B">
        <w:rPr>
          <w:rFonts w:ascii="Thesans" w:hAnsi="Thesans" w:cs="Arial"/>
          <w:sz w:val="22"/>
          <w:szCs w:val="22"/>
          <w:lang w:eastAsia="nl-NL"/>
        </w:rPr>
        <w:t>en het telefoonnummer is</w:t>
      </w:r>
      <w:r w:rsidR="00334DF5" w:rsidRPr="008E1B3B">
        <w:rPr>
          <w:rFonts w:ascii="Thesans" w:hAnsi="Thesans" w:cs="Arial"/>
          <w:b/>
          <w:bCs/>
          <w:sz w:val="22"/>
          <w:szCs w:val="22"/>
          <w:lang w:eastAsia="nl-NL"/>
        </w:rPr>
        <w:t xml:space="preserve">  </w:t>
      </w:r>
      <w:r w:rsidR="00334DF5" w:rsidRPr="008E1B3B">
        <w:rPr>
          <w:rFonts w:ascii="Thesans" w:hAnsi="Thesans" w:cs="Arial"/>
          <w:b/>
          <w:bCs/>
          <w:sz w:val="22"/>
          <w:szCs w:val="22"/>
          <w:highlight w:val="yellow"/>
          <w:lang w:eastAsia="nl-NL"/>
        </w:rPr>
        <w:t>…………</w:t>
      </w:r>
      <w:r w:rsidRPr="008E1B3B">
        <w:rPr>
          <w:rFonts w:ascii="Thesans" w:hAnsi="Thesans" w:cs="Arial"/>
          <w:b/>
          <w:bCs/>
          <w:sz w:val="22"/>
          <w:szCs w:val="22"/>
          <w:highlight w:val="yellow"/>
          <w:lang w:eastAsia="nl-NL"/>
        </w:rPr>
        <w:t>.</w:t>
      </w:r>
    </w:p>
    <w:p w14:paraId="530DF225" w14:textId="77777777" w:rsidR="007D6114" w:rsidRPr="008E1B3B" w:rsidRDefault="007D6114" w:rsidP="00B563F7">
      <w:pPr>
        <w:widowControl w:val="0"/>
        <w:numPr>
          <w:ilvl w:val="0"/>
          <w:numId w:val="32"/>
        </w:numPr>
        <w:tabs>
          <w:tab w:val="left" w:pos="656"/>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 xml:space="preserve">Indien Opdrachtnemer een datalek constateert (zoals omschreven in artikel 6 lid 1 van deze Gegevensuitwisselingsovereenkomst) zal de kennisgeving zowel per e-mail als telefonisch plaatsvinden. Het e-mailadres is: </w:t>
      </w:r>
      <w:hyperlink r:id="rId12" w:history="1">
        <w:r w:rsidRPr="008E1B3B">
          <w:rPr>
            <w:rFonts w:ascii="Thesans" w:hAnsi="Thesans" w:cs="Arial"/>
            <w:b/>
            <w:bCs/>
            <w:sz w:val="22"/>
            <w:szCs w:val="22"/>
          </w:rPr>
          <w:t>ictservicedesk@coa.nl</w:t>
        </w:r>
      </w:hyperlink>
      <w:r w:rsidRPr="008E1B3B">
        <w:rPr>
          <w:rFonts w:ascii="Thesans" w:hAnsi="Thesans" w:cs="Arial"/>
          <w:b/>
          <w:bCs/>
          <w:sz w:val="22"/>
          <w:szCs w:val="22"/>
        </w:rPr>
        <w:t xml:space="preserve">, </w:t>
      </w:r>
      <w:r w:rsidRPr="008E1B3B">
        <w:rPr>
          <w:rFonts w:ascii="Thesans" w:hAnsi="Thesans" w:cs="Arial"/>
          <w:sz w:val="22"/>
          <w:szCs w:val="22"/>
          <w:lang w:eastAsia="nl-NL"/>
        </w:rPr>
        <w:t xml:space="preserve">het telefoonnummer is </w:t>
      </w:r>
      <w:r w:rsidRPr="008E1B3B">
        <w:rPr>
          <w:rFonts w:ascii="Thesans" w:hAnsi="Thesans" w:cs="Arial"/>
          <w:b/>
          <w:bCs/>
          <w:sz w:val="22"/>
          <w:szCs w:val="22"/>
          <w:lang w:eastAsia="nl-NL"/>
        </w:rPr>
        <w:t>088-715 7374.</w:t>
      </w:r>
    </w:p>
    <w:p w14:paraId="590F4B02" w14:textId="77777777" w:rsidR="007D6114" w:rsidRPr="008E1B3B" w:rsidRDefault="007D6114" w:rsidP="00B563F7">
      <w:pPr>
        <w:widowControl w:val="0"/>
        <w:numPr>
          <w:ilvl w:val="0"/>
          <w:numId w:val="32"/>
        </w:numPr>
        <w:tabs>
          <w:tab w:val="left" w:pos="656"/>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Naar aanleiding van de melding (zoals omschreven in artikel 6 lid 1, 2 en 3 van deze Gegevensuitwisselingsovereenkomst) zullen Partijen in goed overleg bespreken wat de (mogelijke) gevolgen van het datalek zijn voor de Partij die de Persoonsgegevens heeft verstrekt.</w:t>
      </w:r>
    </w:p>
    <w:p w14:paraId="3ABD7633" w14:textId="77777777" w:rsidR="007D6114" w:rsidRPr="008E1B3B" w:rsidRDefault="007D6114" w:rsidP="00B563F7">
      <w:pPr>
        <w:widowControl w:val="0"/>
        <w:numPr>
          <w:ilvl w:val="0"/>
          <w:numId w:val="32"/>
        </w:numPr>
        <w:tabs>
          <w:tab w:val="left" w:pos="656"/>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Partijen zijn en blijven ieder zelfstandig verantwoordelijk voor het melden van een datalek aan de Autoriteit Persoonsgegevens en/of Betrokkenen, indien het datalek onder haar verantwoordelijkheid heeft plaatsgevonden.</w:t>
      </w:r>
    </w:p>
    <w:p w14:paraId="05B1C002" w14:textId="77777777" w:rsidR="00FF10AC" w:rsidRPr="008E1B3B" w:rsidRDefault="00FF10AC" w:rsidP="00B563F7">
      <w:pPr>
        <w:pStyle w:val="Geenafstand"/>
        <w:rPr>
          <w:lang w:val="nl-NL" w:eastAsia="nl-NL"/>
        </w:rPr>
      </w:pPr>
    </w:p>
    <w:p w14:paraId="116C60A4" w14:textId="56DAB180" w:rsidR="007D6114" w:rsidRPr="008E1B3B" w:rsidRDefault="007D6114" w:rsidP="00B563F7">
      <w:pPr>
        <w:keepNext/>
        <w:keepLines/>
        <w:widowControl w:val="0"/>
        <w:spacing w:line="240" w:lineRule="atLeast"/>
        <w:ind w:left="567" w:hanging="567"/>
        <w:contextualSpacing/>
        <w:jc w:val="both"/>
        <w:outlineLvl w:val="2"/>
        <w:rPr>
          <w:rFonts w:ascii="Thesans" w:hAnsi="Thesans" w:cs="Arial"/>
          <w:b/>
          <w:bCs/>
          <w:sz w:val="22"/>
          <w:szCs w:val="22"/>
          <w:lang w:eastAsia="nl-NL"/>
        </w:rPr>
      </w:pPr>
      <w:bookmarkStart w:id="8" w:name="bookmark18"/>
      <w:r w:rsidRPr="008E1B3B">
        <w:rPr>
          <w:rFonts w:ascii="Thesans" w:hAnsi="Thesans" w:cs="Arial"/>
          <w:b/>
          <w:bCs/>
          <w:sz w:val="22"/>
          <w:szCs w:val="22"/>
          <w:lang w:eastAsia="nl-NL"/>
        </w:rPr>
        <w:t xml:space="preserve">7. </w:t>
      </w:r>
      <w:r w:rsidR="00FF10AC" w:rsidRPr="008E1B3B">
        <w:rPr>
          <w:rFonts w:ascii="Thesans" w:hAnsi="Thesans" w:cs="Arial"/>
          <w:b/>
          <w:bCs/>
          <w:sz w:val="22"/>
          <w:szCs w:val="22"/>
          <w:lang w:eastAsia="nl-NL"/>
        </w:rPr>
        <w:tab/>
      </w:r>
      <w:r w:rsidRPr="008E1B3B">
        <w:rPr>
          <w:rFonts w:ascii="Thesans" w:hAnsi="Thesans" w:cs="Arial"/>
          <w:b/>
          <w:bCs/>
          <w:sz w:val="22"/>
          <w:szCs w:val="22"/>
          <w:lang w:eastAsia="nl-NL"/>
        </w:rPr>
        <w:t>Rechten van Betrokkenen</w:t>
      </w:r>
      <w:bookmarkEnd w:id="8"/>
    </w:p>
    <w:p w14:paraId="506B1010" w14:textId="77777777" w:rsidR="00FF10AC" w:rsidRPr="008E1B3B" w:rsidRDefault="00FF10AC" w:rsidP="00B563F7">
      <w:pPr>
        <w:pStyle w:val="Geenafstand"/>
        <w:contextualSpacing/>
        <w:rPr>
          <w:lang w:val="nl-NL" w:eastAsia="nl-NL"/>
        </w:rPr>
      </w:pPr>
    </w:p>
    <w:p w14:paraId="05C42C74" w14:textId="77777777" w:rsidR="007D6114" w:rsidRPr="008E1B3B" w:rsidRDefault="007D6114" w:rsidP="00B563F7">
      <w:pPr>
        <w:widowControl w:val="0"/>
        <w:numPr>
          <w:ilvl w:val="0"/>
          <w:numId w:val="34"/>
        </w:numPr>
        <w:tabs>
          <w:tab w:val="left" w:pos="656"/>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In het geval dat een Betrokkene een verzoek in de zin van de artikelen 15 tot en met 22 A VG richt aan een van de Partijen, zal deze Partij het verzoek zelfstandig afhandelen indien het verzoek verband houdt met een Verwerking waarvoor de betreffende Partij Verwerkingsverantwoordelijke is.</w:t>
      </w:r>
    </w:p>
    <w:p w14:paraId="51EA0C72" w14:textId="39CCA2F0" w:rsidR="007D6114" w:rsidRPr="008E1B3B" w:rsidRDefault="007D6114" w:rsidP="00B563F7">
      <w:pPr>
        <w:widowControl w:val="0"/>
        <w:numPr>
          <w:ilvl w:val="0"/>
          <w:numId w:val="34"/>
        </w:numPr>
        <w:tabs>
          <w:tab w:val="left" w:pos="656"/>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Indien het verzoek (zoals omschreven in artikel 7 lid 1 van deze Gegevensuitwisselings</w:t>
      </w:r>
      <w:r w:rsidR="0013072E" w:rsidRPr="008E1B3B">
        <w:rPr>
          <w:rFonts w:ascii="Thesans" w:hAnsi="Thesans" w:cs="Arial"/>
          <w:sz w:val="22"/>
          <w:szCs w:val="22"/>
          <w:lang w:eastAsia="nl-NL"/>
        </w:rPr>
        <w:t>-</w:t>
      </w:r>
      <w:r w:rsidRPr="008E1B3B">
        <w:rPr>
          <w:rFonts w:ascii="Thesans" w:hAnsi="Thesans" w:cs="Arial"/>
          <w:sz w:val="22"/>
          <w:szCs w:val="22"/>
          <w:lang w:eastAsia="nl-NL"/>
        </w:rPr>
        <w:t>overeenkomst) verband houdt met een Verwerking waarvoor de andere Partij Verwerkingsverantwoordelijke is, dan zal de Partij die het verzoek heeft ontvangen het verzoek onverwijld doorsturen aan de andere Partij. Hiervan mag een kennisgeving worden verstrekt aan de Betrokkene die het verzoek heeft ingediend.</w:t>
      </w:r>
    </w:p>
    <w:p w14:paraId="04643712" w14:textId="77777777" w:rsidR="0013072E" w:rsidRPr="008E1B3B" w:rsidRDefault="007D6114" w:rsidP="00B563F7">
      <w:pPr>
        <w:keepNext/>
        <w:keepLines/>
        <w:widowControl w:val="0"/>
        <w:numPr>
          <w:ilvl w:val="0"/>
          <w:numId w:val="34"/>
        </w:numPr>
        <w:tabs>
          <w:tab w:val="left" w:pos="656"/>
        </w:tabs>
        <w:spacing w:line="240" w:lineRule="atLeast"/>
        <w:ind w:left="567" w:hanging="567"/>
        <w:contextualSpacing/>
        <w:jc w:val="both"/>
        <w:outlineLvl w:val="2"/>
        <w:rPr>
          <w:rFonts w:ascii="Thesans" w:hAnsi="Thesans" w:cs="Arial"/>
          <w:b/>
          <w:bCs/>
          <w:sz w:val="22"/>
          <w:szCs w:val="22"/>
          <w:lang w:eastAsia="nl-NL"/>
        </w:rPr>
      </w:pPr>
      <w:r w:rsidRPr="008E1B3B">
        <w:rPr>
          <w:rFonts w:ascii="Thesans" w:hAnsi="Thesans" w:cs="Arial"/>
          <w:sz w:val="22"/>
          <w:szCs w:val="22"/>
          <w:lang w:eastAsia="nl-NL"/>
        </w:rPr>
        <w:t>Partijen zullen onverwijld over en weer de noodzakelijke inlichtingen verstrekken en medewerking verlenen, om de andere Partij in staat te stellen het verzoek (zoals omschreven in artikel 7 lid 1 van deze Gegevensuitwisselingsovereenkomst) af te handelen</w:t>
      </w:r>
      <w:bookmarkStart w:id="9" w:name="bookmark20"/>
    </w:p>
    <w:p w14:paraId="31500569" w14:textId="77777777" w:rsidR="0013072E" w:rsidRPr="008E1B3B" w:rsidRDefault="0013072E" w:rsidP="00B563F7">
      <w:pPr>
        <w:keepNext/>
        <w:keepLines/>
        <w:widowControl w:val="0"/>
        <w:tabs>
          <w:tab w:val="left" w:pos="656"/>
        </w:tabs>
        <w:spacing w:line="240" w:lineRule="atLeast"/>
        <w:contextualSpacing/>
        <w:jc w:val="both"/>
        <w:outlineLvl w:val="2"/>
        <w:rPr>
          <w:rFonts w:ascii="Thesans" w:hAnsi="Thesans" w:cs="Arial"/>
          <w:b/>
          <w:bCs/>
          <w:sz w:val="22"/>
          <w:szCs w:val="22"/>
          <w:lang w:eastAsia="nl-NL"/>
        </w:rPr>
      </w:pPr>
    </w:p>
    <w:p w14:paraId="77857D78" w14:textId="5E424C0C" w:rsidR="007D6114" w:rsidRPr="008E1B3B" w:rsidRDefault="007D6114" w:rsidP="00B563F7">
      <w:pPr>
        <w:keepNext/>
        <w:keepLines/>
        <w:widowControl w:val="0"/>
        <w:tabs>
          <w:tab w:val="left" w:pos="656"/>
        </w:tabs>
        <w:spacing w:line="240" w:lineRule="atLeast"/>
        <w:contextualSpacing/>
        <w:jc w:val="both"/>
        <w:outlineLvl w:val="2"/>
        <w:rPr>
          <w:rFonts w:ascii="Thesans" w:hAnsi="Thesans" w:cs="Arial"/>
          <w:b/>
          <w:bCs/>
          <w:sz w:val="22"/>
          <w:szCs w:val="22"/>
          <w:lang w:eastAsia="nl-NL"/>
        </w:rPr>
      </w:pPr>
      <w:r w:rsidRPr="008E1B3B">
        <w:rPr>
          <w:rFonts w:ascii="Thesans" w:hAnsi="Thesans" w:cs="Arial"/>
          <w:b/>
          <w:bCs/>
          <w:sz w:val="22"/>
          <w:szCs w:val="22"/>
          <w:lang w:eastAsia="nl-NL"/>
        </w:rPr>
        <w:t xml:space="preserve">8. </w:t>
      </w:r>
      <w:r w:rsidR="0013072E" w:rsidRPr="008E1B3B">
        <w:rPr>
          <w:rFonts w:ascii="Thesans" w:hAnsi="Thesans" w:cs="Arial"/>
          <w:b/>
          <w:bCs/>
          <w:sz w:val="22"/>
          <w:szCs w:val="22"/>
          <w:lang w:eastAsia="nl-NL"/>
        </w:rPr>
        <w:tab/>
      </w:r>
      <w:r w:rsidRPr="008E1B3B">
        <w:rPr>
          <w:rFonts w:ascii="Thesans" w:hAnsi="Thesans" w:cs="Arial"/>
          <w:b/>
          <w:bCs/>
          <w:sz w:val="22"/>
          <w:szCs w:val="22"/>
          <w:lang w:eastAsia="nl-NL"/>
        </w:rPr>
        <w:t>Financiële verplichtingen</w:t>
      </w:r>
      <w:bookmarkEnd w:id="9"/>
    </w:p>
    <w:p w14:paraId="37ADD4F0" w14:textId="77777777" w:rsidR="0013072E" w:rsidRPr="008E1B3B" w:rsidRDefault="0013072E" w:rsidP="00B563F7">
      <w:pPr>
        <w:keepNext/>
        <w:keepLines/>
        <w:widowControl w:val="0"/>
        <w:tabs>
          <w:tab w:val="left" w:pos="656"/>
        </w:tabs>
        <w:spacing w:line="240" w:lineRule="atLeast"/>
        <w:contextualSpacing/>
        <w:jc w:val="both"/>
        <w:outlineLvl w:val="2"/>
        <w:rPr>
          <w:rFonts w:ascii="Thesans" w:hAnsi="Thesans" w:cs="Arial"/>
          <w:b/>
          <w:bCs/>
          <w:sz w:val="22"/>
          <w:szCs w:val="22"/>
          <w:lang w:eastAsia="nl-NL"/>
        </w:rPr>
      </w:pPr>
    </w:p>
    <w:p w14:paraId="572B65B2" w14:textId="77777777" w:rsidR="007D6114" w:rsidRPr="008E1B3B" w:rsidRDefault="007D6114" w:rsidP="00B563F7">
      <w:pPr>
        <w:widowControl w:val="0"/>
        <w:numPr>
          <w:ilvl w:val="0"/>
          <w:numId w:val="35"/>
        </w:numPr>
        <w:tabs>
          <w:tab w:val="left" w:pos="660"/>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Partijen dragen in beginsel de kosten en de benodigde inzet van mensen en middelen ter inrichting en uitvoering van deze Gegevensuitwisselingsovereenkomst zelf. Elke partij draagt verantwoordelijkheid en daarmee de kosten die zijn verbonden aan het eigen proces.</w:t>
      </w:r>
    </w:p>
    <w:p w14:paraId="36E9364E" w14:textId="77777777" w:rsidR="007D6114" w:rsidRPr="008E1B3B" w:rsidRDefault="007D6114" w:rsidP="00B563F7">
      <w:pPr>
        <w:widowControl w:val="0"/>
        <w:numPr>
          <w:ilvl w:val="0"/>
          <w:numId w:val="35"/>
        </w:numPr>
        <w:tabs>
          <w:tab w:val="left" w:pos="660"/>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 xml:space="preserve">Indien er aanleiding is om in specifieke gevallen af te wijken van het in het eerste lid gestelde, worden deze afspraken vastgelegd in </w:t>
      </w:r>
      <w:r w:rsidRPr="008E1B3B">
        <w:rPr>
          <w:rFonts w:ascii="Thesans" w:hAnsi="Thesans" w:cs="Arial"/>
          <w:sz w:val="22"/>
          <w:szCs w:val="22"/>
          <w:u w:val="single"/>
          <w:lang w:eastAsia="nl-NL"/>
        </w:rPr>
        <w:t>bijlage 1</w:t>
      </w:r>
      <w:r w:rsidRPr="008E1B3B">
        <w:rPr>
          <w:rFonts w:ascii="Thesans" w:hAnsi="Thesans" w:cs="Arial"/>
          <w:sz w:val="22"/>
          <w:szCs w:val="22"/>
          <w:lang w:eastAsia="nl-NL"/>
        </w:rPr>
        <w:t>.</w:t>
      </w:r>
    </w:p>
    <w:p w14:paraId="721D32BE" w14:textId="77777777" w:rsidR="0013072E" w:rsidRPr="008E1B3B" w:rsidRDefault="0013072E" w:rsidP="00B563F7">
      <w:pPr>
        <w:widowControl w:val="0"/>
        <w:tabs>
          <w:tab w:val="left" w:pos="660"/>
        </w:tabs>
        <w:spacing w:line="240" w:lineRule="atLeast"/>
        <w:contextualSpacing/>
        <w:jc w:val="both"/>
        <w:rPr>
          <w:rFonts w:ascii="Thesans" w:hAnsi="Thesans" w:cs="Arial"/>
          <w:sz w:val="22"/>
          <w:szCs w:val="22"/>
          <w:lang w:eastAsia="nl-NL"/>
        </w:rPr>
      </w:pPr>
    </w:p>
    <w:p w14:paraId="293A7549" w14:textId="77777777" w:rsidR="0013072E" w:rsidRPr="008E1B3B" w:rsidRDefault="0013072E" w:rsidP="00B563F7">
      <w:pPr>
        <w:pStyle w:val="Geenafstand"/>
        <w:contextualSpacing/>
        <w:rPr>
          <w:lang w:val="nl-NL" w:eastAsia="nl-NL"/>
        </w:rPr>
      </w:pPr>
      <w:bookmarkStart w:id="10" w:name="bookmark22"/>
    </w:p>
    <w:p w14:paraId="4BCB680F" w14:textId="77777777" w:rsidR="0013072E" w:rsidRPr="008E1B3B" w:rsidRDefault="0013072E" w:rsidP="00B563F7">
      <w:pPr>
        <w:pStyle w:val="Geenafstand"/>
        <w:contextualSpacing/>
        <w:rPr>
          <w:lang w:val="nl-NL" w:eastAsia="nl-NL"/>
        </w:rPr>
      </w:pPr>
    </w:p>
    <w:p w14:paraId="19B95E23" w14:textId="77777777" w:rsidR="008E1B3B" w:rsidRPr="008E1B3B" w:rsidRDefault="008E1B3B" w:rsidP="00B563F7">
      <w:pPr>
        <w:pStyle w:val="Geenafstand"/>
        <w:contextualSpacing/>
        <w:rPr>
          <w:lang w:val="nl-NL" w:eastAsia="nl-NL"/>
        </w:rPr>
      </w:pPr>
    </w:p>
    <w:p w14:paraId="499E1FA9" w14:textId="77777777" w:rsidR="008E1B3B" w:rsidRPr="008E1B3B" w:rsidRDefault="008E1B3B" w:rsidP="00B563F7">
      <w:pPr>
        <w:pStyle w:val="Geenafstand"/>
        <w:contextualSpacing/>
        <w:rPr>
          <w:lang w:val="nl-NL" w:eastAsia="nl-NL"/>
        </w:rPr>
      </w:pPr>
    </w:p>
    <w:p w14:paraId="2BD5239B" w14:textId="42B24344" w:rsidR="007D6114" w:rsidRPr="008E1B3B" w:rsidRDefault="007D6114" w:rsidP="00B563F7">
      <w:pPr>
        <w:keepNext/>
        <w:keepLines/>
        <w:widowControl w:val="0"/>
        <w:spacing w:line="240" w:lineRule="atLeast"/>
        <w:ind w:left="567" w:hanging="567"/>
        <w:contextualSpacing/>
        <w:jc w:val="both"/>
        <w:outlineLvl w:val="2"/>
        <w:rPr>
          <w:rFonts w:ascii="Thesans" w:hAnsi="Thesans" w:cs="Arial"/>
          <w:b/>
          <w:bCs/>
          <w:sz w:val="22"/>
          <w:szCs w:val="22"/>
          <w:lang w:eastAsia="nl-NL"/>
        </w:rPr>
      </w:pPr>
      <w:r w:rsidRPr="008E1B3B">
        <w:rPr>
          <w:rFonts w:ascii="Thesans" w:hAnsi="Thesans" w:cs="Arial"/>
          <w:b/>
          <w:bCs/>
          <w:sz w:val="22"/>
          <w:szCs w:val="22"/>
          <w:lang w:eastAsia="nl-NL"/>
        </w:rPr>
        <w:t xml:space="preserve">9. </w:t>
      </w:r>
      <w:r w:rsidR="0013072E" w:rsidRPr="008E1B3B">
        <w:rPr>
          <w:rFonts w:ascii="Thesans" w:hAnsi="Thesans" w:cs="Arial"/>
          <w:b/>
          <w:bCs/>
          <w:sz w:val="22"/>
          <w:szCs w:val="22"/>
          <w:lang w:eastAsia="nl-NL"/>
        </w:rPr>
        <w:tab/>
      </w:r>
      <w:r w:rsidRPr="008E1B3B">
        <w:rPr>
          <w:rFonts w:ascii="Thesans" w:hAnsi="Thesans" w:cs="Arial"/>
          <w:b/>
          <w:bCs/>
          <w:sz w:val="22"/>
          <w:szCs w:val="22"/>
          <w:lang w:eastAsia="nl-NL"/>
        </w:rPr>
        <w:t>Contactpersonen</w:t>
      </w:r>
      <w:bookmarkEnd w:id="10"/>
    </w:p>
    <w:p w14:paraId="11668E46" w14:textId="77777777" w:rsidR="0013072E" w:rsidRPr="008E1B3B" w:rsidRDefault="0013072E" w:rsidP="00B563F7">
      <w:pPr>
        <w:keepNext/>
        <w:keepLines/>
        <w:widowControl w:val="0"/>
        <w:spacing w:line="240" w:lineRule="atLeast"/>
        <w:ind w:left="567" w:hanging="567"/>
        <w:contextualSpacing/>
        <w:jc w:val="both"/>
        <w:outlineLvl w:val="2"/>
        <w:rPr>
          <w:rFonts w:ascii="Thesans" w:hAnsi="Thesans" w:cs="Arial"/>
          <w:b/>
          <w:bCs/>
          <w:sz w:val="22"/>
          <w:szCs w:val="22"/>
          <w:lang w:eastAsia="nl-NL"/>
        </w:rPr>
      </w:pPr>
    </w:p>
    <w:p w14:paraId="2AC3BFE9" w14:textId="77777777" w:rsidR="007D6114" w:rsidRPr="008E1B3B" w:rsidRDefault="007D6114" w:rsidP="00B563F7">
      <w:pPr>
        <w:widowControl w:val="0"/>
        <w:numPr>
          <w:ilvl w:val="0"/>
          <w:numId w:val="36"/>
        </w:numPr>
        <w:tabs>
          <w:tab w:val="left" w:pos="660"/>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 xml:space="preserve">Beide Partijen wijzen een contactpersoon aan die de contacten over de uitvoering van deze Gegevensuitwisselingsovereenkomst onderhoudt. Deze zijn opgenomen in </w:t>
      </w:r>
      <w:r w:rsidRPr="008E1B3B">
        <w:rPr>
          <w:rFonts w:ascii="Thesans" w:hAnsi="Thesans" w:cs="Arial"/>
          <w:sz w:val="22"/>
          <w:szCs w:val="22"/>
          <w:u w:val="single"/>
          <w:lang w:eastAsia="nl-NL"/>
        </w:rPr>
        <w:t>bijlage 1</w:t>
      </w:r>
      <w:r w:rsidRPr="008E1B3B">
        <w:rPr>
          <w:rFonts w:ascii="Thesans" w:hAnsi="Thesans" w:cs="Arial"/>
          <w:sz w:val="22"/>
          <w:szCs w:val="22"/>
          <w:lang w:eastAsia="nl-NL"/>
        </w:rPr>
        <w:t>. Partijen informeren elkaar bij wijzigingen.</w:t>
      </w:r>
    </w:p>
    <w:p w14:paraId="32A615E0" w14:textId="77777777" w:rsidR="007D6114" w:rsidRPr="008E1B3B" w:rsidRDefault="007D6114" w:rsidP="00B563F7">
      <w:pPr>
        <w:widowControl w:val="0"/>
        <w:numPr>
          <w:ilvl w:val="0"/>
          <w:numId w:val="36"/>
        </w:numPr>
        <w:tabs>
          <w:tab w:val="left" w:pos="660"/>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Contactpersonen kunnen Partijen alleen vertegenwoordigen en binden voor zover het betreft de uitvoering van deze Gegevensuitwisselingsovereenkomst. Tot wijziging van de Gegevensuitwisselingsovereenkomst zijn zij niet bevoegd.</w:t>
      </w:r>
    </w:p>
    <w:p w14:paraId="4EAE80D2" w14:textId="77777777" w:rsidR="0013072E" w:rsidRPr="008E1B3B" w:rsidRDefault="0013072E" w:rsidP="00B563F7">
      <w:pPr>
        <w:keepNext/>
        <w:keepLines/>
        <w:widowControl w:val="0"/>
        <w:spacing w:line="240" w:lineRule="atLeast"/>
        <w:ind w:left="567" w:hanging="567"/>
        <w:contextualSpacing/>
        <w:jc w:val="both"/>
        <w:outlineLvl w:val="2"/>
        <w:rPr>
          <w:rFonts w:ascii="Thesans" w:hAnsi="Thesans" w:cs="Arial"/>
          <w:sz w:val="22"/>
          <w:szCs w:val="22"/>
          <w:lang w:eastAsia="nl-NL"/>
        </w:rPr>
      </w:pPr>
      <w:bookmarkStart w:id="11" w:name="bookmark24"/>
    </w:p>
    <w:p w14:paraId="28A2101D" w14:textId="33C1CAA8" w:rsidR="007D6114" w:rsidRPr="008E1B3B" w:rsidRDefault="007D6114" w:rsidP="00B563F7">
      <w:pPr>
        <w:keepNext/>
        <w:keepLines/>
        <w:widowControl w:val="0"/>
        <w:spacing w:line="240" w:lineRule="atLeast"/>
        <w:ind w:left="567" w:hanging="567"/>
        <w:contextualSpacing/>
        <w:jc w:val="both"/>
        <w:outlineLvl w:val="2"/>
        <w:rPr>
          <w:rFonts w:ascii="Thesans" w:hAnsi="Thesans" w:cs="Arial"/>
          <w:b/>
          <w:bCs/>
          <w:sz w:val="22"/>
          <w:szCs w:val="22"/>
          <w:lang w:eastAsia="nl-NL"/>
        </w:rPr>
      </w:pPr>
      <w:r w:rsidRPr="008E1B3B">
        <w:rPr>
          <w:rFonts w:ascii="Thesans" w:hAnsi="Thesans" w:cs="Arial"/>
          <w:b/>
          <w:bCs/>
          <w:sz w:val="22"/>
          <w:szCs w:val="22"/>
          <w:lang w:eastAsia="nl-NL"/>
        </w:rPr>
        <w:t xml:space="preserve">10. </w:t>
      </w:r>
      <w:r w:rsidR="0013072E" w:rsidRPr="008E1B3B">
        <w:rPr>
          <w:rFonts w:ascii="Thesans" w:hAnsi="Thesans" w:cs="Arial"/>
          <w:b/>
          <w:bCs/>
          <w:sz w:val="22"/>
          <w:szCs w:val="22"/>
          <w:lang w:eastAsia="nl-NL"/>
        </w:rPr>
        <w:tab/>
      </w:r>
      <w:r w:rsidRPr="008E1B3B">
        <w:rPr>
          <w:rFonts w:ascii="Thesans" w:hAnsi="Thesans" w:cs="Arial"/>
          <w:b/>
          <w:bCs/>
          <w:sz w:val="22"/>
          <w:szCs w:val="22"/>
          <w:lang w:eastAsia="nl-NL"/>
        </w:rPr>
        <w:t>Slotbepalingen</w:t>
      </w:r>
      <w:bookmarkEnd w:id="11"/>
    </w:p>
    <w:p w14:paraId="2C7D8F45" w14:textId="76AD912B" w:rsidR="0013072E" w:rsidRPr="008E1B3B" w:rsidRDefault="0013072E" w:rsidP="00B563F7">
      <w:pPr>
        <w:keepNext/>
        <w:keepLines/>
        <w:widowControl w:val="0"/>
        <w:spacing w:line="240" w:lineRule="atLeast"/>
        <w:ind w:left="567" w:hanging="567"/>
        <w:contextualSpacing/>
        <w:jc w:val="both"/>
        <w:outlineLvl w:val="2"/>
        <w:rPr>
          <w:rFonts w:ascii="Thesans" w:hAnsi="Thesans" w:cs="Arial"/>
          <w:b/>
          <w:bCs/>
          <w:sz w:val="22"/>
          <w:szCs w:val="22"/>
          <w:lang w:eastAsia="nl-NL"/>
        </w:rPr>
      </w:pPr>
    </w:p>
    <w:p w14:paraId="6C50E4ED" w14:textId="77777777" w:rsidR="007D6114" w:rsidRPr="008E1B3B" w:rsidRDefault="007D6114" w:rsidP="00B563F7">
      <w:pPr>
        <w:widowControl w:val="0"/>
        <w:numPr>
          <w:ilvl w:val="0"/>
          <w:numId w:val="37"/>
        </w:numPr>
        <w:tabs>
          <w:tab w:val="left" w:pos="660"/>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Partijen kunnen deze Gegevensuitwisselingsovereenkomst te allen tijde schriftelijk opzeggen onder opgaaf van redenen met inachtneming van de in de Overeenkomst bepaalde opzegtermijn.</w:t>
      </w:r>
    </w:p>
    <w:p w14:paraId="766B415E" w14:textId="41C6B19E" w:rsidR="007D6114" w:rsidRPr="008E1B3B" w:rsidRDefault="007D6114" w:rsidP="00B563F7">
      <w:pPr>
        <w:widowControl w:val="0"/>
        <w:numPr>
          <w:ilvl w:val="0"/>
          <w:numId w:val="37"/>
        </w:numPr>
        <w:tabs>
          <w:tab w:val="left" w:pos="660"/>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Partijen mogen deze Gegevensuitwisselingsovereenkomst alleen wijzigen met wederzijdse instemming en zullen zich inspannen om, wanneer wijzigingen in toepasselijke wet- en regelgeving daartoe aanleiding geven, een passende wijziging van deze Gegevens</w:t>
      </w:r>
      <w:r w:rsidR="0013072E" w:rsidRPr="008E1B3B">
        <w:rPr>
          <w:rFonts w:ascii="Thesans" w:hAnsi="Thesans" w:cs="Arial"/>
          <w:sz w:val="22"/>
          <w:szCs w:val="22"/>
          <w:lang w:eastAsia="nl-NL"/>
        </w:rPr>
        <w:t>-</w:t>
      </w:r>
      <w:r w:rsidRPr="008E1B3B">
        <w:rPr>
          <w:rFonts w:ascii="Thesans" w:hAnsi="Thesans" w:cs="Arial"/>
          <w:sz w:val="22"/>
          <w:szCs w:val="22"/>
          <w:lang w:eastAsia="nl-NL"/>
        </w:rPr>
        <w:t>uitwisselingsovereenkomst te bewerkstelligen. De wederzijdse instemming voor wijzigingen dient schriftelijk te geschieden.</w:t>
      </w:r>
    </w:p>
    <w:p w14:paraId="491B6DEF" w14:textId="5CD93191" w:rsidR="0013072E" w:rsidRPr="008E1B3B" w:rsidRDefault="007D6114" w:rsidP="00B563F7">
      <w:pPr>
        <w:widowControl w:val="0"/>
        <w:numPr>
          <w:ilvl w:val="0"/>
          <w:numId w:val="37"/>
        </w:numPr>
        <w:tabs>
          <w:tab w:val="left" w:pos="660"/>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Indien enige bepaling uit deze Gegevensuitwisselingsovereenkomst nietig blijkt te zijn, tast dat niet het gehele Gegevensuitwisselingsovereenkomst aan. Partijen zullen zich inspannen om de nietig verklaarde bepalingen te vervangen door nieuwe, geldige bepalingen, die de bedoeling van de nietig verklaarde bepalingen en deze Gegevensuitwisselings</w:t>
      </w:r>
      <w:r w:rsidR="0013072E" w:rsidRPr="008E1B3B">
        <w:rPr>
          <w:rFonts w:ascii="Thesans" w:hAnsi="Thesans" w:cs="Arial"/>
          <w:sz w:val="22"/>
          <w:szCs w:val="22"/>
          <w:lang w:eastAsia="nl-NL"/>
        </w:rPr>
        <w:t>-</w:t>
      </w:r>
      <w:r w:rsidRPr="008E1B3B">
        <w:rPr>
          <w:rFonts w:ascii="Thesans" w:hAnsi="Thesans" w:cs="Arial"/>
          <w:sz w:val="22"/>
          <w:szCs w:val="22"/>
          <w:lang w:eastAsia="nl-NL"/>
        </w:rPr>
        <w:t>overeenkomst zoveel mogelijk benaderen.</w:t>
      </w:r>
    </w:p>
    <w:p w14:paraId="5633AC5D" w14:textId="77777777" w:rsidR="0013072E" w:rsidRPr="008E1B3B" w:rsidRDefault="0013072E" w:rsidP="00B563F7">
      <w:pPr>
        <w:pStyle w:val="Geenafstand"/>
        <w:contextualSpacing/>
        <w:rPr>
          <w:lang w:val="nl-NL" w:eastAsia="nl-NL"/>
        </w:rPr>
      </w:pPr>
    </w:p>
    <w:p w14:paraId="0AD26728" w14:textId="5ED71268" w:rsidR="0013072E" w:rsidRPr="008E1B3B" w:rsidRDefault="0013072E" w:rsidP="00B563F7">
      <w:pPr>
        <w:pStyle w:val="Geenafstand"/>
        <w:numPr>
          <w:ilvl w:val="0"/>
          <w:numId w:val="42"/>
        </w:numPr>
        <w:tabs>
          <w:tab w:val="left" w:pos="567"/>
        </w:tabs>
        <w:contextualSpacing/>
        <w:rPr>
          <w:b/>
          <w:bCs/>
          <w:lang w:val="nl-NL" w:eastAsia="nl-NL"/>
        </w:rPr>
      </w:pPr>
      <w:r w:rsidRPr="008E1B3B">
        <w:rPr>
          <w:b/>
          <w:bCs/>
          <w:lang w:val="nl-NL" w:eastAsia="nl-NL"/>
        </w:rPr>
        <w:t>Toepasselijk recht en geschillen</w:t>
      </w:r>
    </w:p>
    <w:p w14:paraId="09D11604" w14:textId="77777777" w:rsidR="0013072E" w:rsidRPr="008E1B3B" w:rsidRDefault="0013072E" w:rsidP="00B563F7">
      <w:pPr>
        <w:pStyle w:val="Geenafstand"/>
        <w:contextualSpacing/>
        <w:rPr>
          <w:lang w:val="nl-NL"/>
        </w:rPr>
      </w:pPr>
    </w:p>
    <w:p w14:paraId="229907BC" w14:textId="5D0DBC99" w:rsidR="007D6114" w:rsidRPr="008E1B3B" w:rsidRDefault="0013072E" w:rsidP="00B563F7">
      <w:pPr>
        <w:widowControl w:val="0"/>
        <w:tabs>
          <w:tab w:val="left" w:pos="660"/>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1.</w:t>
      </w:r>
      <w:r w:rsidRPr="008E1B3B">
        <w:rPr>
          <w:rFonts w:ascii="Thesans" w:hAnsi="Thesans" w:cs="Arial"/>
          <w:sz w:val="22"/>
          <w:szCs w:val="22"/>
          <w:lang w:eastAsia="nl-NL"/>
        </w:rPr>
        <w:tab/>
      </w:r>
      <w:r w:rsidR="007D6114" w:rsidRPr="008E1B3B">
        <w:rPr>
          <w:rFonts w:ascii="Thesans" w:hAnsi="Thesans" w:cs="Arial"/>
          <w:sz w:val="22"/>
          <w:szCs w:val="22"/>
          <w:lang w:eastAsia="nl-NL"/>
        </w:rPr>
        <w:t>Deze Gegevensuitwisselingsovereenkomst en de uitvoering daarvan worden beheerst door Nederlands recht.</w:t>
      </w:r>
    </w:p>
    <w:p w14:paraId="6BEFABBD" w14:textId="1CBE7385" w:rsidR="007D6114" w:rsidRPr="008E1B3B" w:rsidRDefault="0013072E" w:rsidP="00B563F7">
      <w:pPr>
        <w:widowControl w:val="0"/>
        <w:tabs>
          <w:tab w:val="left" w:pos="660"/>
        </w:tabs>
        <w:spacing w:line="240" w:lineRule="atLeast"/>
        <w:ind w:left="567" w:hanging="567"/>
        <w:contextualSpacing/>
        <w:jc w:val="both"/>
        <w:rPr>
          <w:rFonts w:ascii="Thesans" w:hAnsi="Thesans" w:cs="Arial"/>
          <w:sz w:val="22"/>
          <w:szCs w:val="22"/>
          <w:lang w:eastAsia="nl-NL"/>
        </w:rPr>
      </w:pPr>
      <w:r w:rsidRPr="008E1B3B">
        <w:rPr>
          <w:rFonts w:ascii="Thesans" w:hAnsi="Thesans" w:cs="Arial"/>
          <w:sz w:val="22"/>
          <w:szCs w:val="22"/>
          <w:lang w:eastAsia="nl-NL"/>
        </w:rPr>
        <w:t>2.</w:t>
      </w:r>
      <w:r w:rsidRPr="008E1B3B">
        <w:rPr>
          <w:rFonts w:ascii="Thesans" w:hAnsi="Thesans" w:cs="Arial"/>
          <w:sz w:val="22"/>
          <w:szCs w:val="22"/>
          <w:lang w:eastAsia="nl-NL"/>
        </w:rPr>
        <w:tab/>
      </w:r>
      <w:r w:rsidR="007D6114" w:rsidRPr="008E1B3B">
        <w:rPr>
          <w:rFonts w:ascii="Thesans" w:hAnsi="Thesans" w:cs="Arial"/>
          <w:sz w:val="22"/>
          <w:szCs w:val="22"/>
          <w:lang w:eastAsia="nl-NL"/>
        </w:rPr>
        <w:t>Indien enig geschil ontstaat tussen Partijen in verband met de uitvoering van deze Gegevensuitwisselingsovereenkomst, zullen Partijen zich inspannen om in goed overleg tot een passende oplossing te komen. Indien Partijen niet tot overeenstemming komen, zal het geschil worden</w:t>
      </w:r>
      <w:r w:rsidRPr="008E1B3B">
        <w:rPr>
          <w:rFonts w:ascii="Thesans" w:hAnsi="Thesans" w:cs="Arial"/>
          <w:sz w:val="22"/>
          <w:szCs w:val="22"/>
          <w:lang w:eastAsia="nl-NL"/>
        </w:rPr>
        <w:t xml:space="preserve"> </w:t>
      </w:r>
      <w:r w:rsidR="007D6114" w:rsidRPr="008E1B3B">
        <w:rPr>
          <w:rFonts w:ascii="Thesans" w:hAnsi="Thesans" w:cs="Arial"/>
          <w:sz w:val="22"/>
          <w:szCs w:val="22"/>
          <w:lang w:eastAsia="nl-NL"/>
        </w:rPr>
        <w:t>voorgelegd aan dezelfde rechter die op grond van de Overeenkomst bevoegd is.</w:t>
      </w:r>
    </w:p>
    <w:p w14:paraId="2CB12DEA" w14:textId="77777777" w:rsidR="005A3747" w:rsidRPr="008E1B3B" w:rsidRDefault="005A3747" w:rsidP="00B563F7">
      <w:pPr>
        <w:spacing w:line="240" w:lineRule="atLeast"/>
        <w:ind w:left="567" w:hanging="567"/>
        <w:contextualSpacing/>
        <w:jc w:val="both"/>
        <w:rPr>
          <w:rFonts w:ascii="Thesans" w:hAnsi="Thesans" w:cs="Arial"/>
          <w:b/>
          <w:bCs/>
          <w:sz w:val="22"/>
          <w:szCs w:val="22"/>
        </w:rPr>
      </w:pPr>
    </w:p>
    <w:p w14:paraId="0DB81745" w14:textId="5EFCB713" w:rsidR="000142D6" w:rsidRPr="008E1B3B" w:rsidRDefault="000142D6" w:rsidP="00B563F7">
      <w:pPr>
        <w:spacing w:line="240" w:lineRule="atLeast"/>
        <w:ind w:left="567" w:hanging="567"/>
        <w:contextualSpacing/>
        <w:jc w:val="both"/>
        <w:rPr>
          <w:rFonts w:ascii="Thesans" w:hAnsi="Thesans" w:cs="Arial"/>
          <w:sz w:val="22"/>
          <w:szCs w:val="22"/>
        </w:rPr>
      </w:pPr>
      <w:r w:rsidRPr="008E1B3B">
        <w:rPr>
          <w:rFonts w:ascii="Thesans" w:hAnsi="Thesans" w:cs="Arial"/>
          <w:sz w:val="22"/>
          <w:szCs w:val="22"/>
        </w:rPr>
        <w:t>A</w:t>
      </w:r>
      <w:r w:rsidR="000346F8" w:rsidRPr="008E1B3B">
        <w:rPr>
          <w:rFonts w:ascii="Thesans" w:hAnsi="Thesans" w:cs="Arial"/>
          <w:sz w:val="22"/>
          <w:szCs w:val="22"/>
        </w:rPr>
        <w:t>ldus overeengekomen en in tweevoud opgesteld en door ieder der Partijen ondertekend.</w:t>
      </w:r>
    </w:p>
    <w:p w14:paraId="3F77BB3C" w14:textId="77777777" w:rsidR="00661952" w:rsidRPr="008E1B3B" w:rsidRDefault="00661952" w:rsidP="00F429E0">
      <w:pPr>
        <w:spacing w:line="240" w:lineRule="atLeast"/>
        <w:contextualSpacing/>
        <w:jc w:val="both"/>
        <w:rPr>
          <w:rFonts w:ascii="Thesans" w:hAnsi="Thesans" w:cs="Arial"/>
          <w:sz w:val="22"/>
          <w:szCs w:val="22"/>
        </w:rPr>
      </w:pPr>
    </w:p>
    <w:p w14:paraId="6BF8B073" w14:textId="77777777" w:rsidR="00661952" w:rsidRPr="008E1B3B" w:rsidRDefault="00661952" w:rsidP="00B563F7">
      <w:pPr>
        <w:spacing w:line="240" w:lineRule="atLeast"/>
        <w:ind w:left="567" w:hanging="567"/>
        <w:contextualSpacing/>
        <w:jc w:val="both"/>
        <w:rPr>
          <w:rFonts w:ascii="Thesans" w:hAnsi="Thesans" w:cs="Arial"/>
          <w:sz w:val="22"/>
          <w:szCs w:val="22"/>
        </w:rPr>
      </w:pPr>
    </w:p>
    <w:p w14:paraId="7EFDA703" w14:textId="13E5131B" w:rsidR="00661952" w:rsidRPr="008E1B3B" w:rsidRDefault="00661952" w:rsidP="00B563F7">
      <w:pPr>
        <w:tabs>
          <w:tab w:val="left" w:pos="5103"/>
        </w:tabs>
        <w:spacing w:line="240" w:lineRule="atLeast"/>
        <w:ind w:left="567" w:hanging="567"/>
        <w:contextualSpacing/>
        <w:jc w:val="both"/>
        <w:rPr>
          <w:rFonts w:ascii="Thesans" w:hAnsi="Thesans" w:cs="Arial"/>
          <w:sz w:val="22"/>
          <w:szCs w:val="22"/>
        </w:rPr>
      </w:pPr>
      <w:r w:rsidRPr="008E1B3B">
        <w:rPr>
          <w:rFonts w:ascii="Thesans" w:hAnsi="Thesans" w:cs="Arial"/>
          <w:sz w:val="22"/>
          <w:szCs w:val="22"/>
        </w:rPr>
        <w:t xml:space="preserve">Den Haag, </w:t>
      </w:r>
      <w:r w:rsidR="006E4AEA" w:rsidRPr="008E1B3B">
        <w:rPr>
          <w:rFonts w:ascii="Thesans" w:hAnsi="Thesans" w:cs="Arial"/>
          <w:sz w:val="22"/>
          <w:szCs w:val="22"/>
          <w:highlight w:val="yellow"/>
        </w:rPr>
        <w:t>datum</w:t>
      </w:r>
      <w:r w:rsidRPr="008E1B3B">
        <w:rPr>
          <w:rFonts w:ascii="Thesans" w:hAnsi="Thesans" w:cs="Arial"/>
          <w:sz w:val="22"/>
          <w:szCs w:val="22"/>
        </w:rPr>
        <w:tab/>
        <w:t>[</w:t>
      </w:r>
      <w:r w:rsidRPr="008E1B3B">
        <w:rPr>
          <w:rFonts w:ascii="Thesans" w:hAnsi="Thesans" w:cs="Arial"/>
          <w:sz w:val="22"/>
          <w:szCs w:val="22"/>
          <w:highlight w:val="yellow"/>
        </w:rPr>
        <w:t>Plaats], [datum]</w:t>
      </w:r>
    </w:p>
    <w:p w14:paraId="6EA9E06D" w14:textId="77777777" w:rsidR="00661952" w:rsidRPr="008E1B3B" w:rsidRDefault="00661952" w:rsidP="00B563F7">
      <w:pPr>
        <w:spacing w:line="240" w:lineRule="atLeast"/>
        <w:ind w:left="567" w:hanging="567"/>
        <w:contextualSpacing/>
        <w:jc w:val="both"/>
        <w:rPr>
          <w:rFonts w:ascii="Thesans" w:hAnsi="Thesans" w:cs="Arial"/>
          <w:sz w:val="22"/>
          <w:szCs w:val="22"/>
        </w:rPr>
      </w:pPr>
    </w:p>
    <w:p w14:paraId="39AE93C6" w14:textId="4C89F1DA" w:rsidR="00661952" w:rsidRPr="008E1B3B" w:rsidRDefault="00661952" w:rsidP="00B563F7">
      <w:pPr>
        <w:tabs>
          <w:tab w:val="left" w:pos="5103"/>
        </w:tabs>
        <w:spacing w:line="240" w:lineRule="atLeast"/>
        <w:contextualSpacing/>
        <w:jc w:val="both"/>
        <w:rPr>
          <w:rFonts w:ascii="Thesans" w:hAnsi="Thesans" w:cs="Arial"/>
          <w:b/>
          <w:bCs/>
          <w:sz w:val="22"/>
          <w:szCs w:val="22"/>
        </w:rPr>
      </w:pPr>
      <w:r w:rsidRPr="008E1B3B">
        <w:rPr>
          <w:rFonts w:ascii="Thesans" w:hAnsi="Thesans" w:cs="Arial"/>
          <w:b/>
          <w:bCs/>
          <w:sz w:val="22"/>
          <w:szCs w:val="22"/>
        </w:rPr>
        <w:t xml:space="preserve">Centraal Orgaan opvang </w:t>
      </w:r>
      <w:r w:rsidR="00B563F7" w:rsidRPr="008E1B3B">
        <w:rPr>
          <w:rFonts w:ascii="Thesans" w:hAnsi="Thesans" w:cs="Arial"/>
          <w:b/>
          <w:bCs/>
          <w:sz w:val="22"/>
          <w:szCs w:val="22"/>
        </w:rPr>
        <w:t>A</w:t>
      </w:r>
      <w:r w:rsidRPr="008E1B3B">
        <w:rPr>
          <w:rFonts w:ascii="Thesans" w:hAnsi="Thesans" w:cs="Arial"/>
          <w:b/>
          <w:bCs/>
          <w:sz w:val="22"/>
          <w:szCs w:val="22"/>
        </w:rPr>
        <w:t>sielzoekers</w:t>
      </w:r>
      <w:r w:rsidRPr="008E1B3B">
        <w:rPr>
          <w:rFonts w:ascii="Thesans" w:hAnsi="Thesans" w:cs="Arial"/>
          <w:b/>
          <w:bCs/>
          <w:sz w:val="22"/>
          <w:szCs w:val="22"/>
        </w:rPr>
        <w:tab/>
      </w:r>
      <w:r w:rsidR="008E1B3B">
        <w:rPr>
          <w:rFonts w:ascii="Thesans" w:hAnsi="Thesans" w:cs="Arial"/>
          <w:b/>
          <w:bCs/>
          <w:sz w:val="22"/>
          <w:szCs w:val="22"/>
        </w:rPr>
        <w:t>XXX</w:t>
      </w:r>
    </w:p>
    <w:p w14:paraId="7C4AE583" w14:textId="77777777" w:rsidR="00661952" w:rsidRPr="008E1B3B" w:rsidRDefault="00661952" w:rsidP="00B563F7">
      <w:pPr>
        <w:spacing w:line="240" w:lineRule="atLeast"/>
        <w:ind w:left="567" w:hanging="567"/>
        <w:contextualSpacing/>
        <w:jc w:val="both"/>
        <w:rPr>
          <w:rFonts w:ascii="Thesans" w:hAnsi="Thesans" w:cs="Arial"/>
          <w:sz w:val="22"/>
          <w:szCs w:val="22"/>
        </w:rPr>
      </w:pPr>
    </w:p>
    <w:p w14:paraId="0BA7DD77" w14:textId="77777777" w:rsidR="00661952" w:rsidRPr="008E1B3B" w:rsidRDefault="00661952" w:rsidP="00B563F7">
      <w:pPr>
        <w:spacing w:line="240" w:lineRule="atLeast"/>
        <w:ind w:left="567" w:hanging="567"/>
        <w:contextualSpacing/>
        <w:jc w:val="both"/>
        <w:rPr>
          <w:rFonts w:ascii="Thesans" w:hAnsi="Thesans" w:cs="Arial"/>
          <w:sz w:val="22"/>
          <w:szCs w:val="22"/>
        </w:rPr>
      </w:pPr>
    </w:p>
    <w:p w14:paraId="73C4112D" w14:textId="77777777" w:rsidR="00661952" w:rsidRPr="008E1B3B" w:rsidRDefault="00661952" w:rsidP="00B563F7">
      <w:pPr>
        <w:spacing w:line="240" w:lineRule="atLeast"/>
        <w:ind w:left="567" w:hanging="567"/>
        <w:contextualSpacing/>
        <w:jc w:val="both"/>
        <w:rPr>
          <w:rFonts w:ascii="Thesans" w:hAnsi="Thesans" w:cs="Arial"/>
          <w:sz w:val="22"/>
          <w:szCs w:val="22"/>
        </w:rPr>
      </w:pPr>
    </w:p>
    <w:p w14:paraId="317F4EBC" w14:textId="77777777" w:rsidR="00661952" w:rsidRPr="008E1B3B" w:rsidRDefault="00661952" w:rsidP="00B563F7">
      <w:pPr>
        <w:spacing w:line="240" w:lineRule="atLeast"/>
        <w:ind w:left="567" w:hanging="567"/>
        <w:contextualSpacing/>
        <w:jc w:val="both"/>
        <w:rPr>
          <w:rFonts w:ascii="Thesans" w:hAnsi="Thesans" w:cs="Arial"/>
          <w:sz w:val="22"/>
          <w:szCs w:val="22"/>
        </w:rPr>
      </w:pPr>
    </w:p>
    <w:p w14:paraId="1B142024" w14:textId="1AFE167E" w:rsidR="00661952" w:rsidRPr="008E1B3B" w:rsidRDefault="00B563F7" w:rsidP="00B563F7">
      <w:pPr>
        <w:tabs>
          <w:tab w:val="left" w:pos="5103"/>
        </w:tabs>
        <w:spacing w:line="240" w:lineRule="atLeast"/>
        <w:contextualSpacing/>
        <w:jc w:val="both"/>
        <w:rPr>
          <w:rFonts w:ascii="Thesans" w:hAnsi="Thesans" w:cs="Arial"/>
          <w:sz w:val="22"/>
          <w:szCs w:val="22"/>
        </w:rPr>
      </w:pPr>
      <w:r w:rsidRPr="008E1B3B">
        <w:rPr>
          <w:rFonts w:ascii="Thesans" w:hAnsi="Thesans" w:cs="Arial"/>
          <w:sz w:val="22"/>
          <w:szCs w:val="22"/>
        </w:rPr>
        <w:t xml:space="preserve">de heer </w:t>
      </w:r>
      <w:r w:rsidR="00771B27" w:rsidRPr="008E1B3B">
        <w:rPr>
          <w:rFonts w:ascii="Thesans" w:hAnsi="Thesans" w:cs="Arial"/>
          <w:sz w:val="22"/>
          <w:szCs w:val="22"/>
        </w:rPr>
        <w:t>E. Vissers</w:t>
      </w:r>
      <w:r w:rsidR="00771B27" w:rsidRPr="008E1B3B">
        <w:rPr>
          <w:rFonts w:ascii="Thesans" w:hAnsi="Thesans" w:cs="Arial"/>
          <w:sz w:val="22"/>
          <w:szCs w:val="22"/>
        </w:rPr>
        <w:tab/>
      </w:r>
      <w:r w:rsidRPr="008E1B3B">
        <w:rPr>
          <w:rFonts w:ascii="Thesans" w:hAnsi="Thesans" w:cs="Arial"/>
          <w:sz w:val="22"/>
          <w:szCs w:val="22"/>
        </w:rPr>
        <w:t xml:space="preserve">de heer/mevrouw </w:t>
      </w:r>
      <w:r w:rsidR="006E4AEA" w:rsidRPr="008E1B3B">
        <w:rPr>
          <w:rFonts w:ascii="Thesans" w:hAnsi="Thesans" w:cs="Arial"/>
          <w:sz w:val="22"/>
          <w:szCs w:val="22"/>
          <w:highlight w:val="yellow"/>
        </w:rPr>
        <w:t>Naam</w:t>
      </w:r>
    </w:p>
    <w:p w14:paraId="5999648F" w14:textId="1BA5ABA9" w:rsidR="00661952" w:rsidRPr="008E1B3B" w:rsidRDefault="00771B27" w:rsidP="00B563F7">
      <w:pPr>
        <w:tabs>
          <w:tab w:val="left" w:pos="5103"/>
        </w:tabs>
        <w:spacing w:line="240" w:lineRule="atLeast"/>
        <w:contextualSpacing/>
        <w:jc w:val="both"/>
        <w:rPr>
          <w:rFonts w:ascii="Thesans" w:hAnsi="Thesans" w:cs="Arial"/>
          <w:sz w:val="22"/>
          <w:szCs w:val="22"/>
        </w:rPr>
      </w:pPr>
      <w:r w:rsidRPr="008E1B3B">
        <w:rPr>
          <w:rFonts w:ascii="Thesans" w:hAnsi="Thesans" w:cs="Arial"/>
          <w:sz w:val="22"/>
          <w:szCs w:val="22"/>
        </w:rPr>
        <w:t>Directeur bedrijfsvoering</w:t>
      </w:r>
      <w:r w:rsidR="00B563F7" w:rsidRPr="008E1B3B">
        <w:rPr>
          <w:rFonts w:ascii="Thesans" w:hAnsi="Thesans" w:cs="Arial"/>
          <w:sz w:val="22"/>
          <w:szCs w:val="22"/>
        </w:rPr>
        <w:tab/>
      </w:r>
      <w:r w:rsidR="006E4AEA" w:rsidRPr="008E1B3B">
        <w:rPr>
          <w:rFonts w:ascii="Thesans" w:hAnsi="Thesans" w:cs="Arial"/>
          <w:sz w:val="22"/>
          <w:szCs w:val="22"/>
          <w:highlight w:val="yellow"/>
        </w:rPr>
        <w:t>Titel</w:t>
      </w:r>
    </w:p>
    <w:p w14:paraId="0C530300" w14:textId="74925DBC" w:rsidR="00314CD8" w:rsidRPr="008E1B3B" w:rsidRDefault="00314CD8" w:rsidP="00B563F7">
      <w:pPr>
        <w:spacing w:line="240" w:lineRule="atLeast"/>
        <w:ind w:left="567" w:hanging="567"/>
        <w:contextualSpacing/>
        <w:jc w:val="both"/>
        <w:rPr>
          <w:rFonts w:ascii="Thesans" w:hAnsi="Thesans" w:cs="Arial"/>
          <w:sz w:val="22"/>
          <w:szCs w:val="22"/>
        </w:rPr>
      </w:pPr>
    </w:p>
    <w:p w14:paraId="059CBD7E" w14:textId="77777777" w:rsidR="00314CD8" w:rsidRPr="008E1B3B" w:rsidRDefault="00314CD8" w:rsidP="00B563F7">
      <w:pPr>
        <w:spacing w:line="240" w:lineRule="atLeast"/>
        <w:ind w:left="567" w:hanging="567"/>
        <w:contextualSpacing/>
        <w:jc w:val="both"/>
        <w:rPr>
          <w:rFonts w:ascii="Thesans" w:hAnsi="Thesans" w:cs="Arial"/>
          <w:sz w:val="22"/>
          <w:szCs w:val="22"/>
        </w:rPr>
      </w:pPr>
      <w:r w:rsidRPr="008E1B3B">
        <w:rPr>
          <w:rFonts w:ascii="Thesans" w:hAnsi="Thesans" w:cs="Arial"/>
          <w:sz w:val="22"/>
          <w:szCs w:val="22"/>
        </w:rPr>
        <w:br w:type="page"/>
      </w:r>
    </w:p>
    <w:p w14:paraId="2389C670" w14:textId="77777777" w:rsidR="0013072E" w:rsidRPr="008E1B3B" w:rsidRDefault="0013072E" w:rsidP="00B563F7">
      <w:pPr>
        <w:keepNext/>
        <w:keepLines/>
        <w:widowControl w:val="0"/>
        <w:spacing w:line="240" w:lineRule="atLeast"/>
        <w:ind w:left="567" w:hanging="567"/>
        <w:contextualSpacing/>
        <w:jc w:val="both"/>
        <w:outlineLvl w:val="1"/>
        <w:rPr>
          <w:rFonts w:ascii="Thesans" w:hAnsi="Thesans" w:cs="Arial"/>
          <w:b/>
          <w:bCs/>
          <w:color w:val="000000"/>
          <w:sz w:val="22"/>
          <w:szCs w:val="22"/>
          <w:lang w:eastAsia="nl-NL"/>
        </w:rPr>
      </w:pPr>
      <w:bookmarkStart w:id="12" w:name="bookmark28"/>
    </w:p>
    <w:p w14:paraId="30883C88" w14:textId="77777777" w:rsidR="0013072E" w:rsidRPr="008E1B3B" w:rsidRDefault="0013072E" w:rsidP="00B563F7">
      <w:pPr>
        <w:keepNext/>
        <w:keepLines/>
        <w:widowControl w:val="0"/>
        <w:spacing w:line="240" w:lineRule="atLeast"/>
        <w:ind w:left="567" w:hanging="567"/>
        <w:contextualSpacing/>
        <w:jc w:val="both"/>
        <w:outlineLvl w:val="1"/>
        <w:rPr>
          <w:rFonts w:ascii="Thesans" w:hAnsi="Thesans" w:cs="Arial"/>
          <w:b/>
          <w:bCs/>
          <w:color w:val="000000"/>
          <w:sz w:val="22"/>
          <w:szCs w:val="22"/>
          <w:lang w:eastAsia="nl-NL"/>
        </w:rPr>
      </w:pPr>
    </w:p>
    <w:p w14:paraId="691E3E3F" w14:textId="729EEF87" w:rsidR="00314CD8" w:rsidRPr="008E1B3B" w:rsidRDefault="00314CD8" w:rsidP="00B563F7">
      <w:pPr>
        <w:keepNext/>
        <w:keepLines/>
        <w:widowControl w:val="0"/>
        <w:spacing w:line="240" w:lineRule="atLeast"/>
        <w:ind w:left="567" w:hanging="567"/>
        <w:contextualSpacing/>
        <w:jc w:val="both"/>
        <w:outlineLvl w:val="1"/>
        <w:rPr>
          <w:rFonts w:ascii="Thesans" w:hAnsi="Thesans" w:cs="Arial"/>
          <w:b/>
          <w:bCs/>
          <w:color w:val="000000"/>
          <w:sz w:val="22"/>
          <w:szCs w:val="22"/>
          <w:lang w:eastAsia="nl-NL"/>
        </w:rPr>
      </w:pPr>
      <w:r w:rsidRPr="008E1B3B">
        <w:rPr>
          <w:rFonts w:ascii="Thesans" w:hAnsi="Thesans" w:cs="Arial"/>
          <w:b/>
          <w:bCs/>
          <w:color w:val="000000"/>
          <w:sz w:val="22"/>
          <w:szCs w:val="22"/>
          <w:lang w:eastAsia="nl-NL"/>
        </w:rPr>
        <w:t>Bijlage 1</w:t>
      </w:r>
      <w:bookmarkEnd w:id="12"/>
      <w:r w:rsidRPr="008E1B3B">
        <w:rPr>
          <w:rFonts w:ascii="Thesans" w:hAnsi="Thesans" w:cs="Arial"/>
          <w:b/>
          <w:bCs/>
          <w:color w:val="000000"/>
          <w:sz w:val="22"/>
          <w:szCs w:val="22"/>
          <w:lang w:eastAsia="nl-NL"/>
        </w:rPr>
        <w:t xml:space="preserve"> </w:t>
      </w:r>
      <w:r w:rsidR="008E1B3B" w:rsidRPr="008E1B3B">
        <w:rPr>
          <w:rFonts w:ascii="Thesans" w:hAnsi="Thesans" w:cs="Arial"/>
          <w:b/>
          <w:bCs/>
          <w:color w:val="000000"/>
          <w:sz w:val="22"/>
          <w:szCs w:val="22"/>
          <w:lang w:eastAsia="nl-NL"/>
        </w:rPr>
        <w:t xml:space="preserve"> Verwerking persoonsgegevens</w:t>
      </w:r>
    </w:p>
    <w:p w14:paraId="54CF745B" w14:textId="77777777" w:rsidR="0013072E" w:rsidRPr="008E1B3B" w:rsidRDefault="0013072E" w:rsidP="00B563F7">
      <w:pPr>
        <w:keepNext/>
        <w:keepLines/>
        <w:widowControl w:val="0"/>
        <w:spacing w:line="240" w:lineRule="atLeast"/>
        <w:ind w:left="567" w:hanging="567"/>
        <w:contextualSpacing/>
        <w:jc w:val="both"/>
        <w:outlineLvl w:val="1"/>
        <w:rPr>
          <w:rFonts w:ascii="Thesans" w:hAnsi="Thesans" w:cs="Arial"/>
          <w:b/>
          <w:bCs/>
          <w:color w:val="000000"/>
          <w:sz w:val="22"/>
          <w:szCs w:val="22"/>
          <w:lang w:eastAsia="nl-NL"/>
        </w:rPr>
      </w:pPr>
    </w:p>
    <w:p w14:paraId="2EFE5ABE" w14:textId="77777777" w:rsidR="0013072E" w:rsidRPr="008E1B3B" w:rsidRDefault="0013072E" w:rsidP="00B563F7">
      <w:pPr>
        <w:keepNext/>
        <w:keepLines/>
        <w:widowControl w:val="0"/>
        <w:spacing w:line="240" w:lineRule="atLeast"/>
        <w:ind w:left="567" w:hanging="567"/>
        <w:contextualSpacing/>
        <w:jc w:val="both"/>
        <w:outlineLvl w:val="1"/>
        <w:rPr>
          <w:rFonts w:ascii="Thesans" w:hAnsi="Thesans" w:cs="Arial"/>
          <w:b/>
          <w:bCs/>
          <w:color w:val="000000"/>
          <w:sz w:val="22"/>
          <w:szCs w:val="22"/>
          <w:lang w:eastAsia="nl-NL"/>
        </w:rPr>
      </w:pPr>
    </w:p>
    <w:p w14:paraId="4846EEEC" w14:textId="16DC6931" w:rsidR="00314CD8" w:rsidRPr="008E1B3B" w:rsidRDefault="00314CD8" w:rsidP="00B563F7">
      <w:pPr>
        <w:widowControl w:val="0"/>
        <w:spacing w:line="240" w:lineRule="atLeast"/>
        <w:ind w:left="567" w:hanging="567"/>
        <w:contextualSpacing/>
        <w:jc w:val="both"/>
        <w:rPr>
          <w:rFonts w:ascii="Thesans" w:hAnsi="Thesans" w:cs="Arial"/>
          <w:color w:val="000000"/>
          <w:sz w:val="22"/>
          <w:szCs w:val="22"/>
          <w:u w:val="single"/>
          <w:lang w:eastAsia="nl-NL"/>
        </w:rPr>
      </w:pPr>
      <w:r w:rsidRPr="008E1B3B">
        <w:rPr>
          <w:rFonts w:ascii="Thesans" w:hAnsi="Thesans" w:cs="Arial"/>
          <w:color w:val="000000"/>
          <w:sz w:val="22"/>
          <w:szCs w:val="22"/>
          <w:lang w:eastAsia="nl-NL"/>
        </w:rPr>
        <w:t xml:space="preserve">A </w:t>
      </w:r>
      <w:r w:rsidR="0013072E" w:rsidRPr="008E1B3B">
        <w:rPr>
          <w:rFonts w:ascii="Thesans" w:hAnsi="Thesans" w:cs="Arial"/>
          <w:color w:val="000000"/>
          <w:sz w:val="22"/>
          <w:szCs w:val="22"/>
          <w:lang w:eastAsia="nl-NL"/>
        </w:rPr>
        <w:tab/>
      </w:r>
      <w:r w:rsidRPr="008E1B3B">
        <w:rPr>
          <w:rFonts w:ascii="Thesans" w:hAnsi="Thesans" w:cs="Arial"/>
          <w:color w:val="000000"/>
          <w:sz w:val="22"/>
          <w:szCs w:val="22"/>
          <w:u w:val="single"/>
          <w:lang w:eastAsia="nl-NL"/>
        </w:rPr>
        <w:t>Doeleinden gegevensverwerking en -uitwisseling</w:t>
      </w:r>
    </w:p>
    <w:p w14:paraId="08157A04" w14:textId="77777777" w:rsidR="0013072E" w:rsidRPr="008E1B3B" w:rsidRDefault="0013072E" w:rsidP="00B563F7">
      <w:pPr>
        <w:widowControl w:val="0"/>
        <w:tabs>
          <w:tab w:val="left" w:pos="348"/>
        </w:tabs>
        <w:spacing w:line="240" w:lineRule="atLeast"/>
        <w:ind w:left="567" w:hanging="567"/>
        <w:contextualSpacing/>
        <w:jc w:val="both"/>
        <w:rPr>
          <w:rFonts w:ascii="Thesans" w:hAnsi="Thesans" w:cs="Arial"/>
          <w:color w:val="000000"/>
          <w:sz w:val="22"/>
          <w:szCs w:val="22"/>
          <w:lang w:eastAsia="nl-NL"/>
        </w:rPr>
      </w:pPr>
    </w:p>
    <w:p w14:paraId="6448AD1F" w14:textId="77777777" w:rsidR="00314CD8" w:rsidRPr="008E1B3B" w:rsidRDefault="00314CD8" w:rsidP="00B563F7">
      <w:pPr>
        <w:widowControl w:val="0"/>
        <w:spacing w:line="240" w:lineRule="atLeast"/>
        <w:contextualSpacing/>
        <w:jc w:val="both"/>
        <w:rPr>
          <w:rFonts w:ascii="Thesans" w:hAnsi="Thesans" w:cs="Arial"/>
          <w:color w:val="000000"/>
          <w:sz w:val="22"/>
          <w:szCs w:val="22"/>
          <w:lang w:eastAsia="nl-NL"/>
        </w:rPr>
      </w:pPr>
      <w:r w:rsidRPr="008E1B3B">
        <w:rPr>
          <w:rFonts w:ascii="Thesans" w:hAnsi="Thesans" w:cs="Arial"/>
          <w:color w:val="000000"/>
          <w:sz w:val="22"/>
          <w:szCs w:val="22"/>
          <w:lang w:eastAsia="nl-NL"/>
        </w:rPr>
        <w:t>De Overeenkomst betreft het gebruik door COA-medewerkers van kantoor meubilair en/of andere inrichtingsproducten ten behoeve van de inrichting van de werkomgeving van COA-medewerkers. Via een portal bestellen COA- medewerkers het kantoor meubilair en/of andere inrichtingsproducten.</w:t>
      </w:r>
    </w:p>
    <w:p w14:paraId="7CADAB02" w14:textId="77777777" w:rsidR="0013072E" w:rsidRPr="008E1B3B" w:rsidRDefault="0013072E" w:rsidP="00B563F7">
      <w:pPr>
        <w:widowControl w:val="0"/>
        <w:spacing w:line="240" w:lineRule="atLeast"/>
        <w:contextualSpacing/>
        <w:jc w:val="both"/>
        <w:rPr>
          <w:rFonts w:ascii="Thesans" w:hAnsi="Thesans" w:cs="Arial"/>
          <w:color w:val="000000"/>
          <w:sz w:val="22"/>
          <w:szCs w:val="22"/>
          <w:lang w:eastAsia="nl-NL"/>
        </w:rPr>
      </w:pPr>
    </w:p>
    <w:p w14:paraId="532672D9" w14:textId="40E7C77A" w:rsidR="00314CD8" w:rsidRPr="008E1B3B" w:rsidRDefault="00314CD8" w:rsidP="00B563F7">
      <w:pPr>
        <w:widowControl w:val="0"/>
        <w:spacing w:line="240" w:lineRule="atLeast"/>
        <w:ind w:left="567" w:hanging="567"/>
        <w:contextualSpacing/>
        <w:jc w:val="both"/>
        <w:rPr>
          <w:rFonts w:ascii="Thesans" w:hAnsi="Thesans" w:cs="Arial"/>
          <w:color w:val="000000"/>
          <w:sz w:val="22"/>
          <w:szCs w:val="22"/>
          <w:u w:val="single"/>
          <w:lang w:eastAsia="nl-NL"/>
        </w:rPr>
      </w:pPr>
      <w:r w:rsidRPr="008E1B3B">
        <w:rPr>
          <w:rFonts w:ascii="Thesans" w:hAnsi="Thesans" w:cs="Arial"/>
          <w:color w:val="000000"/>
          <w:sz w:val="22"/>
          <w:szCs w:val="22"/>
          <w:lang w:eastAsia="nl-NL"/>
        </w:rPr>
        <w:t xml:space="preserve">B </w:t>
      </w:r>
      <w:r w:rsidR="0013072E" w:rsidRPr="008E1B3B">
        <w:rPr>
          <w:rFonts w:ascii="Thesans" w:hAnsi="Thesans" w:cs="Arial"/>
          <w:color w:val="000000"/>
          <w:sz w:val="22"/>
          <w:szCs w:val="22"/>
          <w:lang w:eastAsia="nl-NL"/>
        </w:rPr>
        <w:tab/>
      </w:r>
      <w:r w:rsidRPr="008E1B3B">
        <w:rPr>
          <w:rFonts w:ascii="Thesans" w:hAnsi="Thesans" w:cs="Arial"/>
          <w:color w:val="000000"/>
          <w:sz w:val="22"/>
          <w:szCs w:val="22"/>
          <w:u w:val="single"/>
          <w:lang w:eastAsia="nl-NL"/>
        </w:rPr>
        <w:t>Grondslagen gegevensverwerking en -uitwisseling</w:t>
      </w:r>
    </w:p>
    <w:p w14:paraId="31D947D0" w14:textId="77777777" w:rsidR="0013072E" w:rsidRPr="008E1B3B" w:rsidRDefault="0013072E" w:rsidP="00B563F7">
      <w:pPr>
        <w:widowControl w:val="0"/>
        <w:tabs>
          <w:tab w:val="left" w:pos="334"/>
        </w:tabs>
        <w:spacing w:line="240" w:lineRule="atLeast"/>
        <w:ind w:left="567" w:hanging="567"/>
        <w:contextualSpacing/>
        <w:jc w:val="both"/>
        <w:rPr>
          <w:rFonts w:ascii="Thesans" w:hAnsi="Thesans" w:cs="Arial"/>
          <w:color w:val="000000"/>
          <w:sz w:val="22"/>
          <w:szCs w:val="22"/>
          <w:lang w:eastAsia="nl-NL"/>
        </w:rPr>
      </w:pPr>
    </w:p>
    <w:p w14:paraId="0510E0F4" w14:textId="77777777" w:rsidR="00314CD8" w:rsidRPr="008E1B3B" w:rsidRDefault="00314CD8" w:rsidP="00B563F7">
      <w:pPr>
        <w:widowControl w:val="0"/>
        <w:spacing w:line="240" w:lineRule="atLeast"/>
        <w:ind w:left="567" w:hanging="567"/>
        <w:contextualSpacing/>
        <w:jc w:val="both"/>
        <w:rPr>
          <w:rFonts w:ascii="Thesans" w:hAnsi="Thesans" w:cs="Arial"/>
          <w:color w:val="000000"/>
          <w:sz w:val="22"/>
          <w:szCs w:val="22"/>
          <w:lang w:eastAsia="nl-NL"/>
        </w:rPr>
      </w:pPr>
      <w:r w:rsidRPr="008E1B3B">
        <w:rPr>
          <w:rFonts w:ascii="Thesans" w:hAnsi="Thesans" w:cs="Arial"/>
          <w:color w:val="000000"/>
          <w:sz w:val="22"/>
          <w:szCs w:val="22"/>
          <w:lang w:eastAsia="nl-NL"/>
        </w:rPr>
        <w:t>Gerechtvaardigd belang.</w:t>
      </w:r>
    </w:p>
    <w:p w14:paraId="18632129" w14:textId="77777777" w:rsidR="0013072E" w:rsidRPr="008E1B3B" w:rsidRDefault="0013072E" w:rsidP="00B563F7">
      <w:pPr>
        <w:widowControl w:val="0"/>
        <w:spacing w:line="240" w:lineRule="atLeast"/>
        <w:ind w:left="567" w:hanging="567"/>
        <w:contextualSpacing/>
        <w:jc w:val="both"/>
        <w:rPr>
          <w:rFonts w:ascii="Thesans" w:hAnsi="Thesans" w:cs="Arial"/>
          <w:color w:val="000000"/>
          <w:sz w:val="22"/>
          <w:szCs w:val="22"/>
          <w:lang w:eastAsia="nl-NL"/>
        </w:rPr>
      </w:pPr>
    </w:p>
    <w:p w14:paraId="73929640" w14:textId="201AD846" w:rsidR="00314CD8" w:rsidRPr="008E1B3B" w:rsidRDefault="00314CD8" w:rsidP="00B563F7">
      <w:pPr>
        <w:widowControl w:val="0"/>
        <w:spacing w:line="240" w:lineRule="atLeast"/>
        <w:ind w:left="567" w:hanging="567"/>
        <w:contextualSpacing/>
        <w:jc w:val="both"/>
        <w:rPr>
          <w:rFonts w:ascii="Thesans" w:hAnsi="Thesans" w:cs="Arial"/>
          <w:color w:val="000000"/>
          <w:sz w:val="22"/>
          <w:szCs w:val="22"/>
          <w:u w:val="single"/>
          <w:lang w:eastAsia="nl-NL"/>
        </w:rPr>
      </w:pPr>
      <w:r w:rsidRPr="008E1B3B">
        <w:rPr>
          <w:rFonts w:ascii="Thesans" w:hAnsi="Thesans" w:cs="Arial"/>
          <w:color w:val="000000"/>
          <w:sz w:val="22"/>
          <w:szCs w:val="22"/>
          <w:lang w:eastAsia="nl-NL"/>
        </w:rPr>
        <w:t xml:space="preserve">C </w:t>
      </w:r>
      <w:r w:rsidR="0013072E" w:rsidRPr="008E1B3B">
        <w:rPr>
          <w:rFonts w:ascii="Thesans" w:hAnsi="Thesans" w:cs="Arial"/>
          <w:color w:val="000000"/>
          <w:sz w:val="22"/>
          <w:szCs w:val="22"/>
          <w:lang w:eastAsia="nl-NL"/>
        </w:rPr>
        <w:tab/>
      </w:r>
      <w:r w:rsidRPr="008E1B3B">
        <w:rPr>
          <w:rFonts w:ascii="Thesans" w:hAnsi="Thesans" w:cs="Arial"/>
          <w:color w:val="000000"/>
          <w:sz w:val="22"/>
          <w:szCs w:val="22"/>
          <w:u w:val="single"/>
          <w:lang w:eastAsia="nl-NL"/>
        </w:rPr>
        <w:t>Categorieën Persoonsgegevens die worden verwerkt door Opdrachtnemer</w:t>
      </w:r>
    </w:p>
    <w:p w14:paraId="248C077E" w14:textId="77777777" w:rsidR="0013072E" w:rsidRPr="008E1B3B" w:rsidRDefault="0013072E" w:rsidP="00B563F7">
      <w:pPr>
        <w:widowControl w:val="0"/>
        <w:tabs>
          <w:tab w:val="left" w:pos="334"/>
        </w:tabs>
        <w:spacing w:line="240" w:lineRule="atLeast"/>
        <w:ind w:left="567" w:hanging="567"/>
        <w:contextualSpacing/>
        <w:jc w:val="both"/>
        <w:rPr>
          <w:rFonts w:ascii="Thesans" w:hAnsi="Thesans" w:cs="Arial"/>
          <w:color w:val="000000"/>
          <w:sz w:val="22"/>
          <w:szCs w:val="22"/>
          <w:lang w:eastAsia="nl-NL"/>
        </w:rPr>
      </w:pPr>
    </w:p>
    <w:p w14:paraId="599B1C7F" w14:textId="092ACAFA" w:rsidR="00314CD8" w:rsidRPr="008E1B3B" w:rsidRDefault="00314CD8" w:rsidP="00B563F7">
      <w:pPr>
        <w:widowControl w:val="0"/>
        <w:spacing w:line="240" w:lineRule="atLeast"/>
        <w:ind w:left="567" w:hanging="567"/>
        <w:contextualSpacing/>
        <w:jc w:val="both"/>
        <w:rPr>
          <w:rFonts w:ascii="Thesans" w:hAnsi="Thesans" w:cs="Arial"/>
          <w:color w:val="000000"/>
          <w:sz w:val="22"/>
          <w:szCs w:val="22"/>
          <w:lang w:eastAsia="nl-NL"/>
        </w:rPr>
      </w:pPr>
      <w:r w:rsidRPr="008E1B3B">
        <w:rPr>
          <w:rFonts w:ascii="Thesans" w:hAnsi="Thesans" w:cs="Arial"/>
          <w:i/>
          <w:iCs/>
          <w:color w:val="000000"/>
          <w:sz w:val="22"/>
          <w:szCs w:val="22"/>
          <w:lang w:eastAsia="nl-NL"/>
        </w:rPr>
        <w:t xml:space="preserve">Verstrekt door COA aan </w:t>
      </w:r>
      <w:r w:rsidR="008E1B3B" w:rsidRPr="008E1B3B">
        <w:rPr>
          <w:rFonts w:ascii="Thesans" w:hAnsi="Thesans" w:cs="Arial"/>
          <w:sz w:val="22"/>
          <w:szCs w:val="22"/>
          <w:highlight w:val="yellow"/>
        </w:rPr>
        <w:t xml:space="preserve">XXX </w:t>
      </w:r>
      <w:r w:rsidR="00E1154C" w:rsidRPr="008E1B3B">
        <w:rPr>
          <w:rFonts w:ascii="Thesans" w:hAnsi="Thesans" w:cs="Arial"/>
          <w:sz w:val="22"/>
          <w:szCs w:val="22"/>
        </w:rPr>
        <w:t xml:space="preserve"> </w:t>
      </w:r>
      <w:r w:rsidRPr="008E1B3B">
        <w:rPr>
          <w:rFonts w:ascii="Thesans" w:hAnsi="Thesans" w:cs="Arial"/>
          <w:i/>
          <w:iCs/>
          <w:color w:val="000000"/>
          <w:sz w:val="22"/>
          <w:szCs w:val="22"/>
          <w:lang w:eastAsia="nl-NL"/>
        </w:rPr>
        <w:t>(noodzakelijk voor verificatie):</w:t>
      </w:r>
    </w:p>
    <w:p w14:paraId="33F4228B" w14:textId="77777777" w:rsidR="0044496A" w:rsidRPr="008E1B3B" w:rsidRDefault="00314CD8" w:rsidP="00B563F7">
      <w:pPr>
        <w:widowControl w:val="0"/>
        <w:numPr>
          <w:ilvl w:val="0"/>
          <w:numId w:val="40"/>
        </w:numPr>
        <w:tabs>
          <w:tab w:val="left" w:pos="632"/>
        </w:tabs>
        <w:spacing w:line="240" w:lineRule="atLeast"/>
        <w:ind w:left="567" w:hanging="567"/>
        <w:contextualSpacing/>
        <w:jc w:val="both"/>
        <w:rPr>
          <w:rFonts w:ascii="Thesans" w:hAnsi="Thesans" w:cs="Arial"/>
          <w:color w:val="000000"/>
          <w:sz w:val="22"/>
          <w:szCs w:val="22"/>
          <w:lang w:eastAsia="nl-NL"/>
        </w:rPr>
      </w:pPr>
      <w:r w:rsidRPr="008E1B3B">
        <w:rPr>
          <w:rFonts w:ascii="Thesans" w:hAnsi="Thesans" w:cs="Arial"/>
          <w:color w:val="000000"/>
          <w:sz w:val="22"/>
          <w:szCs w:val="22"/>
          <w:lang w:eastAsia="nl-NL"/>
        </w:rPr>
        <w:t>Personeelsnummer;</w:t>
      </w:r>
    </w:p>
    <w:p w14:paraId="72D8CA8B" w14:textId="22E2D36D" w:rsidR="00314CD8" w:rsidRPr="008E1B3B" w:rsidRDefault="00314CD8" w:rsidP="00B563F7">
      <w:pPr>
        <w:widowControl w:val="0"/>
        <w:numPr>
          <w:ilvl w:val="0"/>
          <w:numId w:val="40"/>
        </w:numPr>
        <w:tabs>
          <w:tab w:val="left" w:pos="632"/>
        </w:tabs>
        <w:spacing w:line="240" w:lineRule="atLeast"/>
        <w:ind w:left="567" w:hanging="567"/>
        <w:contextualSpacing/>
        <w:jc w:val="both"/>
        <w:rPr>
          <w:rFonts w:ascii="Thesans" w:hAnsi="Thesans" w:cs="Arial"/>
          <w:color w:val="000000"/>
          <w:sz w:val="22"/>
          <w:szCs w:val="22"/>
          <w:lang w:eastAsia="nl-NL"/>
        </w:rPr>
      </w:pPr>
      <w:r w:rsidRPr="008E1B3B">
        <w:rPr>
          <w:rFonts w:ascii="Thesans" w:hAnsi="Thesans" w:cs="Arial"/>
          <w:color w:val="000000"/>
          <w:sz w:val="22"/>
          <w:szCs w:val="22"/>
          <w:lang w:eastAsia="nl-NL"/>
        </w:rPr>
        <w:t>E-mailadres</w:t>
      </w:r>
      <w:r w:rsidR="0044496A" w:rsidRPr="008E1B3B">
        <w:rPr>
          <w:rFonts w:ascii="Thesans" w:hAnsi="Thesans" w:cs="Arial"/>
          <w:color w:val="000000"/>
          <w:sz w:val="22"/>
          <w:szCs w:val="22"/>
          <w:lang w:eastAsia="nl-NL"/>
        </w:rPr>
        <w:t>.</w:t>
      </w:r>
    </w:p>
    <w:p w14:paraId="5C43194B" w14:textId="77777777" w:rsidR="0044496A" w:rsidRPr="008E1B3B" w:rsidRDefault="0044496A" w:rsidP="00B563F7">
      <w:pPr>
        <w:widowControl w:val="0"/>
        <w:tabs>
          <w:tab w:val="left" w:pos="632"/>
        </w:tabs>
        <w:spacing w:line="240" w:lineRule="atLeast"/>
        <w:ind w:left="567" w:hanging="567"/>
        <w:contextualSpacing/>
        <w:jc w:val="both"/>
        <w:rPr>
          <w:rFonts w:ascii="Thesans" w:hAnsi="Thesans" w:cs="Arial"/>
          <w:color w:val="000000"/>
          <w:sz w:val="22"/>
          <w:szCs w:val="22"/>
          <w:lang w:eastAsia="nl-NL"/>
        </w:rPr>
      </w:pPr>
    </w:p>
    <w:p w14:paraId="01DF23D2" w14:textId="77777777" w:rsidR="00314CD8" w:rsidRPr="008E1B3B" w:rsidRDefault="00314CD8" w:rsidP="00B563F7">
      <w:pPr>
        <w:widowControl w:val="0"/>
        <w:spacing w:line="240" w:lineRule="atLeast"/>
        <w:ind w:left="567" w:hanging="567"/>
        <w:contextualSpacing/>
        <w:jc w:val="both"/>
        <w:rPr>
          <w:rFonts w:ascii="Thesans" w:hAnsi="Thesans" w:cs="Arial"/>
          <w:color w:val="000000"/>
          <w:sz w:val="22"/>
          <w:szCs w:val="22"/>
          <w:lang w:eastAsia="nl-NL"/>
        </w:rPr>
      </w:pPr>
      <w:r w:rsidRPr="008E1B3B">
        <w:rPr>
          <w:rFonts w:ascii="Thesans" w:hAnsi="Thesans" w:cs="Arial"/>
          <w:i/>
          <w:iCs/>
          <w:color w:val="000000"/>
          <w:sz w:val="22"/>
          <w:szCs w:val="22"/>
          <w:lang w:eastAsia="nl-NL"/>
        </w:rPr>
        <w:t>Verstrekt door betrokkene zelf (noodzakelijk voor bezorging / uitvoering overeenkomst):</w:t>
      </w:r>
    </w:p>
    <w:p w14:paraId="35416ED6" w14:textId="64BD58F4" w:rsidR="0044496A" w:rsidRPr="008E1B3B" w:rsidRDefault="0044496A" w:rsidP="00B563F7">
      <w:pPr>
        <w:widowControl w:val="0"/>
        <w:numPr>
          <w:ilvl w:val="0"/>
          <w:numId w:val="40"/>
        </w:numPr>
        <w:tabs>
          <w:tab w:val="left" w:pos="632"/>
        </w:tabs>
        <w:spacing w:line="240" w:lineRule="atLeast"/>
        <w:ind w:left="567" w:hanging="567"/>
        <w:contextualSpacing/>
        <w:jc w:val="both"/>
        <w:rPr>
          <w:rFonts w:ascii="Thesans" w:hAnsi="Thesans" w:cs="Arial"/>
          <w:color w:val="000000"/>
          <w:sz w:val="22"/>
          <w:szCs w:val="22"/>
          <w:lang w:eastAsia="nl-NL"/>
        </w:rPr>
      </w:pPr>
      <w:r w:rsidRPr="008E1B3B">
        <w:rPr>
          <w:rFonts w:ascii="Thesans" w:hAnsi="Thesans" w:cs="Arial"/>
          <w:color w:val="000000"/>
          <w:sz w:val="22"/>
          <w:szCs w:val="22"/>
          <w:lang w:eastAsia="nl-NL"/>
        </w:rPr>
        <w:t>Voor- en achternaam;</w:t>
      </w:r>
    </w:p>
    <w:p w14:paraId="5AB849D7" w14:textId="77777777" w:rsidR="00314CD8" w:rsidRPr="008E1B3B" w:rsidRDefault="00314CD8" w:rsidP="00B563F7">
      <w:pPr>
        <w:widowControl w:val="0"/>
        <w:numPr>
          <w:ilvl w:val="0"/>
          <w:numId w:val="40"/>
        </w:numPr>
        <w:tabs>
          <w:tab w:val="left" w:pos="632"/>
        </w:tabs>
        <w:spacing w:line="240" w:lineRule="atLeast"/>
        <w:ind w:left="567" w:hanging="567"/>
        <w:contextualSpacing/>
        <w:jc w:val="both"/>
        <w:rPr>
          <w:rFonts w:ascii="Thesans" w:hAnsi="Thesans" w:cs="Arial"/>
          <w:color w:val="000000"/>
          <w:sz w:val="22"/>
          <w:szCs w:val="22"/>
          <w:lang w:eastAsia="nl-NL"/>
        </w:rPr>
      </w:pPr>
      <w:r w:rsidRPr="008E1B3B">
        <w:rPr>
          <w:rFonts w:ascii="Thesans" w:hAnsi="Thesans" w:cs="Arial"/>
          <w:color w:val="000000"/>
          <w:sz w:val="22"/>
          <w:szCs w:val="22"/>
          <w:lang w:eastAsia="nl-NL"/>
        </w:rPr>
        <w:t>Telefoonnummer;</w:t>
      </w:r>
    </w:p>
    <w:p w14:paraId="6AF5B2E4" w14:textId="5BA185A8" w:rsidR="00314CD8" w:rsidRPr="008E1B3B" w:rsidRDefault="00314CD8" w:rsidP="00B563F7">
      <w:pPr>
        <w:widowControl w:val="0"/>
        <w:numPr>
          <w:ilvl w:val="0"/>
          <w:numId w:val="40"/>
        </w:numPr>
        <w:tabs>
          <w:tab w:val="left" w:pos="632"/>
        </w:tabs>
        <w:spacing w:line="240" w:lineRule="atLeast"/>
        <w:ind w:left="567" w:hanging="567"/>
        <w:contextualSpacing/>
        <w:jc w:val="both"/>
        <w:rPr>
          <w:rFonts w:ascii="Thesans" w:hAnsi="Thesans" w:cs="Arial"/>
          <w:color w:val="000000"/>
          <w:sz w:val="22"/>
          <w:szCs w:val="22"/>
          <w:lang w:eastAsia="nl-NL"/>
        </w:rPr>
      </w:pPr>
      <w:r w:rsidRPr="008E1B3B">
        <w:rPr>
          <w:rFonts w:ascii="Thesans" w:hAnsi="Thesans" w:cs="Arial"/>
          <w:color w:val="000000"/>
          <w:sz w:val="22"/>
          <w:szCs w:val="22"/>
          <w:lang w:eastAsia="nl-NL"/>
        </w:rPr>
        <w:t>Afleveradres.</w:t>
      </w:r>
    </w:p>
    <w:p w14:paraId="274826A5" w14:textId="77777777" w:rsidR="0044496A" w:rsidRPr="008E1B3B" w:rsidRDefault="0044496A" w:rsidP="00B563F7">
      <w:pPr>
        <w:widowControl w:val="0"/>
        <w:tabs>
          <w:tab w:val="left" w:pos="632"/>
        </w:tabs>
        <w:spacing w:line="240" w:lineRule="atLeast"/>
        <w:ind w:left="567" w:hanging="567"/>
        <w:contextualSpacing/>
        <w:jc w:val="both"/>
        <w:rPr>
          <w:rFonts w:ascii="Thesans" w:hAnsi="Thesans" w:cs="Arial"/>
          <w:color w:val="000000"/>
          <w:sz w:val="22"/>
          <w:szCs w:val="22"/>
          <w:lang w:eastAsia="nl-NL"/>
        </w:rPr>
      </w:pPr>
    </w:p>
    <w:p w14:paraId="6EDCC358" w14:textId="7EB443EE" w:rsidR="00314CD8" w:rsidRPr="008E1B3B" w:rsidRDefault="00314CD8" w:rsidP="00B563F7">
      <w:pPr>
        <w:widowControl w:val="0"/>
        <w:spacing w:line="240" w:lineRule="atLeast"/>
        <w:ind w:left="567" w:hanging="567"/>
        <w:contextualSpacing/>
        <w:jc w:val="both"/>
        <w:rPr>
          <w:rFonts w:ascii="Thesans" w:hAnsi="Thesans" w:cs="Arial"/>
          <w:color w:val="000000"/>
          <w:sz w:val="22"/>
          <w:szCs w:val="22"/>
          <w:u w:val="single"/>
          <w:lang w:eastAsia="nl-NL"/>
        </w:rPr>
      </w:pPr>
      <w:r w:rsidRPr="008E1B3B">
        <w:rPr>
          <w:rFonts w:ascii="Thesans" w:hAnsi="Thesans" w:cs="Arial"/>
          <w:color w:val="000000"/>
          <w:sz w:val="22"/>
          <w:szCs w:val="22"/>
          <w:lang w:eastAsia="nl-NL"/>
        </w:rPr>
        <w:t xml:space="preserve">D </w:t>
      </w:r>
      <w:r w:rsidR="0013072E" w:rsidRPr="008E1B3B">
        <w:rPr>
          <w:rFonts w:ascii="Thesans" w:hAnsi="Thesans" w:cs="Arial"/>
          <w:color w:val="000000"/>
          <w:sz w:val="22"/>
          <w:szCs w:val="22"/>
          <w:lang w:eastAsia="nl-NL"/>
        </w:rPr>
        <w:tab/>
      </w:r>
      <w:r w:rsidRPr="008E1B3B">
        <w:rPr>
          <w:rFonts w:ascii="Thesans" w:hAnsi="Thesans" w:cs="Arial"/>
          <w:color w:val="000000"/>
          <w:sz w:val="22"/>
          <w:szCs w:val="22"/>
          <w:u w:val="single"/>
          <w:lang w:eastAsia="nl-NL"/>
        </w:rPr>
        <w:t>Methode van gegevensuitwisseling</w:t>
      </w:r>
    </w:p>
    <w:p w14:paraId="76BAD004" w14:textId="77777777" w:rsidR="0013072E" w:rsidRPr="008E1B3B" w:rsidRDefault="0013072E" w:rsidP="00B563F7">
      <w:pPr>
        <w:widowControl w:val="0"/>
        <w:tabs>
          <w:tab w:val="left" w:pos="348"/>
        </w:tabs>
        <w:spacing w:line="240" w:lineRule="atLeast"/>
        <w:ind w:left="567" w:hanging="567"/>
        <w:contextualSpacing/>
        <w:jc w:val="both"/>
        <w:rPr>
          <w:rFonts w:ascii="Thesans" w:hAnsi="Thesans" w:cs="Arial"/>
          <w:color w:val="000000"/>
          <w:sz w:val="22"/>
          <w:szCs w:val="22"/>
          <w:lang w:eastAsia="nl-NL"/>
        </w:rPr>
      </w:pPr>
    </w:p>
    <w:p w14:paraId="5A8FF9E7" w14:textId="1F3AEB69" w:rsidR="00314CD8" w:rsidRPr="008E1B3B" w:rsidRDefault="00B563F7" w:rsidP="00B563F7">
      <w:pPr>
        <w:widowControl w:val="0"/>
        <w:spacing w:line="240" w:lineRule="atLeast"/>
        <w:contextualSpacing/>
        <w:jc w:val="both"/>
        <w:rPr>
          <w:rFonts w:ascii="Thesans" w:hAnsi="Thesans" w:cs="Arial"/>
          <w:color w:val="000000"/>
          <w:sz w:val="22"/>
          <w:szCs w:val="22"/>
          <w:lang w:eastAsia="nl-NL"/>
        </w:rPr>
      </w:pPr>
      <w:r w:rsidRPr="008E1B3B">
        <w:rPr>
          <w:rFonts w:ascii="Thesans" w:hAnsi="Thesans" w:cs="Arial"/>
          <w:color w:val="000000"/>
          <w:sz w:val="22"/>
          <w:szCs w:val="22"/>
          <w:lang w:eastAsia="nl-NL"/>
        </w:rPr>
        <w:t>Opdrachtgever</w:t>
      </w:r>
      <w:r w:rsidR="00314CD8" w:rsidRPr="008E1B3B">
        <w:rPr>
          <w:rFonts w:ascii="Thesans" w:hAnsi="Thesans" w:cs="Arial"/>
          <w:color w:val="000000"/>
          <w:sz w:val="22"/>
          <w:szCs w:val="22"/>
          <w:lang w:eastAsia="nl-NL"/>
        </w:rPr>
        <w:t xml:space="preserve"> verstuurt e-mailadressen en personeelsnummers van zijn medewerkers aan </w:t>
      </w:r>
      <w:r w:rsidR="008E1B3B" w:rsidRPr="008E1B3B">
        <w:rPr>
          <w:rFonts w:ascii="Thesans" w:hAnsi="Thesans" w:cs="Arial"/>
          <w:sz w:val="22"/>
          <w:szCs w:val="22"/>
          <w:highlight w:val="yellow"/>
        </w:rPr>
        <w:t xml:space="preserve">XXX </w:t>
      </w:r>
      <w:r w:rsidR="00E1154C" w:rsidRPr="008E1B3B">
        <w:rPr>
          <w:rFonts w:ascii="Thesans" w:hAnsi="Thesans" w:cs="Arial"/>
          <w:sz w:val="22"/>
          <w:szCs w:val="22"/>
        </w:rPr>
        <w:t xml:space="preserve"> </w:t>
      </w:r>
      <w:r w:rsidR="00314CD8" w:rsidRPr="008E1B3B">
        <w:rPr>
          <w:rFonts w:ascii="Thesans" w:hAnsi="Thesans" w:cs="Arial"/>
          <w:color w:val="000000"/>
          <w:sz w:val="22"/>
          <w:szCs w:val="22"/>
          <w:lang w:eastAsia="nl-NL"/>
        </w:rPr>
        <w:t>via een versleuteld Excel-overzicht ter verificatie van medewerkers.</w:t>
      </w:r>
      <w:r w:rsidR="0013072E" w:rsidRPr="008E1B3B">
        <w:rPr>
          <w:rFonts w:ascii="Thesans" w:hAnsi="Thesans" w:cs="Arial"/>
          <w:color w:val="000000"/>
          <w:sz w:val="22"/>
          <w:szCs w:val="22"/>
          <w:lang w:eastAsia="nl-NL"/>
        </w:rPr>
        <w:t xml:space="preserve"> </w:t>
      </w:r>
      <w:r w:rsidR="00314CD8" w:rsidRPr="008E1B3B">
        <w:rPr>
          <w:rFonts w:ascii="Thesans" w:hAnsi="Thesans" w:cs="Arial"/>
          <w:color w:val="000000"/>
          <w:sz w:val="22"/>
          <w:szCs w:val="22"/>
          <w:lang w:eastAsia="nl-NL"/>
        </w:rPr>
        <w:t xml:space="preserve">COA-medewerkers ontvangen via </w:t>
      </w:r>
      <w:r w:rsidRPr="008E1B3B">
        <w:rPr>
          <w:rFonts w:ascii="Thesans" w:hAnsi="Thesans" w:cs="Arial"/>
          <w:color w:val="000000"/>
          <w:sz w:val="22"/>
          <w:szCs w:val="22"/>
          <w:lang w:eastAsia="nl-NL"/>
        </w:rPr>
        <w:t xml:space="preserve">Opdrachtgever </w:t>
      </w:r>
      <w:r w:rsidR="00314CD8" w:rsidRPr="008E1B3B">
        <w:rPr>
          <w:rFonts w:ascii="Thesans" w:hAnsi="Thesans" w:cs="Arial"/>
          <w:color w:val="000000"/>
          <w:sz w:val="22"/>
          <w:szCs w:val="22"/>
          <w:lang w:eastAsia="nl-NL"/>
        </w:rPr>
        <w:t xml:space="preserve"> een uitnodigingslink waarmee zij een account kunnen aanmaken op de portal. Via deze portal plaatst de COA- medewerker zijn/haar bestelling en voert zijn/haar contactgegevens in zodat de bestelling geleverd kan worden.</w:t>
      </w:r>
    </w:p>
    <w:p w14:paraId="53195D56" w14:textId="77777777" w:rsidR="0013072E" w:rsidRPr="008E1B3B" w:rsidRDefault="0013072E" w:rsidP="00B563F7">
      <w:pPr>
        <w:widowControl w:val="0"/>
        <w:spacing w:line="240" w:lineRule="atLeast"/>
        <w:contextualSpacing/>
        <w:jc w:val="both"/>
        <w:rPr>
          <w:rFonts w:ascii="Thesans" w:hAnsi="Thesans" w:cs="Arial"/>
          <w:color w:val="000000"/>
          <w:sz w:val="22"/>
          <w:szCs w:val="22"/>
          <w:lang w:eastAsia="nl-NL"/>
        </w:rPr>
      </w:pPr>
    </w:p>
    <w:p w14:paraId="4B568710" w14:textId="3C07BD97" w:rsidR="00314CD8" w:rsidRPr="008E1B3B" w:rsidRDefault="00314CD8" w:rsidP="00B563F7">
      <w:pPr>
        <w:widowControl w:val="0"/>
        <w:spacing w:line="240" w:lineRule="atLeast"/>
        <w:contextualSpacing/>
        <w:jc w:val="both"/>
        <w:rPr>
          <w:rFonts w:ascii="Thesans" w:hAnsi="Thesans" w:cs="Arial"/>
          <w:color w:val="000000"/>
          <w:sz w:val="22"/>
          <w:szCs w:val="22"/>
          <w:lang w:eastAsia="nl-NL"/>
        </w:rPr>
      </w:pPr>
      <w:r w:rsidRPr="008E1B3B">
        <w:rPr>
          <w:rFonts w:ascii="Thesans" w:hAnsi="Thesans" w:cs="Arial"/>
          <w:color w:val="000000"/>
          <w:sz w:val="22"/>
          <w:szCs w:val="22"/>
          <w:lang w:eastAsia="nl-NL"/>
        </w:rPr>
        <w:t xml:space="preserve">Ten behoeve van aflevering, </w:t>
      </w:r>
      <w:r w:rsidR="007B6401" w:rsidRPr="008E1B3B">
        <w:rPr>
          <w:rFonts w:ascii="Thesans" w:hAnsi="Thesans" w:cs="Arial"/>
          <w:color w:val="000000"/>
          <w:sz w:val="22"/>
          <w:szCs w:val="22"/>
          <w:lang w:eastAsia="nl-NL"/>
        </w:rPr>
        <w:t xml:space="preserve">montage, </w:t>
      </w:r>
      <w:bookmarkStart w:id="13" w:name="OpenAt"/>
      <w:bookmarkEnd w:id="13"/>
      <w:r w:rsidRPr="008E1B3B">
        <w:rPr>
          <w:rFonts w:ascii="Thesans" w:hAnsi="Thesans" w:cs="Arial"/>
          <w:color w:val="000000"/>
          <w:sz w:val="22"/>
          <w:szCs w:val="22"/>
          <w:lang w:eastAsia="nl-NL"/>
        </w:rPr>
        <w:t>garantie- en serviceverplichtingen, product</w:t>
      </w:r>
      <w:r w:rsidR="0013072E" w:rsidRPr="008E1B3B">
        <w:rPr>
          <w:rFonts w:ascii="Thesans" w:hAnsi="Thesans" w:cs="Arial"/>
          <w:color w:val="000000"/>
          <w:sz w:val="22"/>
          <w:szCs w:val="22"/>
          <w:lang w:eastAsia="nl-NL"/>
        </w:rPr>
        <w:t>-</w:t>
      </w:r>
      <w:r w:rsidRPr="008E1B3B">
        <w:rPr>
          <w:rFonts w:ascii="Thesans" w:hAnsi="Thesans" w:cs="Arial"/>
          <w:color w:val="000000"/>
          <w:sz w:val="22"/>
          <w:szCs w:val="22"/>
          <w:lang w:eastAsia="nl-NL"/>
        </w:rPr>
        <w:t xml:space="preserve">aansprakelijkheid en facturatie verwijdert </w:t>
      </w:r>
      <w:r w:rsidR="008E1B3B" w:rsidRPr="008E1B3B">
        <w:rPr>
          <w:rFonts w:ascii="Thesans" w:hAnsi="Thesans" w:cs="Arial"/>
          <w:sz w:val="22"/>
          <w:szCs w:val="22"/>
          <w:highlight w:val="yellow"/>
        </w:rPr>
        <w:t xml:space="preserve">XXX </w:t>
      </w:r>
      <w:r w:rsidR="00E1154C" w:rsidRPr="008E1B3B">
        <w:rPr>
          <w:rFonts w:ascii="Thesans" w:hAnsi="Thesans" w:cs="Arial"/>
          <w:sz w:val="22"/>
          <w:szCs w:val="22"/>
        </w:rPr>
        <w:t xml:space="preserve"> </w:t>
      </w:r>
      <w:r w:rsidRPr="008E1B3B">
        <w:rPr>
          <w:rFonts w:ascii="Thesans" w:hAnsi="Thesans" w:cs="Arial"/>
          <w:color w:val="000000"/>
          <w:sz w:val="22"/>
          <w:szCs w:val="22"/>
          <w:lang w:eastAsia="nl-NL"/>
        </w:rPr>
        <w:t>de door haar verwerkte persoonsgegevens uit haar informatiesystemen zo spoedig mogelijk nadat de overeenkomst is beëindigd, dan wel binnen ten hoogte twee jaren nadat het gebruik van kantoor meubilair en/of andere inrichtingsproducten door een</w:t>
      </w:r>
      <w:r w:rsidR="0044496A" w:rsidRPr="008E1B3B">
        <w:rPr>
          <w:rFonts w:ascii="Thesans" w:hAnsi="Thesans" w:cs="Arial"/>
          <w:color w:val="000000"/>
          <w:sz w:val="22"/>
          <w:szCs w:val="22"/>
          <w:lang w:eastAsia="nl-NL"/>
        </w:rPr>
        <w:t xml:space="preserve"> </w:t>
      </w:r>
      <w:r w:rsidRPr="008E1B3B">
        <w:rPr>
          <w:rFonts w:ascii="Thesans" w:hAnsi="Thesans" w:cs="Arial"/>
          <w:color w:val="000000"/>
          <w:sz w:val="22"/>
          <w:szCs w:val="22"/>
          <w:lang w:eastAsia="nl-NL"/>
        </w:rPr>
        <w:t xml:space="preserve">betrokkene ten einde is gekomen. Deze termijn staat los van eventuele wettelijke verplichtingen op grond waarvan </w:t>
      </w:r>
      <w:r w:rsidR="008E1B3B" w:rsidRPr="008E1B3B">
        <w:rPr>
          <w:rFonts w:ascii="Thesans" w:hAnsi="Thesans" w:cs="Arial"/>
          <w:sz w:val="22"/>
          <w:szCs w:val="22"/>
          <w:highlight w:val="yellow"/>
        </w:rPr>
        <w:t xml:space="preserve">XXX </w:t>
      </w:r>
      <w:r w:rsidR="00E1154C" w:rsidRPr="008E1B3B">
        <w:rPr>
          <w:rFonts w:ascii="Thesans" w:hAnsi="Thesans" w:cs="Arial"/>
          <w:sz w:val="22"/>
          <w:szCs w:val="22"/>
        </w:rPr>
        <w:t xml:space="preserve"> </w:t>
      </w:r>
      <w:r w:rsidRPr="008E1B3B">
        <w:rPr>
          <w:rFonts w:ascii="Thesans" w:hAnsi="Thesans" w:cs="Arial"/>
          <w:color w:val="000000"/>
          <w:sz w:val="22"/>
          <w:szCs w:val="22"/>
          <w:lang w:eastAsia="nl-NL"/>
        </w:rPr>
        <w:t>is gehouden persoonsgegevens langer te bewaren, zoals de fiscale bewaarplicht.</w:t>
      </w:r>
    </w:p>
    <w:p w14:paraId="0672B035" w14:textId="77777777" w:rsidR="0013072E" w:rsidRPr="008E1B3B" w:rsidRDefault="0013072E" w:rsidP="00B563F7">
      <w:pPr>
        <w:widowControl w:val="0"/>
        <w:spacing w:line="240" w:lineRule="atLeast"/>
        <w:contextualSpacing/>
        <w:jc w:val="both"/>
        <w:rPr>
          <w:rFonts w:ascii="Thesans" w:hAnsi="Thesans" w:cs="Arial"/>
          <w:color w:val="000000"/>
          <w:sz w:val="22"/>
          <w:szCs w:val="22"/>
          <w:lang w:eastAsia="nl-NL"/>
        </w:rPr>
      </w:pPr>
    </w:p>
    <w:p w14:paraId="51884BDA" w14:textId="40119CAC" w:rsidR="00314CD8" w:rsidRPr="008E1B3B" w:rsidRDefault="00314CD8" w:rsidP="00B563F7">
      <w:pPr>
        <w:widowControl w:val="0"/>
        <w:spacing w:line="240" w:lineRule="atLeast"/>
        <w:ind w:left="567" w:hanging="567"/>
        <w:contextualSpacing/>
        <w:jc w:val="both"/>
        <w:rPr>
          <w:rFonts w:ascii="Thesans" w:hAnsi="Thesans" w:cs="Arial"/>
          <w:color w:val="000000"/>
          <w:sz w:val="22"/>
          <w:szCs w:val="22"/>
          <w:u w:val="single"/>
          <w:lang w:eastAsia="nl-NL"/>
        </w:rPr>
      </w:pPr>
      <w:r w:rsidRPr="008E1B3B">
        <w:rPr>
          <w:rFonts w:ascii="Thesans" w:hAnsi="Thesans" w:cs="Arial"/>
          <w:color w:val="000000"/>
          <w:sz w:val="22"/>
          <w:szCs w:val="22"/>
          <w:lang w:eastAsia="nl-NL"/>
        </w:rPr>
        <w:t xml:space="preserve">E. </w:t>
      </w:r>
      <w:r w:rsidR="0013072E" w:rsidRPr="008E1B3B">
        <w:rPr>
          <w:rFonts w:ascii="Thesans" w:hAnsi="Thesans" w:cs="Arial"/>
          <w:color w:val="000000"/>
          <w:sz w:val="22"/>
          <w:szCs w:val="22"/>
          <w:lang w:eastAsia="nl-NL"/>
        </w:rPr>
        <w:tab/>
      </w:r>
      <w:r w:rsidRPr="008E1B3B">
        <w:rPr>
          <w:rFonts w:ascii="Thesans" w:hAnsi="Thesans" w:cs="Arial"/>
          <w:color w:val="000000"/>
          <w:sz w:val="22"/>
          <w:szCs w:val="22"/>
          <w:u w:val="single"/>
          <w:lang w:eastAsia="nl-NL"/>
        </w:rPr>
        <w:t>Contactpersonen</w:t>
      </w:r>
    </w:p>
    <w:p w14:paraId="0E97D4A0" w14:textId="77777777" w:rsidR="0013072E" w:rsidRPr="008E1B3B" w:rsidRDefault="0013072E" w:rsidP="00B563F7">
      <w:pPr>
        <w:widowControl w:val="0"/>
        <w:spacing w:line="240" w:lineRule="atLeast"/>
        <w:ind w:left="567" w:hanging="567"/>
        <w:contextualSpacing/>
        <w:jc w:val="both"/>
        <w:rPr>
          <w:rFonts w:ascii="Thesans" w:hAnsi="Thesans" w:cs="Arial"/>
          <w:color w:val="000000"/>
          <w:sz w:val="22"/>
          <w:szCs w:val="22"/>
          <w:lang w:eastAsia="nl-NL"/>
        </w:rPr>
      </w:pPr>
    </w:p>
    <w:p w14:paraId="7E4821AA" w14:textId="77777777" w:rsidR="008E1B3B" w:rsidRPr="008E1B3B" w:rsidRDefault="008E1B3B" w:rsidP="00B563F7">
      <w:pPr>
        <w:widowControl w:val="0"/>
        <w:spacing w:line="240" w:lineRule="atLeast"/>
        <w:ind w:left="567" w:hanging="567"/>
        <w:contextualSpacing/>
        <w:jc w:val="both"/>
        <w:rPr>
          <w:rFonts w:ascii="Thesans" w:hAnsi="Thesans" w:cs="Arial"/>
          <w:color w:val="000000"/>
          <w:sz w:val="22"/>
          <w:szCs w:val="22"/>
          <w:lang w:eastAsia="nl-NL"/>
        </w:rPr>
      </w:pPr>
    </w:p>
    <w:tbl>
      <w:tblPr>
        <w:tblStyle w:val="Tabelraster"/>
        <w:tblW w:w="0" w:type="auto"/>
        <w:tblInd w:w="567" w:type="dxa"/>
        <w:tblLook w:val="04A0" w:firstRow="1" w:lastRow="0" w:firstColumn="1" w:lastColumn="0" w:noHBand="0" w:noVBand="1"/>
      </w:tblPr>
      <w:tblGrid>
        <w:gridCol w:w="2197"/>
        <w:gridCol w:w="2147"/>
        <w:gridCol w:w="2147"/>
        <w:gridCol w:w="1958"/>
      </w:tblGrid>
      <w:tr w:rsidR="008E1B3B" w:rsidRPr="008E1B3B" w14:paraId="273F8F10" w14:textId="70C432A5" w:rsidTr="008E1B3B">
        <w:tc>
          <w:tcPr>
            <w:tcW w:w="2197" w:type="dxa"/>
          </w:tcPr>
          <w:p w14:paraId="2F83D40C" w14:textId="03D4971E" w:rsidR="008E1B3B" w:rsidRPr="008E1B3B" w:rsidRDefault="008E1B3B" w:rsidP="00B563F7">
            <w:pPr>
              <w:widowControl w:val="0"/>
              <w:spacing w:line="240" w:lineRule="atLeast"/>
              <w:contextualSpacing/>
              <w:jc w:val="both"/>
              <w:rPr>
                <w:rFonts w:ascii="Thesans" w:hAnsi="Thesans" w:cs="Arial"/>
                <w:color w:val="000000"/>
                <w:sz w:val="22"/>
                <w:szCs w:val="22"/>
                <w:lang w:eastAsia="nl-NL"/>
              </w:rPr>
            </w:pPr>
            <w:r w:rsidRPr="008E1B3B">
              <w:rPr>
                <w:rFonts w:ascii="Thesans" w:hAnsi="Thesans" w:cs="Arial"/>
                <w:b/>
                <w:bCs/>
                <w:color w:val="000000"/>
                <w:sz w:val="22"/>
                <w:szCs w:val="22"/>
                <w:lang w:eastAsia="nl-NL"/>
              </w:rPr>
              <w:t xml:space="preserve">Rol en functie  </w:t>
            </w:r>
          </w:p>
        </w:tc>
        <w:tc>
          <w:tcPr>
            <w:tcW w:w="2147" w:type="dxa"/>
          </w:tcPr>
          <w:p w14:paraId="6F6A9A63" w14:textId="6DD7EFE0" w:rsidR="008E1B3B" w:rsidRPr="008E1B3B" w:rsidRDefault="008E1B3B" w:rsidP="00B563F7">
            <w:pPr>
              <w:widowControl w:val="0"/>
              <w:spacing w:line="240" w:lineRule="atLeast"/>
              <w:contextualSpacing/>
              <w:jc w:val="both"/>
              <w:rPr>
                <w:rFonts w:ascii="Thesans" w:hAnsi="Thesans" w:cs="Arial"/>
                <w:color w:val="000000"/>
                <w:sz w:val="22"/>
                <w:szCs w:val="22"/>
                <w:lang w:eastAsia="nl-NL"/>
              </w:rPr>
            </w:pPr>
            <w:r w:rsidRPr="008E1B3B">
              <w:rPr>
                <w:rFonts w:ascii="Thesans" w:hAnsi="Thesans" w:cs="Arial"/>
                <w:b/>
                <w:bCs/>
                <w:color w:val="000000"/>
                <w:sz w:val="22"/>
                <w:szCs w:val="22"/>
                <w:lang w:eastAsia="nl-NL"/>
              </w:rPr>
              <w:t>Naam</w:t>
            </w:r>
          </w:p>
        </w:tc>
        <w:tc>
          <w:tcPr>
            <w:tcW w:w="2147" w:type="dxa"/>
          </w:tcPr>
          <w:p w14:paraId="67B1B37C" w14:textId="09DDADB6" w:rsidR="008E1B3B" w:rsidRPr="008E1B3B" w:rsidRDefault="008E1B3B" w:rsidP="00B563F7">
            <w:pPr>
              <w:widowControl w:val="0"/>
              <w:spacing w:line="240" w:lineRule="atLeast"/>
              <w:contextualSpacing/>
              <w:jc w:val="both"/>
              <w:rPr>
                <w:rFonts w:ascii="Thesans" w:hAnsi="Thesans" w:cs="Arial"/>
                <w:color w:val="000000"/>
                <w:sz w:val="22"/>
                <w:szCs w:val="22"/>
                <w:lang w:eastAsia="nl-NL"/>
              </w:rPr>
            </w:pPr>
            <w:r w:rsidRPr="008E1B3B">
              <w:rPr>
                <w:rFonts w:ascii="Thesans" w:hAnsi="Thesans" w:cs="Arial"/>
                <w:b/>
                <w:bCs/>
                <w:color w:val="000000"/>
                <w:sz w:val="22"/>
                <w:szCs w:val="22"/>
                <w:lang w:eastAsia="nl-NL"/>
              </w:rPr>
              <w:t>Email</w:t>
            </w:r>
          </w:p>
        </w:tc>
        <w:tc>
          <w:tcPr>
            <w:tcW w:w="1958" w:type="dxa"/>
          </w:tcPr>
          <w:p w14:paraId="31D7D921" w14:textId="44793AA7" w:rsidR="008E1B3B" w:rsidRPr="008E1B3B" w:rsidRDefault="008E1B3B" w:rsidP="00B563F7">
            <w:pPr>
              <w:widowControl w:val="0"/>
              <w:spacing w:line="240" w:lineRule="atLeast"/>
              <w:contextualSpacing/>
              <w:jc w:val="both"/>
              <w:rPr>
                <w:rFonts w:ascii="Thesans" w:hAnsi="Thesans" w:cs="Arial"/>
                <w:b/>
                <w:bCs/>
                <w:color w:val="000000"/>
                <w:sz w:val="22"/>
                <w:szCs w:val="22"/>
                <w:lang w:eastAsia="nl-NL"/>
              </w:rPr>
            </w:pPr>
            <w:r w:rsidRPr="008E1B3B">
              <w:rPr>
                <w:rFonts w:ascii="Thesans" w:hAnsi="Thesans" w:cs="Arial"/>
                <w:b/>
                <w:bCs/>
                <w:color w:val="000000"/>
                <w:sz w:val="22"/>
                <w:szCs w:val="22"/>
                <w:lang w:eastAsia="nl-NL"/>
              </w:rPr>
              <w:t>Telefoon</w:t>
            </w:r>
          </w:p>
        </w:tc>
      </w:tr>
      <w:tr w:rsidR="008E1B3B" w:rsidRPr="008E1B3B" w14:paraId="5C8C8E01" w14:textId="40B1A420" w:rsidTr="008E1B3B">
        <w:tc>
          <w:tcPr>
            <w:tcW w:w="2197" w:type="dxa"/>
          </w:tcPr>
          <w:p w14:paraId="4C602BAF" w14:textId="77777777" w:rsidR="008E1B3B" w:rsidRPr="008E1B3B" w:rsidRDefault="008E1B3B" w:rsidP="00B563F7">
            <w:pPr>
              <w:widowControl w:val="0"/>
              <w:spacing w:line="240" w:lineRule="atLeast"/>
              <w:contextualSpacing/>
              <w:jc w:val="both"/>
              <w:rPr>
                <w:rFonts w:ascii="Thesans" w:hAnsi="Thesans" w:cs="Arial"/>
                <w:color w:val="000000"/>
                <w:sz w:val="22"/>
                <w:szCs w:val="22"/>
                <w:lang w:eastAsia="nl-NL"/>
              </w:rPr>
            </w:pPr>
          </w:p>
        </w:tc>
        <w:tc>
          <w:tcPr>
            <w:tcW w:w="2147" w:type="dxa"/>
          </w:tcPr>
          <w:p w14:paraId="2078AE5F" w14:textId="77777777" w:rsidR="008E1B3B" w:rsidRPr="008E1B3B" w:rsidRDefault="008E1B3B" w:rsidP="00B563F7">
            <w:pPr>
              <w:widowControl w:val="0"/>
              <w:spacing w:line="240" w:lineRule="atLeast"/>
              <w:contextualSpacing/>
              <w:jc w:val="both"/>
              <w:rPr>
                <w:rFonts w:ascii="Thesans" w:hAnsi="Thesans" w:cs="Arial"/>
                <w:color w:val="000000"/>
                <w:sz w:val="22"/>
                <w:szCs w:val="22"/>
                <w:lang w:eastAsia="nl-NL"/>
              </w:rPr>
            </w:pPr>
          </w:p>
        </w:tc>
        <w:tc>
          <w:tcPr>
            <w:tcW w:w="2147" w:type="dxa"/>
          </w:tcPr>
          <w:p w14:paraId="50C6252A" w14:textId="77777777" w:rsidR="008E1B3B" w:rsidRPr="008E1B3B" w:rsidRDefault="008E1B3B" w:rsidP="00B563F7">
            <w:pPr>
              <w:widowControl w:val="0"/>
              <w:spacing w:line="240" w:lineRule="atLeast"/>
              <w:contextualSpacing/>
              <w:jc w:val="both"/>
              <w:rPr>
                <w:rFonts w:ascii="Thesans" w:hAnsi="Thesans" w:cs="Arial"/>
                <w:color w:val="000000"/>
                <w:sz w:val="22"/>
                <w:szCs w:val="22"/>
                <w:lang w:eastAsia="nl-NL"/>
              </w:rPr>
            </w:pPr>
          </w:p>
        </w:tc>
        <w:tc>
          <w:tcPr>
            <w:tcW w:w="1958" w:type="dxa"/>
          </w:tcPr>
          <w:p w14:paraId="79F230FE" w14:textId="77777777" w:rsidR="008E1B3B" w:rsidRPr="008E1B3B" w:rsidRDefault="008E1B3B" w:rsidP="00B563F7">
            <w:pPr>
              <w:widowControl w:val="0"/>
              <w:spacing w:line="240" w:lineRule="atLeast"/>
              <w:contextualSpacing/>
              <w:jc w:val="both"/>
              <w:rPr>
                <w:rFonts w:ascii="Thesans" w:hAnsi="Thesans" w:cs="Arial"/>
                <w:color w:val="000000"/>
                <w:sz w:val="22"/>
                <w:szCs w:val="22"/>
                <w:lang w:eastAsia="nl-NL"/>
              </w:rPr>
            </w:pPr>
          </w:p>
        </w:tc>
      </w:tr>
      <w:tr w:rsidR="008E1B3B" w:rsidRPr="008E1B3B" w14:paraId="1B440C42" w14:textId="5B4E8A84" w:rsidTr="008E1B3B">
        <w:tc>
          <w:tcPr>
            <w:tcW w:w="2197" w:type="dxa"/>
          </w:tcPr>
          <w:p w14:paraId="17309CB9" w14:textId="77777777" w:rsidR="008E1B3B" w:rsidRPr="008E1B3B" w:rsidRDefault="008E1B3B" w:rsidP="00B563F7">
            <w:pPr>
              <w:widowControl w:val="0"/>
              <w:spacing w:line="240" w:lineRule="atLeast"/>
              <w:contextualSpacing/>
              <w:jc w:val="both"/>
              <w:rPr>
                <w:rFonts w:ascii="Thesans" w:hAnsi="Thesans" w:cs="Arial"/>
                <w:color w:val="000000"/>
                <w:sz w:val="22"/>
                <w:szCs w:val="22"/>
                <w:lang w:eastAsia="nl-NL"/>
              </w:rPr>
            </w:pPr>
          </w:p>
        </w:tc>
        <w:tc>
          <w:tcPr>
            <w:tcW w:w="2147" w:type="dxa"/>
          </w:tcPr>
          <w:p w14:paraId="3EF92F50" w14:textId="77777777" w:rsidR="008E1B3B" w:rsidRPr="008E1B3B" w:rsidRDefault="008E1B3B" w:rsidP="00B563F7">
            <w:pPr>
              <w:widowControl w:val="0"/>
              <w:spacing w:line="240" w:lineRule="atLeast"/>
              <w:contextualSpacing/>
              <w:jc w:val="both"/>
              <w:rPr>
                <w:rFonts w:ascii="Thesans" w:hAnsi="Thesans" w:cs="Arial"/>
                <w:color w:val="000000"/>
                <w:sz w:val="22"/>
                <w:szCs w:val="22"/>
                <w:lang w:eastAsia="nl-NL"/>
              </w:rPr>
            </w:pPr>
          </w:p>
        </w:tc>
        <w:tc>
          <w:tcPr>
            <w:tcW w:w="2147" w:type="dxa"/>
          </w:tcPr>
          <w:p w14:paraId="7898DC30" w14:textId="77777777" w:rsidR="008E1B3B" w:rsidRPr="008E1B3B" w:rsidRDefault="008E1B3B" w:rsidP="00B563F7">
            <w:pPr>
              <w:widowControl w:val="0"/>
              <w:spacing w:line="240" w:lineRule="atLeast"/>
              <w:contextualSpacing/>
              <w:jc w:val="both"/>
              <w:rPr>
                <w:rFonts w:ascii="Thesans" w:hAnsi="Thesans" w:cs="Arial"/>
                <w:color w:val="000000"/>
                <w:sz w:val="22"/>
                <w:szCs w:val="22"/>
                <w:lang w:eastAsia="nl-NL"/>
              </w:rPr>
            </w:pPr>
          </w:p>
        </w:tc>
        <w:tc>
          <w:tcPr>
            <w:tcW w:w="1958" w:type="dxa"/>
          </w:tcPr>
          <w:p w14:paraId="6F24C8BC" w14:textId="77777777" w:rsidR="008E1B3B" w:rsidRPr="008E1B3B" w:rsidRDefault="008E1B3B" w:rsidP="00B563F7">
            <w:pPr>
              <w:widowControl w:val="0"/>
              <w:spacing w:line="240" w:lineRule="atLeast"/>
              <w:contextualSpacing/>
              <w:jc w:val="both"/>
              <w:rPr>
                <w:rFonts w:ascii="Thesans" w:hAnsi="Thesans" w:cs="Arial"/>
                <w:color w:val="000000"/>
                <w:sz w:val="22"/>
                <w:szCs w:val="22"/>
                <w:lang w:eastAsia="nl-NL"/>
              </w:rPr>
            </w:pPr>
          </w:p>
        </w:tc>
      </w:tr>
    </w:tbl>
    <w:p w14:paraId="20CFCD49" w14:textId="77777777" w:rsidR="008E1B3B" w:rsidRPr="008E1B3B" w:rsidRDefault="008E1B3B" w:rsidP="00B563F7">
      <w:pPr>
        <w:widowControl w:val="0"/>
        <w:spacing w:line="240" w:lineRule="atLeast"/>
        <w:ind w:left="567" w:hanging="567"/>
        <w:contextualSpacing/>
        <w:jc w:val="both"/>
        <w:rPr>
          <w:rFonts w:ascii="Thesans" w:hAnsi="Thesans" w:cs="Arial"/>
          <w:color w:val="000000"/>
          <w:sz w:val="22"/>
          <w:szCs w:val="22"/>
          <w:lang w:eastAsia="nl-NL"/>
        </w:rPr>
      </w:pPr>
    </w:p>
    <w:p w14:paraId="31CD87D0" w14:textId="77777777" w:rsidR="008E1B3B" w:rsidRPr="008E1B3B" w:rsidRDefault="008E1B3B" w:rsidP="00B563F7">
      <w:pPr>
        <w:widowControl w:val="0"/>
        <w:spacing w:line="240" w:lineRule="atLeast"/>
        <w:ind w:left="567" w:hanging="567"/>
        <w:contextualSpacing/>
        <w:jc w:val="both"/>
        <w:rPr>
          <w:rFonts w:ascii="Thesans" w:hAnsi="Thesans" w:cs="Arial"/>
          <w:color w:val="000000"/>
          <w:sz w:val="22"/>
          <w:szCs w:val="22"/>
          <w:lang w:eastAsia="nl-NL"/>
        </w:rPr>
      </w:pPr>
    </w:p>
    <w:sectPr w:rsidR="008E1B3B" w:rsidRPr="008E1B3B" w:rsidSect="00FF10AC">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D198" w14:textId="77777777" w:rsidR="005330D4" w:rsidRDefault="005330D4">
      <w:pPr>
        <w:spacing w:line="240" w:lineRule="auto"/>
      </w:pPr>
      <w:r>
        <w:separator/>
      </w:r>
    </w:p>
  </w:endnote>
  <w:endnote w:type="continuationSeparator" w:id="0">
    <w:p w14:paraId="35B813ED" w14:textId="77777777" w:rsidR="005330D4" w:rsidRDefault="00533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e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Italic">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AD1A" w14:textId="77777777" w:rsidR="0030325A" w:rsidRDefault="005330D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35E573B8"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288B" w14:textId="403639AA" w:rsidR="0030325A" w:rsidRDefault="00F93D61" w:rsidP="00E01AAC">
    <w:pPr>
      <w:pStyle w:val="Voettekst"/>
      <w:jc w:val="right"/>
      <w:rPr>
        <w:rStyle w:val="Paginanummer"/>
      </w:rPr>
    </w:pPr>
    <w:r>
      <w:rPr>
        <w:rStyle w:val="Paginanummer"/>
      </w:rPr>
      <w:t>2</w:t>
    </w:r>
    <w:r w:rsidR="005330D4">
      <w:rPr>
        <w:rStyle w:val="Paginanummer"/>
      </w:rPr>
      <w:t xml:space="preserve"> van </w:t>
    </w:r>
    <w:r>
      <w:rPr>
        <w:rStyle w:val="Paginanummer"/>
      </w:rPr>
      <w:t>2</w:t>
    </w:r>
  </w:p>
  <w:p w14:paraId="69545A13" w14:textId="77777777" w:rsidR="0030325A" w:rsidRDefault="0030325A">
    <w:pPr>
      <w:pStyle w:val="Voettekst"/>
      <w:ind w:right="360"/>
    </w:pPr>
  </w:p>
  <w:p w14:paraId="64107539"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14FE" w14:textId="77777777" w:rsidR="0030325A" w:rsidRDefault="005330D4">
    <w:pPr>
      <w:pStyle w:val="Voettekst"/>
    </w:pPr>
    <w:r>
      <w:rPr>
        <w:noProof/>
        <w:lang w:eastAsia="nl-NL"/>
      </w:rPr>
      <mc:AlternateContent>
        <mc:Choice Requires="wps">
          <w:drawing>
            <wp:anchor distT="0" distB="0" distL="114300" distR="114300" simplePos="0" relativeHeight="251660288" behindDoc="0" locked="0" layoutInCell="1" hidden="1" allowOverlap="1" wp14:anchorId="32485002" wp14:editId="1B321DB1">
              <wp:simplePos x="0" y="0"/>
              <wp:positionH relativeFrom="page">
                <wp:posOffset>2976880</wp:posOffset>
              </wp:positionH>
              <wp:positionV relativeFrom="page">
                <wp:posOffset>9495155</wp:posOffset>
              </wp:positionV>
              <wp:extent cx="3422650" cy="228600"/>
              <wp:effectExtent l="0" t="0" r="1270" b="127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A9D548" w14:textId="77777777" w:rsidR="0030325A" w:rsidRDefault="005330D4">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96A7B">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96A7B">
                            <w:rPr>
                              <w:rStyle w:val="Paginanummer"/>
                              <w:noProof/>
                            </w:rPr>
                            <w:t>1</w:t>
                          </w:r>
                          <w:r>
                            <w:rPr>
                              <w:rStyle w:val="Paginanummer"/>
                            </w:rPr>
                            <w:fldChar w:fldCharType="end"/>
                          </w:r>
                        </w:p>
                        <w:p w14:paraId="4A681E05" w14:textId="77777777" w:rsidR="0030325A" w:rsidRDefault="0030325A"/>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2485002" id="_x0000_t202" coordsize="21600,21600" o:spt="202" path="m,l,21600r21600,l21600,xe">
              <v:stroke joinstyle="miter"/>
              <v:path gradientshapeok="t" o:connecttype="rect"/>
            </v:shapetype>
            <v:shape id="PageNrFirstPage" o:spid="_x0000_s1029" type="#_x0000_t202" style="position:absolute;margin-left:234.4pt;margin-top:747.65pt;width:269.5pt;height:18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" filled="f" stroked="f">
              <v:textbox inset="0,0,0,0">
                <w:txbxContent>
                  <w:p w14:paraId="6CA9D548" w14:textId="77777777" w:rsidR="0030325A" w:rsidRDefault="005330D4">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96A7B">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96A7B">
                      <w:rPr>
                        <w:rStyle w:val="Paginanummer"/>
                        <w:noProof/>
                      </w:rPr>
                      <w:t>1</w:t>
                    </w:r>
                    <w:r>
                      <w:rPr>
                        <w:rStyle w:val="Paginanummer"/>
                      </w:rPr>
                      <w:fldChar w:fldCharType="end"/>
                    </w:r>
                  </w:p>
                  <w:p w14:paraId="4A681E05" w14:textId="77777777" w:rsidR="0030325A" w:rsidRDefault="0030325A"/>
                </w:txbxContent>
              </v:textbox>
              <w10:wrap anchorx="page" anchory="page"/>
            </v:shape>
          </w:pict>
        </mc:Fallback>
      </mc:AlternateContent>
    </w:r>
  </w:p>
  <w:p w14:paraId="798A4051"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F1177" w14:textId="77777777" w:rsidR="005330D4" w:rsidRDefault="005330D4">
      <w:pPr>
        <w:spacing w:line="240" w:lineRule="auto"/>
      </w:pPr>
      <w:r>
        <w:separator/>
      </w:r>
    </w:p>
  </w:footnote>
  <w:footnote w:type="continuationSeparator" w:id="0">
    <w:p w14:paraId="4F2A0CD5" w14:textId="77777777" w:rsidR="005330D4" w:rsidRDefault="005330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562B" w14:textId="2E6ED8E9" w:rsidR="00F10CCB" w:rsidRDefault="00F10CCB">
    <w:pPr>
      <w:pStyle w:val="Koptekst"/>
    </w:pPr>
    <w:r>
      <w:rPr>
        <w:noProof/>
      </w:rPr>
      <mc:AlternateContent>
        <mc:Choice Requires="wps">
          <w:drawing>
            <wp:anchor distT="0" distB="0" distL="0" distR="0" simplePos="0" relativeHeight="251662336" behindDoc="0" locked="0" layoutInCell="1" allowOverlap="1" wp14:anchorId="6D84221B" wp14:editId="34700EC3">
              <wp:simplePos x="635" y="635"/>
              <wp:positionH relativeFrom="page">
                <wp:align>center</wp:align>
              </wp:positionH>
              <wp:positionV relativeFrom="page">
                <wp:align>top</wp:align>
              </wp:positionV>
              <wp:extent cx="781050" cy="368300"/>
              <wp:effectExtent l="0" t="0" r="0" b="12700"/>
              <wp:wrapNone/>
              <wp:docPr id="616037253"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6A4EC263" w14:textId="6A84514A" w:rsidR="00F10CCB" w:rsidRPr="00F10CCB" w:rsidRDefault="00F10CCB" w:rsidP="00F10CCB">
                          <w:pPr>
                            <w:rPr>
                              <w:rFonts w:ascii="Aptos" w:eastAsia="Aptos" w:hAnsi="Aptos" w:cs="Aptos"/>
                              <w:noProof/>
                              <w:color w:val="000000"/>
                              <w:szCs w:val="20"/>
                            </w:rPr>
                          </w:pPr>
                          <w:r w:rsidRPr="00F10CCB">
                            <w:rPr>
                              <w:rFonts w:ascii="Aptos" w:eastAsia="Aptos" w:hAnsi="Aptos" w:cs="Aptos"/>
                              <w:noProof/>
                              <w:color w:val="00000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84221B" id="_x0000_t202" coordsize="21600,21600" o:spt="202" path="m,l,21600r21600,l21600,xe">
              <v:stroke joinstyle="miter"/>
              <v:path gradientshapeok="t" o:connecttype="rect"/>
            </v:shapetype>
            <v:shape id="Tekstvak 2" o:spid="_x0000_s1026" type="#_x0000_t202" alt="Niet openbaar" style="position:absolute;margin-left:0;margin-top:0;width:61.5pt;height:29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" filled="f" stroked="f">
              <v:fill o:detectmouseclick="t"/>
              <v:textbox style="mso-fit-shape-to-text:t" inset="0,15pt,0,0">
                <w:txbxContent>
                  <w:p w14:paraId="6A4EC263" w14:textId="6A84514A" w:rsidR="00F10CCB" w:rsidRPr="00F10CCB" w:rsidRDefault="00F10CCB" w:rsidP="00F10CCB">
                    <w:pPr>
                      <w:rPr>
                        <w:rFonts w:ascii="Aptos" w:eastAsia="Aptos" w:hAnsi="Aptos" w:cs="Aptos"/>
                        <w:noProof/>
                        <w:color w:val="000000"/>
                        <w:szCs w:val="20"/>
                      </w:rPr>
                    </w:pPr>
                    <w:r w:rsidRPr="00F10CCB">
                      <w:rPr>
                        <w:rFonts w:ascii="Aptos" w:eastAsia="Aptos" w:hAnsi="Aptos" w:cs="Aptos"/>
                        <w:noProof/>
                        <w:color w:val="00000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95B0" w14:textId="1049EE70" w:rsidR="0030325A" w:rsidRDefault="00F10CCB">
    <w:pPr>
      <w:pStyle w:val="Koptekst"/>
    </w:pPr>
    <w:bookmarkStart w:id="14" w:name="bmOtherPages"/>
    <w:r>
      <w:rPr>
        <w:noProof/>
      </w:rPr>
      <mc:AlternateContent>
        <mc:Choice Requires="wps">
          <w:drawing>
            <wp:anchor distT="0" distB="0" distL="0" distR="0" simplePos="0" relativeHeight="251663360" behindDoc="0" locked="0" layoutInCell="1" allowOverlap="1" wp14:anchorId="7F4CFCCD" wp14:editId="2A7EBACF">
              <wp:simplePos x="914400" y="450850"/>
              <wp:positionH relativeFrom="page">
                <wp:align>center</wp:align>
              </wp:positionH>
              <wp:positionV relativeFrom="page">
                <wp:align>top</wp:align>
              </wp:positionV>
              <wp:extent cx="781050" cy="368300"/>
              <wp:effectExtent l="0" t="0" r="0" b="12700"/>
              <wp:wrapNone/>
              <wp:docPr id="176371735" name="Tekstvak 3"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54D14336" w14:textId="7B0C5F62" w:rsidR="00F10CCB" w:rsidRPr="00F10CCB" w:rsidRDefault="00F10CCB" w:rsidP="00F10CCB">
                          <w:pPr>
                            <w:rPr>
                              <w:rFonts w:ascii="Aptos" w:eastAsia="Aptos" w:hAnsi="Aptos" w:cs="Aptos"/>
                              <w:noProof/>
                              <w:color w:val="000000"/>
                              <w:szCs w:val="20"/>
                            </w:rPr>
                          </w:pPr>
                          <w:r w:rsidRPr="00F10CCB">
                            <w:rPr>
                              <w:rFonts w:ascii="Aptos" w:eastAsia="Aptos" w:hAnsi="Aptos" w:cs="Aptos"/>
                              <w:noProof/>
                              <w:color w:val="00000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4CFCCD" id="_x0000_t202" coordsize="21600,21600" o:spt="202" path="m,l,21600r21600,l21600,xe">
              <v:stroke joinstyle="miter"/>
              <v:path gradientshapeok="t" o:connecttype="rect"/>
            </v:shapetype>
            <v:shape id="Tekstvak 3" o:spid="_x0000_s1027" type="#_x0000_t202" alt="Niet openbaar" style="position:absolute;margin-left:0;margin-top:0;width:61.5pt;height:29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" filled="f" stroked="f">
              <v:fill o:detectmouseclick="t"/>
              <v:textbox style="mso-fit-shape-to-text:t" inset="0,15pt,0,0">
                <w:txbxContent>
                  <w:p w14:paraId="54D14336" w14:textId="7B0C5F62" w:rsidR="00F10CCB" w:rsidRPr="00F10CCB" w:rsidRDefault="00F10CCB" w:rsidP="00F10CCB">
                    <w:pPr>
                      <w:rPr>
                        <w:rFonts w:ascii="Aptos" w:eastAsia="Aptos" w:hAnsi="Aptos" w:cs="Aptos"/>
                        <w:noProof/>
                        <w:color w:val="000000"/>
                        <w:szCs w:val="20"/>
                      </w:rPr>
                    </w:pPr>
                    <w:r w:rsidRPr="00F10CCB">
                      <w:rPr>
                        <w:rFonts w:ascii="Aptos" w:eastAsia="Aptos" w:hAnsi="Aptos" w:cs="Aptos"/>
                        <w:noProof/>
                        <w:color w:val="000000"/>
                        <w:szCs w:val="20"/>
                      </w:rPr>
                      <w:t>Niet openbaar</w:t>
                    </w:r>
                  </w:p>
                </w:txbxContent>
              </v:textbox>
              <w10:wrap anchorx="page" anchory="page"/>
            </v:shape>
          </w:pict>
        </mc:Fallback>
      </mc:AlternateContent>
    </w:r>
    <w:r w:rsidR="005330D4">
      <w:rPr>
        <w:noProof/>
      </w:rPr>
      <w:drawing>
        <wp:anchor distT="0" distB="0" distL="114300" distR="114300" simplePos="0" relativeHeight="251658240" behindDoc="0" locked="0" layoutInCell="1" allowOverlap="1" wp14:anchorId="2940CB50" wp14:editId="35C477EE">
          <wp:simplePos x="0" y="0"/>
          <wp:positionH relativeFrom="page">
            <wp:posOffset>503555</wp:posOffset>
          </wp:positionH>
          <wp:positionV relativeFrom="page">
            <wp:posOffset>252095</wp:posOffset>
          </wp:positionV>
          <wp:extent cx="3683000" cy="838540"/>
          <wp:effectExtent l="0" t="0" r="0" b="0"/>
          <wp:wrapSquare wrapText="bothSides"/>
          <wp:docPr id="497722321" name="Afbeelding 49772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
                  <a:stretch>
                    <a:fillRect/>
                  </a:stretch>
                </pic:blipFill>
                <pic:spPr>
                  <a:xfrm>
                    <a:off x="0" y="0"/>
                    <a:ext cx="3683000" cy="838540"/>
                  </a:xfrm>
                  <a:prstGeom prst="rect">
                    <a:avLst/>
                  </a:prstGeom>
                </pic:spPr>
              </pic:pic>
            </a:graphicData>
          </a:graphic>
        </wp:anchor>
      </w:drawing>
    </w:r>
    <w:bookmarkEnd w:id="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EC00" w14:textId="434A6E00" w:rsidR="0030325A" w:rsidRDefault="00F10CCB">
    <w:pPr>
      <w:pStyle w:val="Koptekst"/>
    </w:pPr>
    <w:bookmarkStart w:id="15" w:name="bmLogoFirstPage"/>
    <w:r>
      <w:rPr>
        <w:noProof/>
      </w:rPr>
      <mc:AlternateContent>
        <mc:Choice Requires="wps">
          <w:drawing>
            <wp:anchor distT="0" distB="0" distL="0" distR="0" simplePos="0" relativeHeight="251661312" behindDoc="0" locked="0" layoutInCell="1" allowOverlap="1" wp14:anchorId="196AE0A0" wp14:editId="12546045">
              <wp:simplePos x="635" y="635"/>
              <wp:positionH relativeFrom="page">
                <wp:align>center</wp:align>
              </wp:positionH>
              <wp:positionV relativeFrom="page">
                <wp:align>top</wp:align>
              </wp:positionV>
              <wp:extent cx="781050" cy="368300"/>
              <wp:effectExtent l="0" t="0" r="0" b="12700"/>
              <wp:wrapNone/>
              <wp:docPr id="1187261429" name="Tekstvak 1"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0C9E7039" w14:textId="3543F0E2" w:rsidR="00F10CCB" w:rsidRPr="00F10CCB" w:rsidRDefault="00F10CCB" w:rsidP="00F10CCB">
                          <w:pPr>
                            <w:rPr>
                              <w:rFonts w:ascii="Aptos" w:eastAsia="Aptos" w:hAnsi="Aptos" w:cs="Aptos"/>
                              <w:noProof/>
                              <w:color w:val="000000"/>
                              <w:szCs w:val="20"/>
                            </w:rPr>
                          </w:pPr>
                          <w:r w:rsidRPr="00F10CCB">
                            <w:rPr>
                              <w:rFonts w:ascii="Aptos" w:eastAsia="Aptos" w:hAnsi="Aptos" w:cs="Aptos"/>
                              <w:noProof/>
                              <w:color w:val="00000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6AE0A0" id="_x0000_t202" coordsize="21600,21600" o:spt="202" path="m,l,21600r21600,l21600,xe">
              <v:stroke joinstyle="miter"/>
              <v:path gradientshapeok="t" o:connecttype="rect"/>
            </v:shapetype>
            <v:shape id="Tekstvak 1" o:spid="_x0000_s1028" type="#_x0000_t202" alt="Niet openbaar" style="position:absolute;margin-left:0;margin-top:0;width:61.5pt;height:29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" filled="f" stroked="f">
              <v:fill o:detectmouseclick="t"/>
              <v:textbox style="mso-fit-shape-to-text:t" inset="0,15pt,0,0">
                <w:txbxContent>
                  <w:p w14:paraId="0C9E7039" w14:textId="3543F0E2" w:rsidR="00F10CCB" w:rsidRPr="00F10CCB" w:rsidRDefault="00F10CCB" w:rsidP="00F10CCB">
                    <w:pPr>
                      <w:rPr>
                        <w:rFonts w:ascii="Aptos" w:eastAsia="Aptos" w:hAnsi="Aptos" w:cs="Aptos"/>
                        <w:noProof/>
                        <w:color w:val="000000"/>
                        <w:szCs w:val="20"/>
                      </w:rPr>
                    </w:pPr>
                    <w:r w:rsidRPr="00F10CCB">
                      <w:rPr>
                        <w:rFonts w:ascii="Aptos" w:eastAsia="Aptos" w:hAnsi="Aptos" w:cs="Aptos"/>
                        <w:noProof/>
                        <w:color w:val="000000"/>
                        <w:szCs w:val="20"/>
                      </w:rPr>
                      <w:t>Niet openbaar</w:t>
                    </w:r>
                  </w:p>
                </w:txbxContent>
              </v:textbox>
              <w10:wrap anchorx="page" anchory="page"/>
            </v:shape>
          </w:pict>
        </mc:Fallback>
      </mc:AlternateContent>
    </w:r>
    <w:r w:rsidR="005330D4">
      <w:rPr>
        <w:noProof/>
      </w:rPr>
      <w:drawing>
        <wp:anchor distT="0" distB="0" distL="114300" distR="114300" simplePos="0" relativeHeight="251659264" behindDoc="0" locked="0" layoutInCell="1" allowOverlap="1" wp14:anchorId="4D39C452" wp14:editId="3C2D55FB">
          <wp:simplePos x="0" y="0"/>
          <wp:positionH relativeFrom="page">
            <wp:posOffset>503555</wp:posOffset>
          </wp:positionH>
          <wp:positionV relativeFrom="page">
            <wp:posOffset>252095</wp:posOffset>
          </wp:positionV>
          <wp:extent cx="3683000" cy="838540"/>
          <wp:effectExtent l="0" t="0" r="0" b="0"/>
          <wp:wrapSquare wrapText="bothSides"/>
          <wp:docPr id="1519007698" name="Afbeelding 151900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
                  <a:stretch>
                    <a:fillRect/>
                  </a:stretch>
                </pic:blipFill>
                <pic:spPr>
                  <a:xfrm>
                    <a:off x="0" y="0"/>
                    <a:ext cx="3683000" cy="838540"/>
                  </a:xfrm>
                  <a:prstGeom prst="rect">
                    <a:avLst/>
                  </a:prstGeom>
                </pic:spPr>
              </pic:pic>
            </a:graphicData>
          </a:graphic>
        </wp:anchor>
      </w:drawing>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2756768"/>
    <w:multiLevelType w:val="multilevel"/>
    <w:tmpl w:val="3124B510"/>
    <w:lvl w:ilvl="0">
      <w:start w:val="1"/>
      <w:numFmt w:val="decimal"/>
      <w:lvlText w:val="%1."/>
      <w:lvlJc w:val="left"/>
      <w:rPr>
        <w:rFonts w:ascii="Thesans" w:eastAsia="Times New Roman" w:hAnsi="Thesans" w:cs="Times New Roman" w:hint="default"/>
        <w:b w:val="0"/>
        <w:bCs w:val="0"/>
        <w:i w:val="0"/>
        <w:iCs w:val="0"/>
        <w:smallCaps w:val="0"/>
        <w:strike w:val="0"/>
        <w:color w:val="000000"/>
        <w:spacing w:val="0"/>
        <w:w w:val="100"/>
        <w:position w:val="0"/>
        <w:sz w:val="22"/>
        <w:szCs w:val="22"/>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E22D7B"/>
    <w:multiLevelType w:val="hybridMultilevel"/>
    <w:tmpl w:val="FF2837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0E58034A"/>
    <w:multiLevelType w:val="hybridMultilevel"/>
    <w:tmpl w:val="ACD88B3C"/>
    <w:lvl w:ilvl="0" w:tplc="04130001">
      <w:start w:val="1"/>
      <w:numFmt w:val="bullet"/>
      <w:lvlText w:val=""/>
      <w:lvlJc w:val="left"/>
      <w:pPr>
        <w:ind w:left="1940" w:hanging="360"/>
      </w:pPr>
      <w:rPr>
        <w:rFonts w:ascii="Symbol" w:hAnsi="Symbol" w:hint="default"/>
      </w:rPr>
    </w:lvl>
    <w:lvl w:ilvl="1" w:tplc="04130003" w:tentative="1">
      <w:start w:val="1"/>
      <w:numFmt w:val="bullet"/>
      <w:lvlText w:val="o"/>
      <w:lvlJc w:val="left"/>
      <w:pPr>
        <w:ind w:left="2660" w:hanging="360"/>
      </w:pPr>
      <w:rPr>
        <w:rFonts w:ascii="Courier New" w:hAnsi="Courier New" w:cs="Courier New" w:hint="default"/>
      </w:rPr>
    </w:lvl>
    <w:lvl w:ilvl="2" w:tplc="04130005" w:tentative="1">
      <w:start w:val="1"/>
      <w:numFmt w:val="bullet"/>
      <w:lvlText w:val=""/>
      <w:lvlJc w:val="left"/>
      <w:pPr>
        <w:ind w:left="3380" w:hanging="360"/>
      </w:pPr>
      <w:rPr>
        <w:rFonts w:ascii="Wingdings" w:hAnsi="Wingdings" w:hint="default"/>
      </w:rPr>
    </w:lvl>
    <w:lvl w:ilvl="3" w:tplc="04130001" w:tentative="1">
      <w:start w:val="1"/>
      <w:numFmt w:val="bullet"/>
      <w:lvlText w:val=""/>
      <w:lvlJc w:val="left"/>
      <w:pPr>
        <w:ind w:left="4100" w:hanging="360"/>
      </w:pPr>
      <w:rPr>
        <w:rFonts w:ascii="Symbol" w:hAnsi="Symbol" w:hint="default"/>
      </w:rPr>
    </w:lvl>
    <w:lvl w:ilvl="4" w:tplc="04130003" w:tentative="1">
      <w:start w:val="1"/>
      <w:numFmt w:val="bullet"/>
      <w:lvlText w:val="o"/>
      <w:lvlJc w:val="left"/>
      <w:pPr>
        <w:ind w:left="4820" w:hanging="360"/>
      </w:pPr>
      <w:rPr>
        <w:rFonts w:ascii="Courier New" w:hAnsi="Courier New" w:cs="Courier New" w:hint="default"/>
      </w:rPr>
    </w:lvl>
    <w:lvl w:ilvl="5" w:tplc="04130005" w:tentative="1">
      <w:start w:val="1"/>
      <w:numFmt w:val="bullet"/>
      <w:lvlText w:val=""/>
      <w:lvlJc w:val="left"/>
      <w:pPr>
        <w:ind w:left="5540" w:hanging="360"/>
      </w:pPr>
      <w:rPr>
        <w:rFonts w:ascii="Wingdings" w:hAnsi="Wingdings" w:hint="default"/>
      </w:rPr>
    </w:lvl>
    <w:lvl w:ilvl="6" w:tplc="04130001" w:tentative="1">
      <w:start w:val="1"/>
      <w:numFmt w:val="bullet"/>
      <w:lvlText w:val=""/>
      <w:lvlJc w:val="left"/>
      <w:pPr>
        <w:ind w:left="6260" w:hanging="360"/>
      </w:pPr>
      <w:rPr>
        <w:rFonts w:ascii="Symbol" w:hAnsi="Symbol" w:hint="default"/>
      </w:rPr>
    </w:lvl>
    <w:lvl w:ilvl="7" w:tplc="04130003" w:tentative="1">
      <w:start w:val="1"/>
      <w:numFmt w:val="bullet"/>
      <w:lvlText w:val="o"/>
      <w:lvlJc w:val="left"/>
      <w:pPr>
        <w:ind w:left="6980" w:hanging="360"/>
      </w:pPr>
      <w:rPr>
        <w:rFonts w:ascii="Courier New" w:hAnsi="Courier New" w:cs="Courier New" w:hint="default"/>
      </w:rPr>
    </w:lvl>
    <w:lvl w:ilvl="8" w:tplc="04130005" w:tentative="1">
      <w:start w:val="1"/>
      <w:numFmt w:val="bullet"/>
      <w:lvlText w:val=""/>
      <w:lvlJc w:val="left"/>
      <w:pPr>
        <w:ind w:left="7700" w:hanging="360"/>
      </w:pPr>
      <w:rPr>
        <w:rFonts w:ascii="Wingdings" w:hAnsi="Wingdings" w:hint="default"/>
      </w:rPr>
    </w:lvl>
  </w:abstractNum>
  <w:abstractNum w:abstractNumId="14" w15:restartNumberingAfterBreak="0">
    <w:nsid w:val="10095BBD"/>
    <w:multiLevelType w:val="multilevel"/>
    <w:tmpl w:val="60B2FA96"/>
    <w:lvl w:ilvl="0">
      <w:start w:val="1"/>
      <w:numFmt w:val="decimal"/>
      <w:lvlText w:val="%1."/>
      <w:lvlJc w:val="left"/>
      <w:rPr>
        <w:rFonts w:ascii="Thesans" w:eastAsia="Times New Roman" w:hAnsi="Thesans" w:cs="Times New Roman" w:hint="default"/>
        <w:b w:val="0"/>
        <w:bCs w:val="0"/>
        <w:i w:val="0"/>
        <w:iCs w:val="0"/>
        <w:smallCaps w:val="0"/>
        <w:strike w:val="0"/>
        <w:color w:val="000000"/>
        <w:spacing w:val="0"/>
        <w:w w:val="100"/>
        <w:position w:val="0"/>
        <w:sz w:val="22"/>
        <w:szCs w:val="22"/>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2A2D48"/>
    <w:multiLevelType w:val="multilevel"/>
    <w:tmpl w:val="4D809A62"/>
    <w:lvl w:ilvl="0">
      <w:start w:val="1"/>
      <w:numFmt w:val="decimal"/>
      <w:lvlText w:val="%1."/>
      <w:lvlJc w:val="left"/>
      <w:rPr>
        <w:rFonts w:ascii="Thesans" w:eastAsia="Times New Roman" w:hAnsi="Thesans" w:cs="Times New Roman" w:hint="default"/>
        <w:b w:val="0"/>
        <w:bCs w:val="0"/>
        <w:i w:val="0"/>
        <w:iCs w:val="0"/>
        <w:smallCaps w:val="0"/>
        <w:strike w:val="0"/>
        <w:color w:val="000000"/>
        <w:spacing w:val="0"/>
        <w:w w:val="100"/>
        <w:position w:val="0"/>
        <w:sz w:val="22"/>
        <w:szCs w:val="22"/>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4A1657D"/>
    <w:multiLevelType w:val="hybridMultilevel"/>
    <w:tmpl w:val="98624F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585197B"/>
    <w:multiLevelType w:val="multilevel"/>
    <w:tmpl w:val="5E9CDE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011CB0"/>
    <w:multiLevelType w:val="multilevel"/>
    <w:tmpl w:val="EC0C25E0"/>
    <w:lvl w:ilvl="0">
      <w:start w:val="1"/>
      <w:numFmt w:val="decimal"/>
      <w:lvlText w:val="%1."/>
      <w:lvlJc w:val="left"/>
      <w:rPr>
        <w:rFonts w:ascii="Thesans" w:eastAsia="Times New Roman" w:hAnsi="Thesans" w:cs="Times New Roman" w:hint="default"/>
        <w:b w:val="0"/>
        <w:bCs w:val="0"/>
        <w:i w:val="0"/>
        <w:iCs w:val="0"/>
        <w:smallCaps w:val="0"/>
        <w:strike w:val="0"/>
        <w:color w:val="000000"/>
        <w:spacing w:val="0"/>
        <w:w w:val="100"/>
        <w:position w:val="0"/>
        <w:sz w:val="22"/>
        <w:szCs w:val="22"/>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29577E"/>
    <w:multiLevelType w:val="hybridMultilevel"/>
    <w:tmpl w:val="84787B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9C1512E"/>
    <w:multiLevelType w:val="hybridMultilevel"/>
    <w:tmpl w:val="19007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A4B163F"/>
    <w:multiLevelType w:val="hybridMultilevel"/>
    <w:tmpl w:val="E2CE7974"/>
    <w:lvl w:ilvl="0" w:tplc="B57E2654">
      <w:start w:val="1"/>
      <w:numFmt w:val="upperLetter"/>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B2D002F"/>
    <w:multiLevelType w:val="multilevel"/>
    <w:tmpl w:val="67F0C900"/>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B9F7701"/>
    <w:multiLevelType w:val="multilevel"/>
    <w:tmpl w:val="CFA692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nl-NL" w:eastAsia="nl-NL"/>
      </w:rPr>
    </w:lvl>
    <w:lvl w:ilvl="1">
      <w:numFmt w:val="decimal"/>
      <w:lvlText w:val=""/>
      <w:lvlJc w:val="left"/>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E5E66C5"/>
    <w:multiLevelType w:val="multilevel"/>
    <w:tmpl w:val="2D1C084C"/>
    <w:lvl w:ilvl="0">
      <w:start w:val="1"/>
      <w:numFmt w:val="decimal"/>
      <w:lvlText w:val="%1."/>
      <w:lvlJc w:val="left"/>
      <w:rPr>
        <w:rFonts w:ascii="Thesans" w:eastAsia="Times New Roman" w:hAnsi="Thesans" w:cs="Times New Roman" w:hint="default"/>
        <w:b w:val="0"/>
        <w:bCs w:val="0"/>
        <w:i w:val="0"/>
        <w:iCs w:val="0"/>
        <w:smallCaps w:val="0"/>
        <w:strike w:val="0"/>
        <w:color w:val="000000"/>
        <w:spacing w:val="0"/>
        <w:w w:val="100"/>
        <w:position w:val="0"/>
        <w:sz w:val="22"/>
        <w:szCs w:val="22"/>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4D7AA6"/>
    <w:multiLevelType w:val="multilevel"/>
    <w:tmpl w:val="284C4EE0"/>
    <w:lvl w:ilvl="0">
      <w:start w:val="1"/>
      <w:numFmt w:val="decimal"/>
      <w:lvlText w:val="%1."/>
      <w:lvlJc w:val="left"/>
      <w:rPr>
        <w:rFonts w:ascii="Thesans" w:eastAsia="Times New Roman" w:hAnsi="Thesans" w:cs="Times New Roman" w:hint="default"/>
        <w:b w:val="0"/>
        <w:bCs w:val="0"/>
        <w:i w:val="0"/>
        <w:iCs w:val="0"/>
        <w:smallCaps w:val="0"/>
        <w:strike w:val="0"/>
        <w:color w:val="000000"/>
        <w:spacing w:val="0"/>
        <w:w w:val="100"/>
        <w:position w:val="0"/>
        <w:sz w:val="22"/>
        <w:szCs w:val="22"/>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0" w15:restartNumberingAfterBreak="0">
    <w:nsid w:val="60B66C32"/>
    <w:multiLevelType w:val="multilevel"/>
    <w:tmpl w:val="EF5077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A061CD"/>
    <w:multiLevelType w:val="hybridMultilevel"/>
    <w:tmpl w:val="63A66AA2"/>
    <w:lvl w:ilvl="0" w:tplc="5382214C">
      <w:start w:val="1"/>
      <w:numFmt w:val="bullet"/>
      <w:pStyle w:val="COAbullets"/>
      <w:lvlText w:val=""/>
      <w:lvlJc w:val="left"/>
      <w:pPr>
        <w:ind w:left="720" w:hanging="360"/>
      </w:pPr>
      <w:rPr>
        <w:rFonts w:ascii="Symbol" w:hAnsi="Symbol" w:hint="default"/>
      </w:rPr>
    </w:lvl>
    <w:lvl w:ilvl="1" w:tplc="C486D7D8" w:tentative="1">
      <w:start w:val="1"/>
      <w:numFmt w:val="bullet"/>
      <w:lvlText w:val="o"/>
      <w:lvlJc w:val="left"/>
      <w:pPr>
        <w:ind w:left="1440" w:hanging="360"/>
      </w:pPr>
      <w:rPr>
        <w:rFonts w:ascii="Courier New" w:hAnsi="Courier New" w:cs="Courier New" w:hint="default"/>
      </w:rPr>
    </w:lvl>
    <w:lvl w:ilvl="2" w:tplc="F28478AE" w:tentative="1">
      <w:start w:val="1"/>
      <w:numFmt w:val="bullet"/>
      <w:lvlText w:val=""/>
      <w:lvlJc w:val="left"/>
      <w:pPr>
        <w:ind w:left="2160" w:hanging="360"/>
      </w:pPr>
      <w:rPr>
        <w:rFonts w:ascii="Wingdings" w:hAnsi="Wingdings" w:hint="default"/>
      </w:rPr>
    </w:lvl>
    <w:lvl w:ilvl="3" w:tplc="0BF4017A" w:tentative="1">
      <w:start w:val="1"/>
      <w:numFmt w:val="bullet"/>
      <w:lvlText w:val=""/>
      <w:lvlJc w:val="left"/>
      <w:pPr>
        <w:ind w:left="2880" w:hanging="360"/>
      </w:pPr>
      <w:rPr>
        <w:rFonts w:ascii="Symbol" w:hAnsi="Symbol" w:hint="default"/>
      </w:rPr>
    </w:lvl>
    <w:lvl w:ilvl="4" w:tplc="DE3AFD84" w:tentative="1">
      <w:start w:val="1"/>
      <w:numFmt w:val="bullet"/>
      <w:lvlText w:val="o"/>
      <w:lvlJc w:val="left"/>
      <w:pPr>
        <w:ind w:left="3600" w:hanging="360"/>
      </w:pPr>
      <w:rPr>
        <w:rFonts w:ascii="Courier New" w:hAnsi="Courier New" w:cs="Courier New" w:hint="default"/>
      </w:rPr>
    </w:lvl>
    <w:lvl w:ilvl="5" w:tplc="568A6C10" w:tentative="1">
      <w:start w:val="1"/>
      <w:numFmt w:val="bullet"/>
      <w:lvlText w:val=""/>
      <w:lvlJc w:val="left"/>
      <w:pPr>
        <w:ind w:left="4320" w:hanging="360"/>
      </w:pPr>
      <w:rPr>
        <w:rFonts w:ascii="Wingdings" w:hAnsi="Wingdings" w:hint="default"/>
      </w:rPr>
    </w:lvl>
    <w:lvl w:ilvl="6" w:tplc="FE349B0C" w:tentative="1">
      <w:start w:val="1"/>
      <w:numFmt w:val="bullet"/>
      <w:lvlText w:val=""/>
      <w:lvlJc w:val="left"/>
      <w:pPr>
        <w:ind w:left="5040" w:hanging="360"/>
      </w:pPr>
      <w:rPr>
        <w:rFonts w:ascii="Symbol" w:hAnsi="Symbol" w:hint="default"/>
      </w:rPr>
    </w:lvl>
    <w:lvl w:ilvl="7" w:tplc="B0E262CA" w:tentative="1">
      <w:start w:val="1"/>
      <w:numFmt w:val="bullet"/>
      <w:lvlText w:val="o"/>
      <w:lvlJc w:val="left"/>
      <w:pPr>
        <w:ind w:left="5760" w:hanging="360"/>
      </w:pPr>
      <w:rPr>
        <w:rFonts w:ascii="Courier New" w:hAnsi="Courier New" w:cs="Courier New" w:hint="default"/>
      </w:rPr>
    </w:lvl>
    <w:lvl w:ilvl="8" w:tplc="36560D88" w:tentative="1">
      <w:start w:val="1"/>
      <w:numFmt w:val="bullet"/>
      <w:lvlText w:val=""/>
      <w:lvlJc w:val="left"/>
      <w:pPr>
        <w:ind w:left="6480" w:hanging="360"/>
      </w:pPr>
      <w:rPr>
        <w:rFonts w:ascii="Wingdings" w:hAnsi="Wingdings" w:hint="default"/>
      </w:rPr>
    </w:lvl>
  </w:abstractNum>
  <w:abstractNum w:abstractNumId="32" w15:restartNumberingAfterBreak="0">
    <w:nsid w:val="6847328A"/>
    <w:multiLevelType w:val="multilevel"/>
    <w:tmpl w:val="B7188242"/>
    <w:lvl w:ilvl="0">
      <w:start w:val="11"/>
      <w:numFmt w:val="decimal"/>
      <w:lvlText w:val="%1."/>
      <w:lvlJc w:val="left"/>
      <w:pPr>
        <w:ind w:left="0" w:firstLine="0"/>
      </w:pPr>
      <w:rPr>
        <w:rFonts w:ascii="Thesans" w:eastAsia="Times New Roman" w:hAnsi="Thesans" w:cs="Times New Roman" w:hint="default"/>
        <w:b/>
        <w:bCs/>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6A6A336A"/>
    <w:multiLevelType w:val="multilevel"/>
    <w:tmpl w:val="F5C65654"/>
    <w:lvl w:ilvl="0">
      <w:start w:val="1"/>
      <w:numFmt w:val="decimal"/>
      <w:lvlText w:val="%1."/>
      <w:lvlJc w:val="left"/>
      <w:rPr>
        <w:rFonts w:ascii="Thesans" w:eastAsia="Times New Roman" w:hAnsi="Thesans" w:cs="Times New Roman" w:hint="default"/>
        <w:b w:val="0"/>
        <w:bCs w:val="0"/>
        <w:i w:val="0"/>
        <w:iCs w:val="0"/>
        <w:smallCaps w:val="0"/>
        <w:strike w:val="0"/>
        <w:color w:val="000000"/>
        <w:spacing w:val="0"/>
        <w:w w:val="100"/>
        <w:position w:val="0"/>
        <w:sz w:val="22"/>
        <w:szCs w:val="22"/>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6B002BAC"/>
    <w:multiLevelType w:val="multilevel"/>
    <w:tmpl w:val="C8A63302"/>
    <w:lvl w:ilvl="0">
      <w:start w:val="1"/>
      <w:numFmt w:val="decimal"/>
      <w:lvlText w:val="%1."/>
      <w:lvlJc w:val="left"/>
      <w:rPr>
        <w:rFonts w:ascii="Thesans" w:eastAsia="Times New Roman" w:hAnsi="Thesans" w:cs="Times New Roman" w:hint="default"/>
        <w:b w:val="0"/>
        <w:bCs w:val="0"/>
        <w:i w:val="0"/>
        <w:iCs w:val="0"/>
        <w:smallCaps w:val="0"/>
        <w:strike w:val="0"/>
        <w:color w:val="000000"/>
        <w:spacing w:val="0"/>
        <w:w w:val="100"/>
        <w:position w:val="0"/>
        <w:sz w:val="22"/>
        <w:szCs w:val="22"/>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F70563"/>
    <w:multiLevelType w:val="multilevel"/>
    <w:tmpl w:val="5A6E9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363DB6"/>
    <w:multiLevelType w:val="multilevel"/>
    <w:tmpl w:val="4A88A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4D0BE4"/>
    <w:multiLevelType w:val="multilevel"/>
    <w:tmpl w:val="3314D902"/>
    <w:lvl w:ilvl="0">
      <w:start w:val="1"/>
      <w:numFmt w:val="decimal"/>
      <w:lvlText w:val="%1."/>
      <w:lvlJc w:val="left"/>
      <w:rPr>
        <w:rFonts w:ascii="Thesans" w:eastAsia="Times New Roman" w:hAnsi="Thesans" w:cs="Times New Roman" w:hint="default"/>
        <w:b w:val="0"/>
        <w:bCs w:val="0"/>
        <w:i w:val="0"/>
        <w:iCs w:val="0"/>
        <w:smallCaps w:val="0"/>
        <w:strike w:val="0"/>
        <w:color w:val="000000"/>
        <w:spacing w:val="0"/>
        <w:w w:val="100"/>
        <w:position w:val="0"/>
        <w:sz w:val="22"/>
        <w:szCs w:val="22"/>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BD4574"/>
    <w:multiLevelType w:val="hybridMultilevel"/>
    <w:tmpl w:val="58565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6C6377"/>
    <w:multiLevelType w:val="hybridMultilevel"/>
    <w:tmpl w:val="34F62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3812418">
    <w:abstractNumId w:val="22"/>
  </w:num>
  <w:num w:numId="2" w16cid:durableId="411784320">
    <w:abstractNumId w:val="22"/>
  </w:num>
  <w:num w:numId="3" w16cid:durableId="1744721763">
    <w:abstractNumId w:val="22"/>
  </w:num>
  <w:num w:numId="4" w16cid:durableId="1142848691">
    <w:abstractNumId w:val="9"/>
  </w:num>
  <w:num w:numId="5" w16cid:durableId="2115008259">
    <w:abstractNumId w:val="7"/>
  </w:num>
  <w:num w:numId="6" w16cid:durableId="1866477796">
    <w:abstractNumId w:val="6"/>
  </w:num>
  <w:num w:numId="7" w16cid:durableId="913592508">
    <w:abstractNumId w:val="5"/>
  </w:num>
  <w:num w:numId="8" w16cid:durableId="1032530816">
    <w:abstractNumId w:val="4"/>
  </w:num>
  <w:num w:numId="9" w16cid:durableId="1912232972">
    <w:abstractNumId w:val="8"/>
  </w:num>
  <w:num w:numId="10" w16cid:durableId="2042046219">
    <w:abstractNumId w:val="3"/>
  </w:num>
  <w:num w:numId="11" w16cid:durableId="1802963066">
    <w:abstractNumId w:val="2"/>
  </w:num>
  <w:num w:numId="12" w16cid:durableId="1294091727">
    <w:abstractNumId w:val="1"/>
  </w:num>
  <w:num w:numId="13" w16cid:durableId="928462474">
    <w:abstractNumId w:val="0"/>
  </w:num>
  <w:num w:numId="14" w16cid:durableId="2075662386">
    <w:abstractNumId w:val="10"/>
  </w:num>
  <w:num w:numId="15" w16cid:durableId="1476143135">
    <w:abstractNumId w:val="17"/>
  </w:num>
  <w:num w:numId="16" w16cid:durableId="846867905">
    <w:abstractNumId w:val="31"/>
  </w:num>
  <w:num w:numId="17" w16cid:durableId="1545214186">
    <w:abstractNumId w:val="29"/>
  </w:num>
  <w:num w:numId="18" w16cid:durableId="2110198175">
    <w:abstractNumId w:val="16"/>
  </w:num>
  <w:num w:numId="19" w16cid:durableId="871915409">
    <w:abstractNumId w:val="34"/>
  </w:num>
  <w:num w:numId="20" w16cid:durableId="1396704810">
    <w:abstractNumId w:val="18"/>
  </w:num>
  <w:num w:numId="21" w16cid:durableId="120198935">
    <w:abstractNumId w:val="12"/>
  </w:num>
  <w:num w:numId="22" w16cid:durableId="1349602447">
    <w:abstractNumId w:val="21"/>
  </w:num>
  <w:num w:numId="23" w16cid:durableId="772361844">
    <w:abstractNumId w:val="40"/>
  </w:num>
  <w:num w:numId="24" w16cid:durableId="1437215657">
    <w:abstractNumId w:val="23"/>
  </w:num>
  <w:num w:numId="25" w16cid:durableId="404232533">
    <w:abstractNumId w:val="39"/>
  </w:num>
  <w:num w:numId="26" w16cid:durableId="1265068756">
    <w:abstractNumId w:val="37"/>
  </w:num>
  <w:num w:numId="27" w16cid:durableId="783765019">
    <w:abstractNumId w:val="38"/>
  </w:num>
  <w:num w:numId="28" w16cid:durableId="848982806">
    <w:abstractNumId w:val="27"/>
  </w:num>
  <w:num w:numId="29" w16cid:durableId="1431199801">
    <w:abstractNumId w:val="28"/>
  </w:num>
  <w:num w:numId="30" w16cid:durableId="335547148">
    <w:abstractNumId w:val="25"/>
  </w:num>
  <w:num w:numId="31" w16cid:durableId="250701747">
    <w:abstractNumId w:val="35"/>
  </w:num>
  <w:num w:numId="32" w16cid:durableId="1688478763">
    <w:abstractNumId w:val="20"/>
  </w:num>
  <w:num w:numId="33" w16cid:durableId="1355308009">
    <w:abstractNumId w:val="26"/>
  </w:num>
  <w:num w:numId="34" w16cid:durableId="1851948376">
    <w:abstractNumId w:val="15"/>
  </w:num>
  <w:num w:numId="35" w16cid:durableId="934241806">
    <w:abstractNumId w:val="11"/>
  </w:num>
  <w:num w:numId="36" w16cid:durableId="931202083">
    <w:abstractNumId w:val="14"/>
  </w:num>
  <w:num w:numId="37" w16cid:durableId="674770589">
    <w:abstractNumId w:val="33"/>
  </w:num>
  <w:num w:numId="38" w16cid:durableId="315108992">
    <w:abstractNumId w:val="13"/>
  </w:num>
  <w:num w:numId="39" w16cid:durableId="1017922239">
    <w:abstractNumId w:val="19"/>
  </w:num>
  <w:num w:numId="40" w16cid:durableId="612715843">
    <w:abstractNumId w:val="30"/>
  </w:num>
  <w:num w:numId="41" w16cid:durableId="713775929">
    <w:abstractNumId w:val="24"/>
  </w:num>
  <w:num w:numId="42" w16cid:durableId="309024946">
    <w:abstractNumId w:val="32"/>
  </w:num>
  <w:num w:numId="43" w16cid:durableId="13672160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geSetUp" w:val="1000|1007"/>
  </w:docVars>
  <w:rsids>
    <w:rsidRoot w:val="00EA1FA7"/>
    <w:rsid w:val="000042B3"/>
    <w:rsid w:val="00006389"/>
    <w:rsid w:val="00006E18"/>
    <w:rsid w:val="000142D6"/>
    <w:rsid w:val="000346F8"/>
    <w:rsid w:val="00075F18"/>
    <w:rsid w:val="00084C84"/>
    <w:rsid w:val="00090F63"/>
    <w:rsid w:val="00097A13"/>
    <w:rsid w:val="00100218"/>
    <w:rsid w:val="001136BF"/>
    <w:rsid w:val="00116BEF"/>
    <w:rsid w:val="0013072E"/>
    <w:rsid w:val="001425CE"/>
    <w:rsid w:val="0015588E"/>
    <w:rsid w:val="001A6E09"/>
    <w:rsid w:val="001B0F80"/>
    <w:rsid w:val="001D073E"/>
    <w:rsid w:val="001D5D45"/>
    <w:rsid w:val="001F473E"/>
    <w:rsid w:val="00212BA8"/>
    <w:rsid w:val="00261AB3"/>
    <w:rsid w:val="00263455"/>
    <w:rsid w:val="00263F82"/>
    <w:rsid w:val="0026401D"/>
    <w:rsid w:val="002B40A8"/>
    <w:rsid w:val="002C48B0"/>
    <w:rsid w:val="002C7E56"/>
    <w:rsid w:val="002D0E92"/>
    <w:rsid w:val="002E3B6A"/>
    <w:rsid w:val="002E7D70"/>
    <w:rsid w:val="0030325A"/>
    <w:rsid w:val="00314CD8"/>
    <w:rsid w:val="00334DF5"/>
    <w:rsid w:val="003669D4"/>
    <w:rsid w:val="003E5C9A"/>
    <w:rsid w:val="004222CE"/>
    <w:rsid w:val="00440889"/>
    <w:rsid w:val="0044496A"/>
    <w:rsid w:val="004706C2"/>
    <w:rsid w:val="004F1819"/>
    <w:rsid w:val="004F63A7"/>
    <w:rsid w:val="004F749E"/>
    <w:rsid w:val="005026A2"/>
    <w:rsid w:val="005330D4"/>
    <w:rsid w:val="00537755"/>
    <w:rsid w:val="005A3747"/>
    <w:rsid w:val="005F07E4"/>
    <w:rsid w:val="006235B0"/>
    <w:rsid w:val="00640B76"/>
    <w:rsid w:val="00661952"/>
    <w:rsid w:val="00696A7B"/>
    <w:rsid w:val="006E4AEA"/>
    <w:rsid w:val="00755D34"/>
    <w:rsid w:val="00771B27"/>
    <w:rsid w:val="007B5CB7"/>
    <w:rsid w:val="007B6401"/>
    <w:rsid w:val="007C038E"/>
    <w:rsid w:val="007D1915"/>
    <w:rsid w:val="007D6114"/>
    <w:rsid w:val="007F347C"/>
    <w:rsid w:val="00826948"/>
    <w:rsid w:val="0088375C"/>
    <w:rsid w:val="008C1CA8"/>
    <w:rsid w:val="008C6A8E"/>
    <w:rsid w:val="008E14D6"/>
    <w:rsid w:val="008E1B3B"/>
    <w:rsid w:val="008E6667"/>
    <w:rsid w:val="0091486D"/>
    <w:rsid w:val="00921D12"/>
    <w:rsid w:val="00992C80"/>
    <w:rsid w:val="009A10C4"/>
    <w:rsid w:val="009B262F"/>
    <w:rsid w:val="009E1EE4"/>
    <w:rsid w:val="00A002EC"/>
    <w:rsid w:val="00A37685"/>
    <w:rsid w:val="00A52468"/>
    <w:rsid w:val="00A675C9"/>
    <w:rsid w:val="00A755B8"/>
    <w:rsid w:val="00A81275"/>
    <w:rsid w:val="00AD5D0A"/>
    <w:rsid w:val="00B23271"/>
    <w:rsid w:val="00B563F7"/>
    <w:rsid w:val="00B83D83"/>
    <w:rsid w:val="00B91119"/>
    <w:rsid w:val="00BB2246"/>
    <w:rsid w:val="00BD1646"/>
    <w:rsid w:val="00BD3C7A"/>
    <w:rsid w:val="00BF7CEE"/>
    <w:rsid w:val="00C13CA2"/>
    <w:rsid w:val="00C600AC"/>
    <w:rsid w:val="00C60DE5"/>
    <w:rsid w:val="00C63AD9"/>
    <w:rsid w:val="00D00C0B"/>
    <w:rsid w:val="00D054EA"/>
    <w:rsid w:val="00D06F2F"/>
    <w:rsid w:val="00D55150"/>
    <w:rsid w:val="00D95EC5"/>
    <w:rsid w:val="00DC09B3"/>
    <w:rsid w:val="00E01AAC"/>
    <w:rsid w:val="00E1154C"/>
    <w:rsid w:val="00E26794"/>
    <w:rsid w:val="00E42A39"/>
    <w:rsid w:val="00E876FE"/>
    <w:rsid w:val="00EA1C1D"/>
    <w:rsid w:val="00EA1FA7"/>
    <w:rsid w:val="00ED59C3"/>
    <w:rsid w:val="00EE2155"/>
    <w:rsid w:val="00F10C4C"/>
    <w:rsid w:val="00F10CCB"/>
    <w:rsid w:val="00F26CAA"/>
    <w:rsid w:val="00F429E0"/>
    <w:rsid w:val="00F93D61"/>
    <w:rsid w:val="00FF1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9C84954"/>
  <w15:chartTrackingRefBased/>
  <w15:docId w15:val="{12F4BA93-3C52-43ED-A69E-30A31305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0E92"/>
    <w:pPr>
      <w:spacing w:line="280" w:lineRule="atLeast"/>
    </w:pPr>
    <w:rPr>
      <w:rFonts w:ascii="Arial" w:hAnsi="Arial"/>
      <w:szCs w:val="24"/>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rPr>
      <w:vanish/>
    </w:r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semiHidden/>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cs="Arial"/>
      <w:sz w:val="24"/>
    </w:rPr>
  </w:style>
  <w:style w:type="paragraph" w:styleId="Afzender">
    <w:name w:val="envelope return"/>
    <w:basedOn w:val="Standaard"/>
    <w:semiHidden/>
    <w:rsid w:val="00826948"/>
    <w:rPr>
      <w:rFonts w:cs="Arial"/>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alweb">
    <w:name w:val="Normal (Web)"/>
    <w:basedOn w:val="Standaard"/>
    <w:uiPriority w:val="99"/>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cs="Arial"/>
      <w:b/>
      <w:bCs/>
      <w:kern w:val="28"/>
      <w:sz w:val="32"/>
      <w:szCs w:val="32"/>
    </w:rPr>
  </w:style>
  <w:style w:type="paragraph" w:styleId="Lijstalinea">
    <w:name w:val="List Paragraph"/>
    <w:basedOn w:val="Standaard"/>
    <w:uiPriority w:val="34"/>
    <w:qFormat/>
    <w:rsid w:val="000142D6"/>
    <w:pPr>
      <w:ind w:left="720"/>
      <w:contextualSpacing/>
    </w:pPr>
  </w:style>
  <w:style w:type="character" w:styleId="Onopgelostemelding">
    <w:name w:val="Unresolved Mention"/>
    <w:basedOn w:val="Standaardalinea-lettertype"/>
    <w:uiPriority w:val="99"/>
    <w:rsid w:val="007B5CB7"/>
    <w:rPr>
      <w:color w:val="605E5C"/>
      <w:shd w:val="clear" w:color="auto" w:fill="E1DFDD"/>
    </w:rPr>
  </w:style>
  <w:style w:type="paragraph" w:styleId="Geenafstand">
    <w:name w:val="No Spacing"/>
    <w:uiPriority w:val="1"/>
    <w:qFormat/>
    <w:rsid w:val="00440889"/>
    <w:rPr>
      <w:rFonts w:ascii="Thesans" w:hAnsi="Thesans"/>
      <w:sz w:val="22"/>
      <w:szCs w:val="24"/>
      <w:lang w:val="en-GB"/>
    </w:rPr>
  </w:style>
  <w:style w:type="paragraph" w:styleId="Revisie">
    <w:name w:val="Revision"/>
    <w:hidden/>
    <w:uiPriority w:val="99"/>
    <w:semiHidden/>
    <w:rsid w:val="0013072E"/>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4720">
      <w:bodyDiv w:val="1"/>
      <w:marLeft w:val="0"/>
      <w:marRight w:val="0"/>
      <w:marTop w:val="0"/>
      <w:marBottom w:val="0"/>
      <w:divBdr>
        <w:top w:val="none" w:sz="0" w:space="0" w:color="auto"/>
        <w:left w:val="none" w:sz="0" w:space="0" w:color="auto"/>
        <w:bottom w:val="none" w:sz="0" w:space="0" w:color="auto"/>
        <w:right w:val="none" w:sz="0" w:space="0" w:color="auto"/>
      </w:divBdr>
      <w:divsChild>
        <w:div w:id="928393123">
          <w:marLeft w:val="0"/>
          <w:marRight w:val="0"/>
          <w:marTop w:val="0"/>
          <w:marBottom w:val="0"/>
          <w:divBdr>
            <w:top w:val="none" w:sz="0" w:space="0" w:color="auto"/>
            <w:left w:val="none" w:sz="0" w:space="0" w:color="auto"/>
            <w:bottom w:val="none" w:sz="0" w:space="0" w:color="auto"/>
            <w:right w:val="none" w:sz="0" w:space="0" w:color="auto"/>
          </w:divBdr>
        </w:div>
      </w:divsChild>
    </w:div>
    <w:div w:id="183660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tservicedesk@coa.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2017-04-21T08:45:43+00:00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4.1 Overeenkomst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Altena, Barry van</DisplayName>
        <AccountId>1560</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Thuiswerkmiddelen</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 xmlns:ns1="http://www.w3.org/2001/XMLSchema-instance" ns1:nil="true"/>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2025-09-30T22:00:00+00:00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Hassing, Dorith</DisplayName>
        <AccountId>1344</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https://plein-dms.coa.local/processen/LP00000012/thuiswerkmiddelen/_layouts/15/DocIdRedir.aspx?ID=CDR-1329625</Url>
      <Description>CDR-1329625</Description>
    </_dlc_DocIdUrl>
    <_dlc_DocId xmlns="c68162f5-5292-4b4e-a453-381c9ebc3801">CDR-1329625</_dlc_DocId>
  </documentManagement>
</p:properties>
</file>

<file path=customXml/item4.xml><?xml version="1.0" encoding="utf-8"?>
<ct:contentTypeSchema xmlns:ct="http://schemas.microsoft.com/office/2006/metadata/contentType" xmlns:ma="http://schemas.microsoft.com/office/2006/metadata/properties/metaAttributes" ct:_="" ma:_="" ma:contentTypeName="Overeenkomst" ma:contentTypeID="0x0101007A6E4A62A1A34FCBB5DB597108C1AEB0004C71A40829E1004E87923D05F788AC77009231D33869CAF542BB5AD785B26BCFB6" ma:contentTypeVersion="43" ma:contentTypeDescription="Root document" ma:contentTypeScope="" ma:versionID="ff5e2e01d3c000fe5e18295432bdcff4">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4f0cc41259c16de9aefe933ffdb57893"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6-03-22T13:37:12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2-01T12:58:49Z" ma:internalName="SCN0000552">
      <xsd:simpleType>
        <xsd:restriction base="dms:DateTime"/>
      </xsd:simpleType>
    </xsd:element>
    <xsd:element name="SCN0000516" ma:index="21" nillable="true" ma:displayName="Naam" ma:default="Overeenkomst"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vereenkomst - Contract"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Ja" ma:internalName="VN00000015">
      <xsd:simpleType>
        <xsd:restriction base="dms:Choice">
          <xsd:enumeration value="Ja"/>
          <xsd:enumeration value="Nee"/>
        </xsd:restriction>
      </xsd:simpleType>
    </xsd:element>
    <xsd:element name="VN00000076" ma:index="36" nillable="true" ma:displayName="CoSign" ma:default="Ja"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9D861-C046-486F-854F-EF8D1384F48E}">
  <ds:schemaRefs>
    <ds:schemaRef ds:uri="http://schemas.microsoft.com/sharepoint/events"/>
  </ds:schemaRefs>
</ds:datastoreItem>
</file>

<file path=customXml/itemProps2.xml><?xml version="1.0" encoding="utf-8"?>
<ds:datastoreItem xmlns:ds="http://schemas.openxmlformats.org/officeDocument/2006/customXml" ds:itemID="{FCE7FF6F-F265-498A-A7E7-E6889351735F}">
  <ds:schemaRefs>
    <ds:schemaRef ds:uri="http://schemas.microsoft.com/sharepoint/v3/contenttype/forms"/>
  </ds:schemaRefs>
</ds:datastoreItem>
</file>

<file path=customXml/itemProps3.xml><?xml version="1.0" encoding="utf-8"?>
<ds:datastoreItem xmlns:ds="http://schemas.openxmlformats.org/officeDocument/2006/customXml" ds:itemID="{6D0477C4-484D-477A-BCAE-4F9AA2E6CADE}">
  <ds:schemaRefs>
    <ds:schemaRef ds:uri="http://schemas.microsoft.com/office/2006/metadata/properties"/>
    <ds:schemaRef ds:uri="http://purl.org/dc/terms/"/>
    <ds:schemaRef ds:uri="http://schemas.microsoft.com/office/2006/documentManagement/types"/>
    <ds:schemaRef ds:uri="c68162f5-5292-4b4e-a453-381c9ebc3801"/>
    <ds:schemaRef ds:uri="http://purl.org/dc/elements/1.1/"/>
    <ds:schemaRef ds:uri="http://www.w3.org/XML/1998/namespace"/>
    <ds:schemaRef ds:uri="http://schemas.microsoft.com/office/infopath/2007/PartnerControls"/>
    <ds:schemaRef ds:uri="http://schemas.openxmlformats.org/package/2006/metadata/core-properties"/>
    <ds:schemaRef ds:uri="http://schemas.econnect.nl/"/>
    <ds:schemaRef ds:uri="http://purl.org/dc/dcmitype/"/>
  </ds:schemaRefs>
</ds:datastoreItem>
</file>

<file path=customXml/itemProps4.xml><?xml version="1.0" encoding="utf-8"?>
<ds:datastoreItem xmlns:ds="http://schemas.openxmlformats.org/officeDocument/2006/customXml" ds:itemID="{104E46C1-8E9D-41B5-8F17-7305C442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d3e55a-cb43-42b5-9401-3673717e3a30}" enabled="1" method="Standard" siteId="{0869e9c5-520f-48a0-81b5-ea9a136869be}"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2451</Words>
  <Characters>13484</Characters>
  <Application>Microsoft Office Word</Application>
  <DocSecurity>4</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H.C. Karelse</dc:creator>
  <cp:lastModifiedBy>Hassing, Dorith</cp:lastModifiedBy>
  <cp:revision>2</cp:revision>
  <cp:lastPrinted>2024-12-19T14:33:00Z</cp:lastPrinted>
  <dcterms:created xsi:type="dcterms:W3CDTF">2026-02-12T16:48:00Z</dcterms:created>
  <dcterms:modified xsi:type="dcterms:W3CDTF">2026-02-12T16:48:00Z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ContentTypeId">
    <vt:lpwstr>0x0101007A6E4A62A1A34FCBB5DB597108C1AEB0004C71A40829E1004E87923D05F788AC77009231D33869CAF542BB5AD785B26BCFB6</vt:lpwstr>
  </property>
  <property fmtid="{D5CDD505-2E9C-101B-9397-08002B2CF9AE}" pid="5" name="SCN0000093">
    <vt:lpwstr/>
  </property>
  <property fmtid="{D5CDD505-2E9C-101B-9397-08002B2CF9AE}" pid="6" name="VN00000115">
    <vt:lpwstr>Ja</vt:lpwstr>
  </property>
  <property fmtid="{D5CDD505-2E9C-101B-9397-08002B2CF9AE}" pid="7" name="SCN0000123">
    <vt:lpwstr>Lokaal</vt:lpwstr>
  </property>
  <property fmtid="{D5CDD505-2E9C-101B-9397-08002B2CF9AE}" pid="8" name="SCNE000052">
    <vt:lpwstr>Werkdag</vt:lpwstr>
  </property>
  <property fmtid="{D5CDD505-2E9C-101B-9397-08002B2CF9AE}" pid="9" name="SCN0000102">
    <vt:lpwstr/>
  </property>
  <property fmtid="{D5CDD505-2E9C-101B-9397-08002B2CF9AE}" pid="10" name="SGC0001002">
    <vt:lpwstr>Ja</vt:lpwstr>
  </property>
  <property fmtid="{D5CDD505-2E9C-101B-9397-08002B2CF9AE}" pid="11" name="SCNT000048">
    <vt:lpwstr/>
  </property>
  <property fmtid="{D5CDD505-2E9C-101B-9397-08002B2CF9AE}" pid="12" name="SGC0002002">
    <vt:r8>312</vt:r8>
  </property>
  <property fmtid="{D5CDD505-2E9C-101B-9397-08002B2CF9AE}" pid="13" name="SCN0000062">
    <vt:lpwstr>Nee</vt:lpwstr>
  </property>
  <property fmtid="{D5CDD505-2E9C-101B-9397-08002B2CF9AE}" pid="14" name="SCN0000041">
    <vt:lpwstr>Nee</vt:lpwstr>
  </property>
  <property fmtid="{D5CDD505-2E9C-101B-9397-08002B2CF9AE}" pid="15" name="SCN0000113">
    <vt:lpwstr/>
  </property>
  <property fmtid="{D5CDD505-2E9C-101B-9397-08002B2CF9AE}" pid="16" name="SCN0000083">
    <vt:lpwstr/>
  </property>
  <property fmtid="{D5CDD505-2E9C-101B-9397-08002B2CF9AE}" pid="17" name="SCN0000057">
    <vt:lpwstr>Ja</vt:lpwstr>
  </property>
  <property fmtid="{D5CDD505-2E9C-101B-9397-08002B2CF9AE}" pid="18" name="SCN0000099">
    <vt:lpwstr/>
  </property>
  <property fmtid="{D5CDD505-2E9C-101B-9397-08002B2CF9AE}" pid="19" name="SCN0000031">
    <vt:lpwstr>1;#Stevens, Jos</vt:lpwstr>
  </property>
  <property fmtid="{D5CDD505-2E9C-101B-9397-08002B2CF9AE}" pid="20" name="SCN0000060">
    <vt:lpwstr>Nee</vt:lpwstr>
  </property>
  <property fmtid="{D5CDD505-2E9C-101B-9397-08002B2CF9AE}" pid="21" name="SCN0000108">
    <vt:lpwstr/>
  </property>
  <property fmtid="{D5CDD505-2E9C-101B-9397-08002B2CF9AE}" pid="22" name="SCNE000053">
    <vt:lpwstr>Werkdag</vt:lpwstr>
  </property>
  <property fmtid="{D5CDD505-2E9C-101B-9397-08002B2CF9AE}" pid="23" name="SCN0000094">
    <vt:lpwstr/>
  </property>
  <property fmtid="{D5CDD505-2E9C-101B-9397-08002B2CF9AE}" pid="24" name="SCN0000129">
    <vt:filetime>2020-01-31T09:56:04Z</vt:filetime>
  </property>
  <property fmtid="{D5CDD505-2E9C-101B-9397-08002B2CF9AE}" pid="25" name="SCN0000111">
    <vt:lpwstr/>
  </property>
  <property fmtid="{D5CDD505-2E9C-101B-9397-08002B2CF9AE}" pid="26" name="CaseStartDate">
    <vt:filetime>2025-09-30T22:00:00Z</vt:filetime>
  </property>
  <property fmtid="{D5CDD505-2E9C-101B-9397-08002B2CF9AE}" pid="27" name="TaxCatchAll">
    <vt:lpwstr>1;#Aanbesteding|{44172a01-e50d-4a3b-a9ca-fffd25644391}</vt:lpwstr>
  </property>
  <property fmtid="{D5CDD505-2E9C-101B-9397-08002B2CF9AE}" pid="28" name="SCN0000034">
    <vt:lpwstr/>
  </property>
  <property fmtid="{D5CDD505-2E9C-101B-9397-08002B2CF9AE}" pid="29" name="SCN0000026">
    <vt:lpwstr>Aanbesteding</vt:lpwstr>
  </property>
  <property fmtid="{D5CDD505-2E9C-101B-9397-08002B2CF9AE}" pid="30" name="SCN0000106">
    <vt:lpwstr/>
  </property>
  <property fmtid="{D5CDD505-2E9C-101B-9397-08002B2CF9AE}" pid="31" name="SCN0000084">
    <vt:lpwstr/>
  </property>
  <property fmtid="{D5CDD505-2E9C-101B-9397-08002B2CF9AE}" pid="32" name="SCN0000092">
    <vt:lpwstr/>
  </property>
  <property fmtid="{D5CDD505-2E9C-101B-9397-08002B2CF9AE}" pid="33" name="SCNE000056">
    <vt:lpwstr>Werkdag</vt:lpwstr>
  </property>
  <property fmtid="{D5CDD505-2E9C-101B-9397-08002B2CF9AE}" pid="34" name="SCN0000063">
    <vt:lpwstr>Nee</vt:lpwstr>
  </property>
  <property fmtid="{D5CDD505-2E9C-101B-9397-08002B2CF9AE}" pid="35" name="SCN0000071">
    <vt:lpwstr>Ondersteunen/Inkopen en contracteren</vt:lpwstr>
  </property>
  <property fmtid="{D5CDD505-2E9C-101B-9397-08002B2CF9AE}" pid="36" name="SCN0000097">
    <vt:lpwstr/>
  </property>
  <property fmtid="{D5CDD505-2E9C-101B-9397-08002B2CF9AE}" pid="37" name="ProcessNameTaxHTField0">
    <vt:lpwstr>Aanbesteding|{44172a01-e50d-4a3b-a9ca-fffd25644391}</vt:lpwstr>
  </property>
  <property fmtid="{D5CDD505-2E9C-101B-9397-08002B2CF9AE}" pid="38" name="Typeaanbesteding">
    <vt:lpwstr>Europees openbaar</vt:lpwstr>
  </property>
  <property fmtid="{D5CDD505-2E9C-101B-9397-08002B2CF9AE}" pid="39" name="SCNT000047">
    <vt:lpwstr>Aanbestedingswet 2012; Aanbestedingsbesluit;</vt:lpwstr>
  </property>
  <property fmtid="{D5CDD505-2E9C-101B-9397-08002B2CF9AE}" pid="40" name="SCN0000101">
    <vt:lpwstr/>
  </property>
  <property fmtid="{D5CDD505-2E9C-101B-9397-08002B2CF9AE}" pid="41" name="VN00000122">
    <vt:lpwstr>Unitmanager A&amp;I</vt:lpwstr>
  </property>
  <property fmtid="{D5CDD505-2E9C-101B-9397-08002B2CF9AE}" pid="42" name="SCNW000081">
    <vt:r8>10</vt:r8>
  </property>
  <property fmtid="{D5CDD505-2E9C-101B-9397-08002B2CF9AE}" pid="43" name="SCN0000058">
    <vt:lpwstr>Nee</vt:lpwstr>
  </property>
  <property fmtid="{D5CDD505-2E9C-101B-9397-08002B2CF9AE}" pid="44" name="SCN0000079">
    <vt:lpwstr/>
  </property>
  <property fmtid="{D5CDD505-2E9C-101B-9397-08002B2CF9AE}" pid="45" name="SCN0000029">
    <vt:lpwstr/>
  </property>
  <property fmtid="{D5CDD505-2E9C-101B-9397-08002B2CF9AE}" pid="46" name="SCNT000076">
    <vt:lpwstr>Selectielijst COA 2013- , handeling 37; BSD COA 1994- (2010) 2012 (geactualiseerd), handeling 54;</vt:lpwstr>
  </property>
  <property fmtid="{D5CDD505-2E9C-101B-9397-08002B2CF9AE}" pid="47" name="SCN0000066">
    <vt:lpwstr/>
  </property>
  <property fmtid="{D5CDD505-2E9C-101B-9397-08002B2CF9AE}" pid="48" name="SCN0000040">
    <vt:lpwstr>Specifiek werkproces</vt:lpwstr>
  </property>
  <property fmtid="{D5CDD505-2E9C-101B-9397-08002B2CF9AE}" pid="49" name="SCN0000082">
    <vt:lpwstr>Na afloop contract</vt:lpwstr>
  </property>
  <property fmtid="{D5CDD505-2E9C-101B-9397-08002B2CF9AE}" pid="50" name="SCN0000109">
    <vt:lpwstr/>
  </property>
  <property fmtid="{D5CDD505-2E9C-101B-9397-08002B2CF9AE}" pid="51" name="SCN0000117">
    <vt:filetime>2016-03-22T13:37:12Z</vt:filetime>
  </property>
  <property fmtid="{D5CDD505-2E9C-101B-9397-08002B2CF9AE}" pid="52" name="SCN0000061">
    <vt:lpwstr>Nee</vt:lpwstr>
  </property>
  <property fmtid="{D5CDD505-2E9C-101B-9397-08002B2CF9AE}" pid="53" name="SCN0000095">
    <vt:lpwstr/>
  </property>
  <property fmtid="{D5CDD505-2E9C-101B-9397-08002B2CF9AE}" pid="54" name="CaseManager">
    <vt:lpwstr>1344;#Hassing, Dorith</vt:lpwstr>
  </property>
  <property fmtid="{D5CDD505-2E9C-101B-9397-08002B2CF9AE}" pid="55" name="SCN0000104">
    <vt:lpwstr/>
  </property>
  <property fmtid="{D5CDD505-2E9C-101B-9397-08002B2CF9AE}" pid="56" name="SCN0000112">
    <vt:lpwstr/>
  </property>
  <property fmtid="{D5CDD505-2E9C-101B-9397-08002B2CF9AE}" pid="57" name="COAIsDocumentArchived">
    <vt:bool>false</vt:bool>
  </property>
  <property fmtid="{D5CDD505-2E9C-101B-9397-08002B2CF9AE}" pid="58" name="SCNE000054">
    <vt:lpwstr>Werkdag</vt:lpwstr>
  </property>
  <property fmtid="{D5CDD505-2E9C-101B-9397-08002B2CF9AE}" pid="59" name="SCN0000035">
    <vt:lpwstr>Dit werkproces wordt intern getriggerd</vt:lpwstr>
  </property>
  <property fmtid="{D5CDD505-2E9C-101B-9397-08002B2CF9AE}" pid="60" name="SharedCaseName">
    <vt:lpwstr>Thuiswerkmiddelen</vt:lpwstr>
  </property>
  <property fmtid="{D5CDD505-2E9C-101B-9397-08002B2CF9AE}" pid="61" name="SCN0000064">
    <vt:lpwstr>Ja</vt:lpwstr>
  </property>
  <property fmtid="{D5CDD505-2E9C-101B-9397-08002B2CF9AE}" pid="62" name="SCN0000107">
    <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80">
    <vt:lpwstr>Vernietigen</vt:lpwstr>
  </property>
  <property fmtid="{D5CDD505-2E9C-101B-9397-08002B2CF9AE}" pid="65" name="VN00000123">
    <vt:lpwstr>Creatie - datum; Zaak - code</vt:lpwstr>
  </property>
  <property fmtid="{D5CDD505-2E9C-101B-9397-08002B2CF9AE}" pid="66" name="SCNE000081">
    <vt:lpwstr>Jaar</vt:lpwstr>
  </property>
  <property fmtid="{D5CDD505-2E9C-101B-9397-08002B2CF9AE}" pid="67" name="SCN0000096">
    <vt:lpwstr/>
  </property>
  <property fmtid="{D5CDD505-2E9C-101B-9397-08002B2CF9AE}" pid="68" name="SCN0000059">
    <vt:lpwstr>Nee</vt:lpwstr>
  </property>
  <property fmtid="{D5CDD505-2E9C-101B-9397-08002B2CF9AE}" pid="69" name="CaseOwner">
    <vt:lpwstr>1560;#Altena, Barry van</vt:lpwstr>
  </property>
  <property fmtid="{D5CDD505-2E9C-101B-9397-08002B2CF9AE}" pid="70" name="SCNE000055">
    <vt:lpwstr>Werkdag</vt:lpwstr>
  </property>
  <property fmtid="{D5CDD505-2E9C-101B-9397-08002B2CF9AE}" pid="71" name="SCN0000070">
    <vt:lpwstr>Trigger Intern (TI)</vt:lpwstr>
  </property>
  <property fmtid="{D5CDD505-2E9C-101B-9397-08002B2CF9AE}" pid="72" name="SCN0000091">
    <vt:lpwstr/>
  </property>
  <property fmtid="{D5CDD505-2E9C-101B-9397-08002B2CF9AE}" pid="73" name="SCN0000105">
    <vt:lpwstr/>
  </property>
  <property fmtid="{D5CDD505-2E9C-101B-9397-08002B2CF9AE}" pid="74" name="SCN0000100">
    <vt:lpwstr/>
  </property>
  <property fmtid="{D5CDD505-2E9C-101B-9397-08002B2CF9AE}" pid="75" name="SCN0000028">
    <vt:lpwstr>Het uitvoeren van een aanbesteding</vt:lpwstr>
  </property>
  <property fmtid="{D5CDD505-2E9C-101B-9397-08002B2CF9AE}" pid="76" name="SCN0000065">
    <vt:lpwstr>Nee</vt:lpwstr>
  </property>
  <property fmtid="{D5CDD505-2E9C-101B-9397-08002B2CF9AE}" pid="77" name="SCNE000527">
    <vt:lpwstr>Werkdag</vt:lpwstr>
  </property>
  <property fmtid="{D5CDD505-2E9C-101B-9397-08002B2CF9AE}" pid="78" name="VN00000017">
    <vt:lpwstr>Bericht</vt:lpwstr>
  </property>
  <property fmtid="{D5CDD505-2E9C-101B-9397-08002B2CF9AE}" pid="79" name="SCN0000516">
    <vt:lpwstr>Verslag</vt:lpwstr>
  </property>
  <property fmtid="{D5CDD505-2E9C-101B-9397-08002B2CF9AE}" pid="80" name="SCN0000537">
    <vt:lpwstr>Nee</vt:lpwstr>
  </property>
  <property fmtid="{D5CDD505-2E9C-101B-9397-08002B2CF9AE}" pid="81" name="SCN0000532">
    <vt:lpwstr>Nee</vt:lpwstr>
  </property>
  <property fmtid="{D5CDD505-2E9C-101B-9397-08002B2CF9AE}" pid="82" name="SGC0001018">
    <vt:lpwstr>Ja</vt:lpwstr>
  </property>
  <property fmtid="{D5CDD505-2E9C-101B-9397-08002B2CF9AE}" pid="83" name="VN00000121">
    <vt:lpwstr>Scanner - code; Scan - datum; Medewerker naam -  Registreren</vt:lpwstr>
  </property>
  <property fmtid="{D5CDD505-2E9C-101B-9397-08002B2CF9AE}" pid="84" name="SCN0000522">
    <vt:lpwstr>Generiek documenttype</vt:lpwstr>
  </property>
  <property fmtid="{D5CDD505-2E9C-101B-9397-08002B2CF9AE}" pid="85" name="VN00000076">
    <vt:lpwstr>Nee</vt:lpwstr>
  </property>
  <property fmtid="{D5CDD505-2E9C-101B-9397-08002B2CF9AE}" pid="86" name="SCN0000528">
    <vt:lpwstr>Na afhandeling</vt:lpwstr>
  </property>
  <property fmtid="{D5CDD505-2E9C-101B-9397-08002B2CF9AE}" pid="87" name="SCN0000539">
    <vt:filetime>2016-10-31T15:50:59Z</vt:filetime>
  </property>
  <property fmtid="{D5CDD505-2E9C-101B-9397-08002B2CF9AE}" pid="88" name="SCN0000526">
    <vt:lpwstr>Bewaren</vt:lpwstr>
  </property>
  <property fmtid="{D5CDD505-2E9C-101B-9397-08002B2CF9AE}" pid="89" name="SCN0000524">
    <vt:lpwstr>Intern</vt:lpwstr>
  </property>
  <property fmtid="{D5CDD505-2E9C-101B-9397-08002B2CF9AE}" pid="90" name="VN00000015">
    <vt:lpwstr>Nee</vt:lpwstr>
  </property>
  <property fmtid="{D5CDD505-2E9C-101B-9397-08002B2CF9AE}" pid="91" name="SCN0000546">
    <vt:lpwstr>Lokaal</vt:lpwstr>
  </property>
  <property fmtid="{D5CDD505-2E9C-101B-9397-08002B2CF9AE}" pid="92" name="SCN0000525">
    <vt:lpwstr>Nee</vt:lpwstr>
  </property>
  <property fmtid="{D5CDD505-2E9C-101B-9397-08002B2CF9AE}" pid="93" name="ProcessName">
    <vt:lpwstr>1;#Aanbesteding|{44172a01-e50d-4a3b-a9ca-fffd25644391}</vt:lpwstr>
  </property>
  <property fmtid="{D5CDD505-2E9C-101B-9397-08002B2CF9AE}" pid="94" name="SCN0000552">
    <vt:filetime>2017-04-21T08:45:43Z</vt:filetime>
  </property>
  <property fmtid="{D5CDD505-2E9C-101B-9397-08002B2CF9AE}" pid="95" name="SCN0000531">
    <vt:lpwstr>Nee</vt:lpwstr>
  </property>
  <property fmtid="{D5CDD505-2E9C-101B-9397-08002B2CF9AE}" pid="96" name="_dlc_DocIdItemGuid">
    <vt:lpwstr>a6fe9a1a-af33-457f-9e66-62468faae0d6</vt:lpwstr>
  </property>
  <property fmtid="{D5CDD505-2E9C-101B-9397-08002B2CF9AE}" pid="97" name="COADocumenttype">
    <vt:lpwstr>Overeenkomst</vt:lpwstr>
  </property>
  <property fmtid="{D5CDD505-2E9C-101B-9397-08002B2CF9AE}" pid="98" name="ContentType">
    <vt:lpwstr>Overeenkomst</vt:lpwstr>
  </property>
  <property fmtid="{D5CDD505-2E9C-101B-9397-08002B2CF9AE}" pid="99" name="Fasen">
    <vt:lpwstr>1. Voorbereiding</vt:lpwstr>
  </property>
  <property fmtid="{D5CDD505-2E9C-101B-9397-08002B2CF9AE}" pid="100" name="Subfase">
    <vt:lpwstr>4.1 Overeenkomst</vt:lpwstr>
  </property>
  <property fmtid="{D5CDD505-2E9C-101B-9397-08002B2CF9AE}" pid="101" name="ARX_LastSignatureReason">
    <vt:lpwstr>Unknown</vt:lpwstr>
  </property>
  <property fmtid="{D5CDD505-2E9C-101B-9397-08002B2CF9AE}" pid="102" name="Signatures Status">
    <vt:lpwstr>Unknown</vt:lpwstr>
  </property>
  <property fmtid="{D5CDD505-2E9C-101B-9397-08002B2CF9AE}" pid="103" name="ARX_SignaturesCount">
    <vt:lpwstr>Unknown</vt:lpwstr>
  </property>
  <property fmtid="{D5CDD505-2E9C-101B-9397-08002B2CF9AE}" pid="104" name="ARX_LastSignatureStatus">
    <vt:lpwstr>Unknown</vt:lpwstr>
  </property>
  <property fmtid="{D5CDD505-2E9C-101B-9397-08002B2CF9AE}" pid="105" name="ARX_LastSignatureDateTime">
    <vt:lpwstr>Unknown</vt:lpwstr>
  </property>
  <property fmtid="{D5CDD505-2E9C-101B-9397-08002B2CF9AE}" pid="106" name="ARX_LastSignerName">
    <vt:lpwstr>Unknown</vt:lpwstr>
  </property>
  <property fmtid="{D5CDD505-2E9C-101B-9397-08002B2CF9AE}" pid="107" name="ARX_LastVerifiedOn">
    <vt:lpwstr>Unknown</vt:lpwstr>
  </property>
  <property fmtid="{D5CDD505-2E9C-101B-9397-08002B2CF9AE}" pid="108" name="Created">
    <vt:lpwstr>2026-01-13T12:55:00+00:00</vt:lpwstr>
  </property>
  <property fmtid="{D5CDD505-2E9C-101B-9397-08002B2CF9AE}" pid="109" name="Modified">
    <vt:lpwstr>2026-02-09T11:16:00+00:00</vt:lpwstr>
  </property>
  <property fmtid="{D5CDD505-2E9C-101B-9397-08002B2CF9AE}" pid="110" name="AutoGenerated">
    <vt:lpwstr>0</vt:lpwstr>
  </property>
  <property fmtid="{D5CDD505-2E9C-101B-9397-08002B2CF9AE}" pid="111" name="ClassificationContentMarkingHeaderShapeIds">
    <vt:lpwstr>46c42bf5,24b7fb85,a833817</vt:lpwstr>
  </property>
  <property fmtid="{D5CDD505-2E9C-101B-9397-08002B2CF9AE}" pid="112" name="ClassificationContentMarkingHeaderFontProps">
    <vt:lpwstr>#000000,10,Aptos</vt:lpwstr>
  </property>
  <property fmtid="{D5CDD505-2E9C-101B-9397-08002B2CF9AE}" pid="113" name="ClassificationContentMarkingHeaderText">
    <vt:lpwstr>Niet openbaar</vt:lpwstr>
  </property>
</Properties>
</file>