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26CBC" w14:textId="1959AFA4" w:rsidR="00A50240" w:rsidRPr="00484E94" w:rsidRDefault="00A50240" w:rsidP="00A50240">
      <w:pPr>
        <w:rPr>
          <w:rFonts w:asciiTheme="minorHAnsi" w:hAnsiTheme="minorHAnsi" w:cstheme="minorHAnsi"/>
          <w:b/>
          <w:bCs/>
          <w:iCs/>
        </w:rPr>
      </w:pPr>
      <w:r w:rsidRPr="00484E94">
        <w:rPr>
          <w:rFonts w:asciiTheme="minorHAnsi" w:hAnsiTheme="minorHAnsi" w:cstheme="minorHAnsi"/>
          <w:b/>
          <w:bCs/>
          <w:iCs/>
        </w:rPr>
        <w:t>Bijlage</w:t>
      </w:r>
      <w:r w:rsidR="00007762" w:rsidRPr="00484E94">
        <w:rPr>
          <w:rFonts w:asciiTheme="minorHAnsi" w:hAnsiTheme="minorHAnsi" w:cstheme="minorHAnsi"/>
          <w:b/>
          <w:bCs/>
        </w:rPr>
        <w:t xml:space="preserve"> </w:t>
      </w:r>
      <w:r w:rsidR="00007762" w:rsidRPr="00484E94">
        <w:rPr>
          <w:rFonts w:asciiTheme="minorHAnsi" w:hAnsiTheme="minorHAnsi" w:cstheme="minorHAnsi"/>
          <w:b/>
          <w:bCs/>
          <w:iCs/>
        </w:rPr>
        <w:t>Uitsluitingsgrond i.v.m. verbod op gunning aan Russische partijen</w:t>
      </w:r>
    </w:p>
    <w:p w14:paraId="6BFF9E8F" w14:textId="77777777" w:rsidR="00A50240" w:rsidRDefault="00A50240" w:rsidP="00A50240">
      <w:pPr>
        <w:rPr>
          <w:iCs/>
        </w:rPr>
      </w:pPr>
    </w:p>
    <w:p w14:paraId="76CBFEB9" w14:textId="270DED83" w:rsidR="00A50240" w:rsidRDefault="00A50240" w:rsidP="00A50240">
      <w:pPr>
        <w:rPr>
          <w:iCs/>
        </w:rPr>
      </w:pPr>
    </w:p>
    <w:p w14:paraId="3684DDA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r:id="rId10" w:history="1">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w:t>
      </w:r>
      <w:proofErr w:type="spellStart"/>
      <w:r w:rsidRPr="00484E94">
        <w:rPr>
          <w:rFonts w:asciiTheme="minorHAnsi" w:hAnsiTheme="minorHAnsi" w:cstheme="minorHAnsi"/>
          <w:iCs/>
        </w:rPr>
        <w:t>duodecies</w:t>
      </w:r>
      <w:proofErr w:type="spellEnd"/>
      <w:r w:rsidRPr="00484E94">
        <w:rPr>
          <w:rFonts w:asciiTheme="minorHAnsi" w:hAnsiTheme="minorHAnsi" w:cstheme="minorHAnsi"/>
          <w:iCs/>
        </w:rPr>
        <w:t xml:space="preserve"> wordt daardoor ingevoegd, welk artikel als volgt luidt:</w:t>
      </w:r>
    </w:p>
    <w:p w14:paraId="720B236A" w14:textId="305A99C9" w:rsidR="00A50240" w:rsidRDefault="00A50240" w:rsidP="00A50240">
      <w:pPr>
        <w:rPr>
          <w:iCs/>
        </w:rPr>
      </w:pPr>
    </w:p>
    <w:p w14:paraId="1ECA8CA9" w14:textId="77777777" w:rsidR="00A50240" w:rsidRDefault="00A50240" w:rsidP="00A50240">
      <w:pPr>
        <w:rPr>
          <w:iCs/>
        </w:rPr>
      </w:pPr>
    </w:p>
    <w:p w14:paraId="67D487E4" w14:textId="6A728DC1" w:rsidR="00A50240" w:rsidRDefault="00A50240" w:rsidP="00A50240">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14:paraId="354DC968" w14:textId="77777777" w:rsidR="00484E94" w:rsidRDefault="00484E94" w:rsidP="00A50240">
      <w:pPr>
        <w:rPr>
          <w:iCs/>
        </w:rPr>
      </w:pPr>
    </w:p>
    <w:p w14:paraId="6BE943BE" w14:textId="77777777" w:rsidR="00484E94" w:rsidRDefault="00484E94" w:rsidP="00A50240">
      <w:pPr>
        <w:rPr>
          <w:iCs/>
        </w:rPr>
      </w:pPr>
    </w:p>
    <w:p w14:paraId="0A7A83B5" w14:textId="77777777" w:rsidR="00484E94" w:rsidRDefault="00484E94" w:rsidP="00A50240">
      <w:pPr>
        <w:rPr>
          <w:iCs/>
        </w:rPr>
      </w:pPr>
    </w:p>
    <w:p w14:paraId="4A7F79D9" w14:textId="77777777" w:rsidR="00484E94" w:rsidRDefault="00484E94" w:rsidP="00A50240">
      <w:pPr>
        <w:rPr>
          <w:iCs/>
        </w:rPr>
      </w:pPr>
    </w:p>
    <w:p w14:paraId="3D4291EB" w14:textId="191B61B1" w:rsidR="00A50240" w:rsidRPr="000C6DC1" w:rsidRDefault="00A50240" w:rsidP="00A50240">
      <w:pPr>
        <w:rPr>
          <w:iCs/>
        </w:rPr>
      </w:pPr>
      <w:r w:rsidRPr="000C6DC1">
        <w:rPr>
          <w:iCs/>
        </w:rPr>
        <w:t xml:space="preserve">In de Circulaire van 20 mei jl. van de Minister van Economische Zaken en Klimaat wordt uiteengezet wat genoemd verbod voor de praktijk betekent. Zie: </w:t>
      </w:r>
      <w:hyperlink r:id="rId12" w:history="1">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14:paraId="3DE4CA59" w14:textId="77777777" w:rsidR="00A50240" w:rsidRDefault="00A50240" w:rsidP="00A50240">
      <w:pPr>
        <w:rPr>
          <w:i/>
          <w:iCs/>
        </w:rPr>
      </w:pPr>
    </w:p>
    <w:p w14:paraId="0D339A5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14:paraId="0FB4C59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14:paraId="250BE381" w14:textId="77777777" w:rsidR="00A50240" w:rsidRPr="00484E94" w:rsidRDefault="00A50240" w:rsidP="00A50240">
      <w:pPr>
        <w:rPr>
          <w:rFonts w:asciiTheme="minorHAnsi" w:hAnsiTheme="minorHAnsi" w:cstheme="minorHAnsi"/>
          <w:iCs/>
        </w:rPr>
      </w:pPr>
    </w:p>
    <w:p w14:paraId="54239C8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14:paraId="753A0BD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14:paraId="4EE5148A" w14:textId="77777777" w:rsidR="00A50240" w:rsidRPr="00484E94" w:rsidRDefault="00A50240" w:rsidP="00A50240">
      <w:pPr>
        <w:rPr>
          <w:rFonts w:asciiTheme="minorHAnsi" w:hAnsiTheme="minorHAnsi" w:cstheme="minorHAnsi"/>
          <w:b/>
          <w:bCs/>
          <w:iCs/>
        </w:rPr>
      </w:pPr>
    </w:p>
    <w:p w14:paraId="4551DF7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14:paraId="70F63F8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14:paraId="31EF13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met een Russische nationaliteit en personen of rechtspersonen (bedrijven, entiteiten of organen) die gevestigd zijn in Rusland;</w:t>
      </w:r>
    </w:p>
    <w:p w14:paraId="3BDD3442"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•rechtspersonen die voor meer dan 50% eigendom zijn van een Russische partij zoals genoemd hierboven; en</w:t>
      </w:r>
    </w:p>
    <w:p w14:paraId="302A9FC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of rechtspersonen die handelen in belang van of op aanwijzing van een bovengenoemde Russische partij.</w:t>
      </w:r>
    </w:p>
    <w:p w14:paraId="6E41041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•Niet-Russische entiteiten, waarbij meer dan 10% van de </w:t>
      </w:r>
      <w:proofErr w:type="spellStart"/>
      <w:r w:rsidRPr="00484E94">
        <w:rPr>
          <w:rFonts w:asciiTheme="minorHAnsi" w:hAnsiTheme="minorHAnsi" w:cstheme="minorHAnsi"/>
          <w:iCs/>
        </w:rPr>
        <w:t>contractswaarde</w:t>
      </w:r>
      <w:proofErr w:type="spellEnd"/>
      <w:r w:rsidRPr="00484E94">
        <w:rPr>
          <w:rFonts w:asciiTheme="minorHAnsi" w:hAnsiTheme="minorHAnsi" w:cstheme="minorHAnsi"/>
          <w:iCs/>
        </w:rPr>
        <w:t xml:space="preserve"> geleverd wordt door onderaannemers, leveranciers of entiteiten die als Russische entiteit kunnen worden aangemerkt op basis van het bovenstaande. </w:t>
      </w:r>
    </w:p>
    <w:p w14:paraId="4F46BBEC" w14:textId="77777777" w:rsidR="00A50240" w:rsidRPr="00484E94" w:rsidRDefault="00A50240" w:rsidP="00A50240">
      <w:pPr>
        <w:rPr>
          <w:rFonts w:asciiTheme="minorHAnsi" w:hAnsiTheme="minorHAnsi" w:cstheme="minorHAnsi"/>
          <w:iCs/>
        </w:rPr>
      </w:pPr>
    </w:p>
    <w:p w14:paraId="67A4375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De rechtspersonen als bedoeld bij de tweede of derde </w:t>
      </w:r>
      <w:proofErr w:type="spellStart"/>
      <w:r w:rsidRPr="00484E94">
        <w:rPr>
          <w:rFonts w:asciiTheme="minorHAnsi" w:hAnsiTheme="minorHAnsi" w:cstheme="minorHAnsi"/>
          <w:iCs/>
        </w:rPr>
        <w:t>bullet</w:t>
      </w:r>
      <w:proofErr w:type="spellEnd"/>
      <w:r w:rsidRPr="00484E94">
        <w:rPr>
          <w:rFonts w:asciiTheme="minorHAnsi" w:hAnsiTheme="minorHAnsi" w:cstheme="minorHAnsi"/>
          <w:iCs/>
        </w:rPr>
        <w:t xml:space="preserve"> omvatten ook natuurlijke en rechtspersonen gevestigd in de EU/EER of in een ander land dan Rusland. </w:t>
      </w:r>
    </w:p>
    <w:p w14:paraId="21EC8A1B" w14:textId="77777777" w:rsidR="00A50240" w:rsidRPr="00484E94" w:rsidRDefault="00A50240" w:rsidP="00A50240">
      <w:pPr>
        <w:rPr>
          <w:rFonts w:asciiTheme="minorHAnsi" w:hAnsiTheme="minorHAnsi" w:cstheme="minorHAnsi"/>
          <w:iCs/>
        </w:rPr>
      </w:pPr>
    </w:p>
    <w:p w14:paraId="0A7B04CE"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14:paraId="2C7401E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1. Stel vast of er sprake is van eigendom (minimaal meer dan 50%) dooreen Russische persoon of rechtspersoon.</w:t>
      </w:r>
    </w:p>
    <w:p w14:paraId="7979645D"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2. Is er geen sprake van eigendom, stel dan vast of er wel sprake is van zeggenschap (zeggenschap kan in de vorm van contractuele afspraken of in de vorm van andere feitelijke invloed aanwezig zijn).</w:t>
      </w:r>
    </w:p>
    <w:p w14:paraId="410C2A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lastRenderedPageBreak/>
        <w:t>3. Ook in contracten met niet-Russische entiteiten dient u na te gaan of er sprake is van onderaannemers en leveranciers die voldoen aan 1 en 2, mits de waarde van deze partijen meer dan 10% is van het totale contract.</w:t>
      </w:r>
    </w:p>
    <w:p w14:paraId="0AB95F5A"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4. Is er sprake van eigendom, zeggenschap of de ‘10%-regel’? Check dan of uw lopende contracten en aanbestedingen onder een uitzondering vallen (zie hieronder).</w:t>
      </w:r>
    </w:p>
    <w:p w14:paraId="048BC2FC" w14:textId="10DA997D" w:rsidR="00A50240" w:rsidRDefault="00A50240" w:rsidP="00A50240">
      <w:pPr>
        <w:rPr>
          <w:rFonts w:asciiTheme="minorHAnsi" w:hAnsiTheme="minorHAnsi" w:cstheme="minorHAnsi"/>
          <w:iCs/>
        </w:rPr>
      </w:pPr>
    </w:p>
    <w:p w14:paraId="2D3F0DB4" w14:textId="77777777" w:rsidR="00484E94" w:rsidRPr="00484E94" w:rsidRDefault="00484E94" w:rsidP="00A50240">
      <w:pPr>
        <w:rPr>
          <w:rFonts w:asciiTheme="minorHAnsi" w:hAnsiTheme="minorHAnsi" w:cstheme="minorHAnsi"/>
          <w:iCs/>
        </w:rPr>
      </w:pPr>
    </w:p>
    <w:p w14:paraId="00C3F55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Uitzonderingen </w:t>
      </w:r>
    </w:p>
    <w:p w14:paraId="78A8FD59"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14:paraId="060C3640" w14:textId="77777777" w:rsidR="00A50240" w:rsidRPr="00484E94" w:rsidRDefault="00A50240" w:rsidP="00A50240">
      <w:pPr>
        <w:rPr>
          <w:rFonts w:asciiTheme="minorHAnsi" w:hAnsiTheme="minorHAnsi" w:cstheme="minorHAnsi"/>
          <w:iCs/>
        </w:rPr>
      </w:pPr>
    </w:p>
    <w:p w14:paraId="1D89D81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Mogelijke uitzonderingsgronden zijn: </w:t>
      </w:r>
    </w:p>
    <w:p w14:paraId="4C33D5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484E94">
        <w:rPr>
          <w:rFonts w:asciiTheme="minorHAnsi" w:hAnsiTheme="minorHAnsi" w:cstheme="minorHAnsi"/>
          <w:b/>
          <w:iCs/>
          <w:color w:val="000000"/>
          <w:sz w:val="24"/>
          <w:szCs w:val="24"/>
        </w:rPr>
        <w:t xml:space="preserve"> </w:t>
      </w:r>
      <w:r w:rsidRPr="00484E94">
        <w:rPr>
          <w:rFonts w:asciiTheme="minorHAnsi" w:hAnsiTheme="minorHAnsi" w:cstheme="minorHAnsi"/>
          <w:iCs/>
        </w:rPr>
        <w:t>technologie voor civiele nucleaire samenwerking (voornamelijk onderzoek en ontwikkeling);</w:t>
      </w:r>
    </w:p>
    <w:p w14:paraId="7BA3C52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de levering van strikt noodzakelijke goederen of diensten enkel mogelijk is door een Russische partij, of enkel een Russische partij het kan leveren in toereikende hoeveelheden; </w:t>
      </w:r>
    </w:p>
    <w:p w14:paraId="54D08A3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Ruimteprogramma’s; </w:t>
      </w:r>
    </w:p>
    <w:p w14:paraId="5F5360C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Alles voor diplomaten van </w:t>
      </w:r>
      <w:proofErr w:type="gramStart"/>
      <w:r w:rsidRPr="00484E94">
        <w:rPr>
          <w:rFonts w:asciiTheme="minorHAnsi" w:hAnsiTheme="minorHAnsi" w:cstheme="minorHAnsi"/>
          <w:iCs/>
        </w:rPr>
        <w:t>EU landen</w:t>
      </w:r>
      <w:proofErr w:type="gramEnd"/>
      <w:r w:rsidRPr="00484E94">
        <w:rPr>
          <w:rFonts w:asciiTheme="minorHAnsi" w:hAnsiTheme="minorHAnsi" w:cstheme="minorHAnsi"/>
          <w:iCs/>
        </w:rPr>
        <w:t xml:space="preserve"> in Rusland; </w:t>
      </w:r>
    </w:p>
    <w:p w14:paraId="1CB4BBB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het gaat om de levering van gas, olie, titanium, aluminium, koper, nikkel, palladium en ijzererts; </w:t>
      </w:r>
    </w:p>
    <w:p w14:paraId="5C9213E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Levering van kolen en andere fossiele brandstoffen (tot 10 augustus 2022). </w:t>
      </w:r>
    </w:p>
    <w:p w14:paraId="6B1256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14:paraId="03290270" w14:textId="77777777" w:rsidR="00A50240" w:rsidRDefault="00A50240">
      <w:pPr>
        <w:rPr>
          <w:rFonts w:asciiTheme="minorHAnsi" w:hAnsiTheme="minorHAnsi" w:cstheme="minorHAnsi"/>
          <w:iCs/>
        </w:rPr>
      </w:pPr>
    </w:p>
    <w:p w14:paraId="6A4F93DA" w14:textId="77777777" w:rsidR="00D7107D" w:rsidRPr="00D7107D" w:rsidRDefault="00D7107D" w:rsidP="00D7107D">
      <w:pPr>
        <w:rPr>
          <w:rFonts w:asciiTheme="minorHAnsi" w:hAnsiTheme="minorHAnsi" w:cstheme="minorHAnsi"/>
        </w:rPr>
      </w:pPr>
    </w:p>
    <w:p w14:paraId="2561B863" w14:textId="77777777" w:rsidR="00D7107D" w:rsidRPr="00D7107D" w:rsidRDefault="00D7107D" w:rsidP="00D7107D">
      <w:pPr>
        <w:rPr>
          <w:rFonts w:asciiTheme="minorHAnsi" w:hAnsiTheme="minorHAnsi" w:cstheme="minorHAnsi"/>
        </w:rPr>
      </w:pPr>
    </w:p>
    <w:p w14:paraId="52D7A8C5" w14:textId="77777777" w:rsidR="00D7107D" w:rsidRDefault="00D7107D" w:rsidP="00D7107D">
      <w:pPr>
        <w:rPr>
          <w:rFonts w:asciiTheme="minorHAnsi" w:hAnsiTheme="minorHAnsi" w:cstheme="minorHAnsi"/>
          <w:iCs/>
        </w:rPr>
      </w:pPr>
    </w:p>
    <w:p w14:paraId="61542BA7" w14:textId="77777777" w:rsidR="00D7107D" w:rsidRDefault="00D7107D" w:rsidP="00D7107D">
      <w:pPr>
        <w:jc w:val="center"/>
        <w:rPr>
          <w:rFonts w:asciiTheme="minorHAnsi" w:hAnsiTheme="minorHAnsi" w:cstheme="minorHAnsi"/>
        </w:rPr>
      </w:pPr>
    </w:p>
    <w:p w14:paraId="3F587D76" w14:textId="77777777" w:rsidR="00D7107D" w:rsidRPr="00D7107D" w:rsidRDefault="00D7107D" w:rsidP="00D7107D">
      <w:pPr>
        <w:jc w:val="center"/>
        <w:rPr>
          <w:rFonts w:asciiTheme="minorHAnsi" w:hAnsiTheme="minorHAnsi" w:cstheme="minorHAnsi"/>
        </w:rPr>
      </w:pPr>
    </w:p>
    <w:sectPr w:rsidR="00D7107D" w:rsidRPr="00D7107D" w:rsidSect="00577B03">
      <w:headerReference w:type="default" r:id="rId13"/>
      <w:pgSz w:w="11906" w:h="16838"/>
      <w:pgMar w:top="225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4332" w14:textId="77777777" w:rsidR="00577B03" w:rsidRDefault="00577B03" w:rsidP="00577B03">
      <w:r>
        <w:separator/>
      </w:r>
    </w:p>
  </w:endnote>
  <w:endnote w:type="continuationSeparator" w:id="0">
    <w:p w14:paraId="1211E0DA" w14:textId="77777777" w:rsidR="00577B03" w:rsidRDefault="00577B03" w:rsidP="0057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CD363" w14:textId="77777777" w:rsidR="00577B03" w:rsidRDefault="00577B03" w:rsidP="00577B03">
      <w:r>
        <w:separator/>
      </w:r>
    </w:p>
  </w:footnote>
  <w:footnote w:type="continuationSeparator" w:id="0">
    <w:p w14:paraId="379E4064" w14:textId="77777777" w:rsidR="00577B03" w:rsidRDefault="00577B03" w:rsidP="00577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45A4" w14:textId="35F0D17C" w:rsidR="00577B03" w:rsidRDefault="00577B03">
    <w:pPr>
      <w:pStyle w:val="Header"/>
    </w:pPr>
    <w:r w:rsidRPr="00577B03">
      <w:drawing>
        <wp:anchor distT="0" distB="0" distL="114300" distR="114300" simplePos="0" relativeHeight="251658240" behindDoc="1" locked="0" layoutInCell="1" allowOverlap="1" wp14:anchorId="72A14003" wp14:editId="6C7F5ACF">
          <wp:simplePos x="0" y="0"/>
          <wp:positionH relativeFrom="column">
            <wp:posOffset>3357880</wp:posOffset>
          </wp:positionH>
          <wp:positionV relativeFrom="paragraph">
            <wp:posOffset>-125730</wp:posOffset>
          </wp:positionV>
          <wp:extent cx="2248214" cy="924054"/>
          <wp:effectExtent l="0" t="0" r="0" b="9525"/>
          <wp:wrapTight wrapText="bothSides">
            <wp:wrapPolygon edited="0">
              <wp:start x="0" y="0"/>
              <wp:lineTo x="0" y="21377"/>
              <wp:lineTo x="21417" y="21377"/>
              <wp:lineTo x="21417" y="0"/>
              <wp:lineTo x="0" y="0"/>
            </wp:wrapPolygon>
          </wp:wrapTight>
          <wp:docPr id="185624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01803" name=""/>
                  <pic:cNvPicPr/>
                </pic:nvPicPr>
                <pic:blipFill>
                  <a:blip r:embed="rId1">
                    <a:extLst>
                      <a:ext uri="{28A0092B-C50C-407E-A947-70E740481C1C}">
                        <a14:useLocalDpi xmlns:a14="http://schemas.microsoft.com/office/drawing/2010/main" val="0"/>
                      </a:ext>
                    </a:extLst>
                  </a:blip>
                  <a:stretch>
                    <a:fillRect/>
                  </a:stretch>
                </pic:blipFill>
                <pic:spPr>
                  <a:xfrm>
                    <a:off x="0" y="0"/>
                    <a:ext cx="2248214" cy="92405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2F5629"/>
    <w:rsid w:val="00484E94"/>
    <w:rsid w:val="005730D9"/>
    <w:rsid w:val="00577B03"/>
    <w:rsid w:val="007F0B71"/>
    <w:rsid w:val="00A50240"/>
    <w:rsid w:val="00D64936"/>
    <w:rsid w:val="00D71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24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240"/>
    <w:rPr>
      <w:color w:val="0563C1" w:themeColor="hyperlink"/>
      <w:u w:val="single"/>
    </w:rPr>
  </w:style>
  <w:style w:type="character" w:styleId="CommentReference">
    <w:name w:val="annotation reference"/>
    <w:basedOn w:val="DefaultParagraphFont"/>
    <w:uiPriority w:val="99"/>
    <w:semiHidden/>
    <w:unhideWhenUsed/>
    <w:rsid w:val="00007762"/>
    <w:rPr>
      <w:sz w:val="16"/>
      <w:szCs w:val="16"/>
    </w:rPr>
  </w:style>
  <w:style w:type="paragraph" w:styleId="CommentText">
    <w:name w:val="annotation text"/>
    <w:basedOn w:val="Normal"/>
    <w:link w:val="CommentTextChar"/>
    <w:uiPriority w:val="99"/>
    <w:semiHidden/>
    <w:unhideWhenUsed/>
    <w:rsid w:val="00007762"/>
    <w:rPr>
      <w:sz w:val="20"/>
      <w:szCs w:val="20"/>
    </w:rPr>
  </w:style>
  <w:style w:type="character" w:customStyle="1" w:styleId="CommentTextChar">
    <w:name w:val="Comment Text Char"/>
    <w:basedOn w:val="DefaultParagraphFont"/>
    <w:link w:val="CommentText"/>
    <w:uiPriority w:val="99"/>
    <w:semiHidden/>
    <w:rsid w:val="0000776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07762"/>
    <w:rPr>
      <w:b/>
      <w:bCs/>
    </w:rPr>
  </w:style>
  <w:style w:type="character" w:customStyle="1" w:styleId="CommentSubjectChar">
    <w:name w:val="Comment Subject Char"/>
    <w:basedOn w:val="CommentTextChar"/>
    <w:link w:val="CommentSubject"/>
    <w:uiPriority w:val="99"/>
    <w:semiHidden/>
    <w:rsid w:val="00007762"/>
    <w:rPr>
      <w:rFonts w:ascii="Calibri" w:hAnsi="Calibri" w:cs="Calibri"/>
      <w:b/>
      <w:bCs/>
      <w:sz w:val="20"/>
      <w:szCs w:val="20"/>
    </w:rPr>
  </w:style>
  <w:style w:type="paragraph" w:styleId="Header">
    <w:name w:val="header"/>
    <w:basedOn w:val="Normal"/>
    <w:link w:val="HeaderChar"/>
    <w:uiPriority w:val="99"/>
    <w:unhideWhenUsed/>
    <w:rsid w:val="00577B03"/>
    <w:pPr>
      <w:tabs>
        <w:tab w:val="center" w:pos="4680"/>
        <w:tab w:val="right" w:pos="9360"/>
      </w:tabs>
    </w:pPr>
  </w:style>
  <w:style w:type="character" w:customStyle="1" w:styleId="HeaderChar">
    <w:name w:val="Header Char"/>
    <w:basedOn w:val="DefaultParagraphFont"/>
    <w:link w:val="Header"/>
    <w:uiPriority w:val="99"/>
    <w:rsid w:val="00577B03"/>
    <w:rPr>
      <w:rFonts w:ascii="Calibri" w:hAnsi="Calibri" w:cs="Calibri"/>
    </w:rPr>
  </w:style>
  <w:style w:type="paragraph" w:styleId="Footer">
    <w:name w:val="footer"/>
    <w:basedOn w:val="Normal"/>
    <w:link w:val="FooterChar"/>
    <w:uiPriority w:val="99"/>
    <w:unhideWhenUsed/>
    <w:rsid w:val="00577B03"/>
    <w:pPr>
      <w:tabs>
        <w:tab w:val="center" w:pos="4680"/>
        <w:tab w:val="right" w:pos="9360"/>
      </w:tabs>
    </w:pPr>
  </w:style>
  <w:style w:type="character" w:customStyle="1" w:styleId="FooterChar">
    <w:name w:val="Footer Char"/>
    <w:basedOn w:val="DefaultParagraphFont"/>
    <w:link w:val="Footer"/>
    <w:uiPriority w:val="99"/>
    <w:rsid w:val="00577B0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ianoo.nl/nl/actueel/nieuws/update-circulaire-gevolgen-sanctiepakket-rusland-voor-overheidsaanbesteding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lex.europa.eu/legal-content/EN/TXT/?uri=OJ:L:2022:111:TO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bb7030c4-3fdd-4033-945b-15e5853415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E69909246CBD4CB386A6845E6AB503" ma:contentTypeVersion="12" ma:contentTypeDescription="Een nieuw document maken." ma:contentTypeScope="" ma:versionID="9fd016cf96b17ef087e29d839343b687">
  <xsd:schema xmlns:xsd="http://www.w3.org/2001/XMLSchema" xmlns:xs="http://www.w3.org/2001/XMLSchema" xmlns:p="http://schemas.microsoft.com/office/2006/metadata/properties" xmlns:ns2="bb7030c4-3fdd-4033-945b-15e5853415f8" xmlns:ns3="4f35b267-bd6d-4640-8cf6-c0951f2bf4bb" targetNamespace="http://schemas.microsoft.com/office/2006/metadata/properties" ma:root="true" ma:fieldsID="9ac8dd36fee1d78b667baee0b4871e6a" ns2:_="" ns3:_="">
    <xsd:import namespace="bb7030c4-3fdd-4033-945b-15e5853415f8"/>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030c4-3fdd-4033-945b-15e58534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C9DC0-3F38-447D-A845-59B92CA1A09F}">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 ds:uri="4f35b267-bd6d-4640-8cf6-c0951f2bf4bb"/>
    <ds:schemaRef ds:uri="http://schemas.openxmlformats.org/package/2006/metadata/core-properties"/>
    <ds:schemaRef ds:uri="bb7030c4-3fdd-4033-945b-15e5853415f8"/>
    <ds:schemaRef ds:uri="http://purl.org/dc/dcmitype/"/>
  </ds:schemaRefs>
</ds:datastoreItem>
</file>

<file path=customXml/itemProps2.xml><?xml version="1.0" encoding="utf-8"?>
<ds:datastoreItem xmlns:ds="http://schemas.openxmlformats.org/officeDocument/2006/customXml" ds:itemID="{5FE12FAC-838F-47F7-81B8-66E2D1021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030c4-3fdd-4033-945b-15e5853415f8"/>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4524B-A3EE-4AF6-957B-A0039E6DBE78}">
  <ds:schemaRefs>
    <ds:schemaRef ds:uri="http://schemas.microsoft.com/sharepoint/v3/contenttype/forms"/>
  </ds:schemaRefs>
</ds:datastoreItem>
</file>

<file path=customXml/itemProps4.xml><?xml version="1.0" encoding="utf-8"?>
<ds:datastoreItem xmlns:ds="http://schemas.openxmlformats.org/officeDocument/2006/customXml" ds:itemID="{F18FB2D7-84F5-49D1-8C86-FED9D70F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4778</Characters>
  <Application>Microsoft Office Word</Application>
  <DocSecurity>0</DocSecurity>
  <Lines>39</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Toon van Kraaij</cp:lastModifiedBy>
  <cp:revision>2</cp:revision>
  <dcterms:created xsi:type="dcterms:W3CDTF">2026-02-04T06:37:00Z</dcterms:created>
  <dcterms:modified xsi:type="dcterms:W3CDTF">2026-02-04T06:37:00Z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0x01010032E69909246CBD4CB386A6845E6AB503</vt:lpwstr>
  </property>
  <property fmtid="{D5CDD505-2E9C-101B-9397-08002B2CF9AE}" pid="3" name="Order">
    <vt:r8>15259200</vt:r8>
  </property>
  <property fmtid="{D5CDD505-2E9C-101B-9397-08002B2CF9AE}" pid="4" name="_ExtendedDescription">
    <vt:lpwstr/>
  </property>
  <property fmtid="{D5CDD505-2E9C-101B-9397-08002B2CF9AE}" pid="5" name="MediaServiceImageTags">
    <vt:lpwstr/>
  </property>
  <property fmtid="{D5CDD505-2E9C-101B-9397-08002B2CF9AE}" pid="6" name="MSIP_Label_d347b247-e90e-43a3-9d7b-004f14ae6873_Enabled">
    <vt:lpwstr>true</vt:lpwstr>
  </property>
  <property fmtid="{D5CDD505-2E9C-101B-9397-08002B2CF9AE}" pid="7" name="MSIP_Label_d347b247-e90e-43a3-9d7b-004f14ae6873_SetDate">
    <vt:lpwstr>2026-02-04T06:37:15Z</vt:lpwstr>
  </property>
  <property fmtid="{D5CDD505-2E9C-101B-9397-08002B2CF9AE}" pid="8" name="MSIP_Label_d347b247-e90e-43a3-9d7b-004f14ae6873_Method">
    <vt:lpwstr>Standard</vt:lpwstr>
  </property>
  <property fmtid="{D5CDD505-2E9C-101B-9397-08002B2CF9AE}" pid="9" name="MSIP_Label_d347b247-e90e-43a3-9d7b-004f14ae6873_Name">
    <vt:lpwstr>d347b247-e90e-43a3-9d7b-004f14ae6873</vt:lpwstr>
  </property>
  <property fmtid="{D5CDD505-2E9C-101B-9397-08002B2CF9AE}" pid="10" name="MSIP_Label_d347b247-e90e-43a3-9d7b-004f14ae6873_SiteId">
    <vt:lpwstr>76e3921f-489b-4b7e-9547-9ea297add9b5</vt:lpwstr>
  </property>
  <property fmtid="{D5CDD505-2E9C-101B-9397-08002B2CF9AE}" pid="11" name="MSIP_Label_d347b247-e90e-43a3-9d7b-004f14ae6873_ActionId">
    <vt:lpwstr>29fc17b5-eb48-4f36-8e81-71439d8074cc</vt:lpwstr>
  </property>
  <property fmtid="{D5CDD505-2E9C-101B-9397-08002B2CF9AE}" pid="12" name="MSIP_Label_d347b247-e90e-43a3-9d7b-004f14ae6873_ContentBits">
    <vt:lpwstr>0</vt:lpwstr>
  </property>
  <property fmtid="{D5CDD505-2E9C-101B-9397-08002B2CF9AE}" pid="13" name="MSIP_Label_d347b247-e90e-43a3-9d7b-004f14ae6873_Tag">
    <vt:lpwstr>10, 3, 0, 1</vt:lpwstr>
  </property>
</Properties>
</file>