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7D5234F5" w:rsidR="005A28E8" w:rsidRPr="00E831F2" w:rsidRDefault="00A5415B" w:rsidP="00A5415B">
      <w:pPr>
        <w:pStyle w:val="Titel"/>
      </w:pPr>
      <w:r w:rsidRPr="00E831F2">
        <w:t xml:space="preserve">Bijlage </w:t>
      </w:r>
      <w:r w:rsidR="004737D9" w:rsidRPr="00E831F2">
        <w:t>(</w:t>
      </w:r>
      <w:r w:rsidR="00E831F2" w:rsidRPr="00E831F2">
        <w:t>11</w:t>
      </w:r>
      <w:r w:rsidR="004737D9" w:rsidRPr="00E831F2">
        <w:t>)</w:t>
      </w:r>
      <w:r w:rsidRPr="00E831F2">
        <w:t xml:space="preserve"> – Formulier Referenties Kerncompetenties</w:t>
      </w:r>
      <w:r w:rsidR="009F42FB" w:rsidRPr="00E831F2">
        <w:t xml:space="preserve"> </w:t>
      </w:r>
      <w:r w:rsidR="00E831F2" w:rsidRPr="00E831F2">
        <w:t>10667</w:t>
      </w:r>
    </w:p>
    <w:p w14:paraId="36971BC8" w14:textId="36ACD642" w:rsidR="00A5415B" w:rsidRDefault="00A5415B" w:rsidP="00A5415B">
      <w:r w:rsidRPr="00E831F2">
        <w:t xml:space="preserve">U dient gebruik te maken van onderstaand model voor referenties. Voor meer informatie over de voorwaarden die gemeente Nissewaard stelt aan referenties, zie paragraaf </w:t>
      </w:r>
      <w:r w:rsidR="00E831F2" w:rsidRPr="00E831F2">
        <w:t>5.2.3.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0E6EBDE0" w:rsidR="00A5415B" w:rsidRDefault="00A5415B" w:rsidP="00E831F2">
            <w:r>
              <w:t>KERNCOMPETENTIE 1:</w:t>
            </w:r>
            <w:r w:rsidR="00E831F2">
              <w:t xml:space="preserve"> </w:t>
            </w:r>
            <w:r w:rsidR="00E831F2" w:rsidRPr="00E831F2">
              <w:t>1. De inschrijver dient aantoonbare ervaring te hebben met het uitvoeren van correctief onderhoud aan</w:t>
            </w:r>
            <w:r w:rsidR="00E831F2">
              <w:t xml:space="preserve"> </w:t>
            </w:r>
            <w:r w:rsidR="00E831F2" w:rsidRPr="00E831F2">
              <w:t>gemalen. Dit omvat het adequaat en tijdig verhelpen van storingen en defecten aan pompen, leidingen,</w:t>
            </w:r>
            <w:r w:rsidR="00E831F2">
              <w:t xml:space="preserve"> </w:t>
            </w:r>
            <w:r w:rsidR="00E831F2" w:rsidRPr="00E831F2">
              <w:t>elektrische componenten en besturingssystemen. Van de inschrijver wordt verwacht dat hij beschikt over een</w:t>
            </w:r>
            <w:r w:rsidR="00E831F2">
              <w:t xml:space="preserve"> </w:t>
            </w:r>
            <w:r w:rsidR="00E831F2" w:rsidRPr="00E831F2">
              <w:t xml:space="preserve">24/7 storingsorganisatie met korte responstijden, zodat de </w:t>
            </w:r>
            <w:proofErr w:type="spellStart"/>
            <w:r w:rsidR="00E831F2" w:rsidRPr="00E831F2">
              <w:t>bedrijfscontinuiteit</w:t>
            </w:r>
            <w:proofErr w:type="spellEnd"/>
            <w:r w:rsidR="00E831F2" w:rsidRPr="00E831F2">
              <w:t xml:space="preserve"> van de gemalen te allen tijde</w:t>
            </w:r>
            <w:r w:rsidR="00E831F2">
              <w:t xml:space="preserve"> </w:t>
            </w:r>
            <w:r w:rsidR="00E831F2" w:rsidRPr="00E831F2">
              <w:t>gewaarborgd blijft. De inschrijver toont deze ervaring aan door middel van een referentieopdracht waaruit</w:t>
            </w:r>
            <w:r w:rsidR="00E831F2">
              <w:t xml:space="preserve"> </w:t>
            </w:r>
            <w:r w:rsidR="00E831F2" w:rsidRPr="00E831F2">
              <w:t>blijkt dat hij correctief onderhoud heeft verricht binnen een areaal van minimaal 330 objecten, in zowel</w:t>
            </w:r>
            <w:r w:rsidR="00E831F2">
              <w:t xml:space="preserve"> </w:t>
            </w:r>
            <w:r w:rsidR="00E831F2" w:rsidRPr="00E831F2">
              <w:t>stedelijk gebied als buitengebied.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75F4D579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29DBF28D" w14:textId="02F3D03E" w:rsidR="00A5415B" w:rsidRDefault="00A5415B" w:rsidP="00E831F2">
            <w:r>
              <w:t>KERNCOMPETENTIE 2:</w:t>
            </w:r>
            <w:r w:rsidR="00E831F2">
              <w:t xml:space="preserve"> </w:t>
            </w:r>
            <w:r w:rsidR="00E831F2" w:rsidRPr="00E831F2">
              <w:t>2. De inschrijver beschikt over aantoonbare ervaring met het planmatig reinigen van installaties, waaronder</w:t>
            </w:r>
            <w:r w:rsidR="00E831F2">
              <w:t xml:space="preserve"> </w:t>
            </w:r>
            <w:r w:rsidR="00E831F2" w:rsidRPr="00E831F2">
              <w:t>rioolgemalen, tunnelgemalen en bergbezinkbassins (</w:t>
            </w:r>
            <w:proofErr w:type="spellStart"/>
            <w:r w:rsidR="00E831F2" w:rsidRPr="00E831F2">
              <w:t>BBB’s</w:t>
            </w:r>
            <w:proofErr w:type="spellEnd"/>
            <w:r w:rsidR="00E831F2" w:rsidRPr="00E831F2">
              <w:t>). Deze installaties dienen minimaal tweemaal per</w:t>
            </w:r>
            <w:r w:rsidR="00E831F2">
              <w:t xml:space="preserve"> </w:t>
            </w:r>
            <w:r w:rsidR="00E831F2" w:rsidRPr="00E831F2">
              <w:t>jaar te worden gereinigd, waarbij werkzaamheden zorgvuldig en volgens een vooraf opgesteld onderhoudsplan</w:t>
            </w:r>
            <w:r w:rsidR="00E831F2">
              <w:t xml:space="preserve"> </w:t>
            </w:r>
            <w:r w:rsidR="00E831F2" w:rsidRPr="00E831F2">
              <w:t xml:space="preserve">worden uitgevoerd. Van de inschrijver wordt verwacht dat hij </w:t>
            </w:r>
            <w:r w:rsidR="00E831F2" w:rsidRPr="00E831F2">
              <w:lastRenderedPageBreak/>
              <w:t>beschikt over een duidelijke</w:t>
            </w:r>
            <w:r w:rsidR="00E831F2">
              <w:t xml:space="preserve"> </w:t>
            </w:r>
            <w:r w:rsidR="00E831F2" w:rsidRPr="00E831F2">
              <w:t xml:space="preserve">planningssystematiek waarmee de voortgang van de </w:t>
            </w:r>
            <w:r w:rsidR="00E831F2">
              <w:t xml:space="preserve"> r</w:t>
            </w:r>
            <w:r w:rsidR="00E831F2" w:rsidRPr="00E831F2">
              <w:t>einigingswerkzaamheden wordt bewaakt, afgestemd met</w:t>
            </w:r>
            <w:r w:rsidR="00E831F2">
              <w:t xml:space="preserve"> </w:t>
            </w:r>
            <w:r w:rsidR="00E831F2" w:rsidRPr="00E831F2">
              <w:t>de opdrachtgever en met inachtneming van de bedrijfszekerheid van de installaties. De inschrijver toont deze</w:t>
            </w:r>
            <w:r w:rsidR="00E831F2">
              <w:t xml:space="preserve"> </w:t>
            </w:r>
            <w:r w:rsidR="00E831F2" w:rsidRPr="00E831F2">
              <w:t>ervaring aan door middel van een referentieopdracht waaruit blijkt dat hij planmatig reinigingswerkzaamheden</w:t>
            </w:r>
            <w:r w:rsidR="00E831F2">
              <w:t xml:space="preserve"> </w:t>
            </w:r>
            <w:r w:rsidR="00E831F2" w:rsidRPr="00E831F2">
              <w:t>heeft uitgevoerd binnen een areaal van ten minste 330 objecten, in zowel stedelijk gebied als buitengebied.</w:t>
            </w:r>
          </w:p>
        </w:tc>
      </w:tr>
      <w:tr w:rsidR="00A5415B" w14:paraId="788FF56A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4CAE8362" w14:textId="77777777" w:rsidR="00A5415B" w:rsidRDefault="00A5415B" w:rsidP="00B21190">
            <w:r>
              <w:lastRenderedPageBreak/>
              <w:t>Naam referentie:</w:t>
            </w:r>
          </w:p>
          <w:p w14:paraId="5DF32D54" w14:textId="77777777" w:rsidR="00A5415B" w:rsidRDefault="00A5415B" w:rsidP="00B21190">
            <w:r>
              <w:t>Soort organisatie:</w:t>
            </w:r>
          </w:p>
          <w:p w14:paraId="551ECA7A" w14:textId="77777777" w:rsidR="00A5415B" w:rsidRDefault="00A5415B" w:rsidP="00B21190">
            <w:r>
              <w:t>Adres:</w:t>
            </w:r>
          </w:p>
          <w:p w14:paraId="194A97CB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DAE08AE" w14:textId="77777777" w:rsidR="00A5415B" w:rsidRDefault="00A5415B" w:rsidP="00B21190"/>
        </w:tc>
      </w:tr>
      <w:tr w:rsidR="00A5415B" w14:paraId="55F2A431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5C6ED87" w14:textId="77777777" w:rsidR="00A5415B" w:rsidRDefault="00A5415B" w:rsidP="00B21190"/>
        </w:tc>
        <w:tc>
          <w:tcPr>
            <w:tcW w:w="7311" w:type="dxa"/>
          </w:tcPr>
          <w:p w14:paraId="7B931DFE" w14:textId="77777777" w:rsidR="00A5415B" w:rsidRDefault="00A5415B" w:rsidP="00B21190"/>
        </w:tc>
      </w:tr>
      <w:tr w:rsidR="00A5415B" w14:paraId="778D2BC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5891BCA6" w14:textId="77777777" w:rsidR="00A5415B" w:rsidRDefault="00A5415B" w:rsidP="00B21190"/>
        </w:tc>
        <w:tc>
          <w:tcPr>
            <w:tcW w:w="7311" w:type="dxa"/>
          </w:tcPr>
          <w:p w14:paraId="69FF05C4" w14:textId="77777777" w:rsidR="00A5415B" w:rsidRDefault="00A5415B" w:rsidP="00B21190"/>
        </w:tc>
      </w:tr>
      <w:tr w:rsidR="00A5415B" w14:paraId="72FD012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7DD49F78" w14:textId="77777777" w:rsidR="00A5415B" w:rsidRDefault="00A5415B" w:rsidP="00B21190"/>
        </w:tc>
        <w:tc>
          <w:tcPr>
            <w:tcW w:w="7311" w:type="dxa"/>
          </w:tcPr>
          <w:p w14:paraId="60F6B14F" w14:textId="77777777" w:rsidR="00A5415B" w:rsidRDefault="00A5415B" w:rsidP="00B21190"/>
        </w:tc>
      </w:tr>
      <w:tr w:rsidR="00A5415B" w14:paraId="019E7B71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F216298" w14:textId="77777777" w:rsidR="00A5415B" w:rsidRDefault="00A5415B" w:rsidP="00B21190">
            <w:r>
              <w:t>Naam contactpersoon referentie:</w:t>
            </w:r>
          </w:p>
          <w:p w14:paraId="6ED05B20" w14:textId="77777777" w:rsidR="00A5415B" w:rsidRDefault="00A5415B" w:rsidP="00B21190">
            <w:r>
              <w:t>Functie:</w:t>
            </w:r>
          </w:p>
          <w:p w14:paraId="4A44C8D8" w14:textId="77777777"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14:paraId="4BD9E7CD" w14:textId="77777777" w:rsidR="00A5415B" w:rsidRDefault="00A5415B" w:rsidP="00B21190"/>
        </w:tc>
      </w:tr>
      <w:tr w:rsidR="00A5415B" w14:paraId="66A8648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37F25AF8" w14:textId="77777777" w:rsidR="00A5415B" w:rsidRDefault="00A5415B" w:rsidP="00B21190"/>
        </w:tc>
        <w:tc>
          <w:tcPr>
            <w:tcW w:w="7311" w:type="dxa"/>
          </w:tcPr>
          <w:p w14:paraId="6798A96B" w14:textId="77777777" w:rsidR="00A5415B" w:rsidRDefault="00A5415B" w:rsidP="00B21190"/>
        </w:tc>
      </w:tr>
      <w:tr w:rsidR="00A5415B" w14:paraId="68437038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652690FF" w14:textId="77777777" w:rsidR="00A5415B" w:rsidRDefault="00A5415B" w:rsidP="00B21190"/>
        </w:tc>
        <w:tc>
          <w:tcPr>
            <w:tcW w:w="7311" w:type="dxa"/>
          </w:tcPr>
          <w:p w14:paraId="139578AE" w14:textId="77777777" w:rsidR="00A5415B" w:rsidRDefault="00A5415B" w:rsidP="00B21190"/>
        </w:tc>
      </w:tr>
      <w:tr w:rsidR="00A5415B" w14:paraId="514E9F7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7E34F958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0CE20B6" w14:textId="77777777" w:rsidTr="00B21190">
        <w:tc>
          <w:tcPr>
            <w:tcW w:w="2235" w:type="dxa"/>
            <w:vMerge w:val="restart"/>
          </w:tcPr>
          <w:p w14:paraId="5048E48F" w14:textId="77777777" w:rsidR="00A5415B" w:rsidRDefault="00A5415B" w:rsidP="00B21190">
            <w:r>
              <w:t xml:space="preserve">Waarde in € </w:t>
            </w:r>
          </w:p>
          <w:p w14:paraId="1775289B" w14:textId="77777777" w:rsidR="00A5415B" w:rsidRDefault="00A5415B" w:rsidP="00B21190">
            <w:r>
              <w:t>Datum start project:</w:t>
            </w:r>
          </w:p>
          <w:p w14:paraId="04A36FF2" w14:textId="77777777" w:rsidR="00A5415B" w:rsidRDefault="00A5415B" w:rsidP="00B21190">
            <w:r>
              <w:t>Datum eind project:</w:t>
            </w:r>
          </w:p>
          <w:p w14:paraId="0D0A3BC8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CA42938" w14:textId="77777777" w:rsidR="00A5415B" w:rsidRDefault="00A5415B" w:rsidP="00B21190"/>
        </w:tc>
      </w:tr>
      <w:tr w:rsidR="00A5415B" w14:paraId="4C974CD4" w14:textId="77777777" w:rsidTr="00B21190">
        <w:tc>
          <w:tcPr>
            <w:tcW w:w="2235" w:type="dxa"/>
            <w:vMerge/>
          </w:tcPr>
          <w:p w14:paraId="1EC9B804" w14:textId="77777777" w:rsidR="00A5415B" w:rsidRDefault="00A5415B" w:rsidP="00B21190"/>
        </w:tc>
        <w:tc>
          <w:tcPr>
            <w:tcW w:w="7311" w:type="dxa"/>
          </w:tcPr>
          <w:p w14:paraId="3BA53963" w14:textId="77777777" w:rsidR="00A5415B" w:rsidRDefault="00A5415B" w:rsidP="00B21190"/>
        </w:tc>
      </w:tr>
      <w:tr w:rsidR="00A5415B" w14:paraId="3A48E2BD" w14:textId="77777777" w:rsidTr="00B21190">
        <w:tc>
          <w:tcPr>
            <w:tcW w:w="2235" w:type="dxa"/>
            <w:vMerge/>
          </w:tcPr>
          <w:p w14:paraId="636B2DE4" w14:textId="77777777" w:rsidR="00A5415B" w:rsidRDefault="00A5415B" w:rsidP="00B21190"/>
        </w:tc>
        <w:tc>
          <w:tcPr>
            <w:tcW w:w="7311" w:type="dxa"/>
          </w:tcPr>
          <w:p w14:paraId="21CC6B9B" w14:textId="77777777" w:rsidR="00A5415B" w:rsidRDefault="00A5415B" w:rsidP="00B21190"/>
        </w:tc>
      </w:tr>
      <w:tr w:rsidR="00A5415B" w14:paraId="55990EEF" w14:textId="77777777" w:rsidTr="00B21190">
        <w:trPr>
          <w:trHeight w:val="1822"/>
        </w:trPr>
        <w:tc>
          <w:tcPr>
            <w:tcW w:w="2235" w:type="dxa"/>
            <w:vMerge/>
          </w:tcPr>
          <w:p w14:paraId="192F46CD" w14:textId="77777777" w:rsidR="00A5415B" w:rsidRDefault="00A5415B" w:rsidP="00B21190"/>
        </w:tc>
        <w:tc>
          <w:tcPr>
            <w:tcW w:w="7311" w:type="dxa"/>
          </w:tcPr>
          <w:p w14:paraId="45BBEDA8" w14:textId="77777777" w:rsidR="00A5415B" w:rsidRDefault="00A5415B" w:rsidP="00B21190"/>
        </w:tc>
      </w:tr>
    </w:tbl>
    <w:p w14:paraId="23D52B58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5415B"/>
    <w:p w14:paraId="54A6295A" w14:textId="77777777" w:rsidR="001147AE" w:rsidRPr="001147AE" w:rsidRDefault="001147AE" w:rsidP="001147AE"/>
    <w:p w14:paraId="6091F7AC" w14:textId="77777777" w:rsidR="001147AE" w:rsidRPr="001147AE" w:rsidRDefault="001147AE" w:rsidP="001147AE"/>
    <w:p w14:paraId="13E584AC" w14:textId="77777777" w:rsidR="001147AE" w:rsidRPr="001147AE" w:rsidRDefault="001147AE" w:rsidP="001147AE"/>
    <w:p w14:paraId="3B294F48" w14:textId="77777777" w:rsidR="001147AE" w:rsidRPr="001147AE" w:rsidRDefault="001147AE" w:rsidP="001147AE"/>
    <w:p w14:paraId="58C3060C" w14:textId="77777777" w:rsidR="001147AE" w:rsidRPr="001147AE" w:rsidRDefault="001147AE" w:rsidP="001147AE"/>
    <w:p w14:paraId="7249CF4C" w14:textId="77777777" w:rsidR="001147AE" w:rsidRPr="001147AE" w:rsidRDefault="001147AE" w:rsidP="001147AE"/>
    <w:p w14:paraId="0F98C3DE" w14:textId="156DB56B" w:rsidR="001147AE" w:rsidRPr="001147AE" w:rsidRDefault="001147AE" w:rsidP="001147AE">
      <w:pPr>
        <w:tabs>
          <w:tab w:val="left" w:pos="2190"/>
        </w:tabs>
      </w:pP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055A" w14:textId="77777777" w:rsidR="00195AC6" w:rsidRDefault="00195AC6" w:rsidP="00525B77">
      <w:r>
        <w:separator/>
      </w:r>
    </w:p>
  </w:endnote>
  <w:endnote w:type="continuationSeparator" w:id="0">
    <w:p w14:paraId="3E1E4B5E" w14:textId="77777777" w:rsidR="00195AC6" w:rsidRDefault="00195AC6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06A311DF" w:rsidR="009F42FB" w:rsidRDefault="009F42FB">
    <w:pPr>
      <w:pStyle w:val="Voettekst"/>
    </w:pPr>
    <w:r w:rsidRPr="00E831F2">
      <w:t xml:space="preserve">Bijlage </w:t>
    </w:r>
    <w:r w:rsidR="00E831F2" w:rsidRPr="00E831F2">
      <w:t xml:space="preserve">11 </w:t>
    </w:r>
    <w:r w:rsidRPr="00E831F2">
      <w:t>Formulier Referenties Kerncompetenties</w:t>
    </w:r>
    <w:r w:rsidR="00E831F2" w:rsidRPr="00E831F2">
      <w:t xml:space="preserve"> 10667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D0C3" w14:textId="77777777" w:rsidR="00195AC6" w:rsidRDefault="00195AC6" w:rsidP="00525B77">
      <w:r>
        <w:separator/>
      </w:r>
    </w:p>
  </w:footnote>
  <w:footnote w:type="continuationSeparator" w:id="0">
    <w:p w14:paraId="7223CB4C" w14:textId="77777777" w:rsidR="00195AC6" w:rsidRDefault="00195AC6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7DE55E38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95AC6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7E6286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831F2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Pacevicius, Dorothée</cp:lastModifiedBy>
  <cp:revision>3</cp:revision>
  <dcterms:created xsi:type="dcterms:W3CDTF">2024-12-05T08:59:00Z</dcterms:created>
  <dcterms:modified xsi:type="dcterms:W3CDTF">2026-02-19T10:37:00Z</dcterms:modified>
</cp:coreProperties>
</file>