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7B645A56" w:rsidR="007B64F6" w:rsidRPr="00E52F88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E52F88">
        <w:rPr>
          <w:rFonts w:asciiTheme="minorHAnsi" w:hAnsiTheme="minorHAnsi"/>
          <w:sz w:val="22"/>
          <w:szCs w:val="22"/>
        </w:rPr>
        <w:t>BIJLAGE</w:t>
      </w:r>
      <w:r w:rsidR="00E52F88" w:rsidRPr="00E52F88">
        <w:rPr>
          <w:rFonts w:asciiTheme="minorHAnsi" w:hAnsiTheme="minorHAnsi"/>
          <w:sz w:val="22"/>
          <w:szCs w:val="22"/>
        </w:rPr>
        <w:t xml:space="preserve"> B</w:t>
      </w:r>
      <w:r w:rsidRPr="00E52F88">
        <w:rPr>
          <w:rFonts w:asciiTheme="minorHAnsi" w:hAnsiTheme="minorHAnsi"/>
          <w:sz w:val="22"/>
          <w:szCs w:val="22"/>
        </w:rPr>
        <w:t xml:space="preserve">: </w:t>
      </w:r>
      <w:r w:rsidR="007B64F6" w:rsidRPr="00E52F88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E52F88">
        <w:rPr>
          <w:rFonts w:asciiTheme="minorHAnsi" w:hAnsiTheme="minorHAnsi"/>
          <w:sz w:val="22"/>
        </w:rPr>
        <w:t>Ondergetekende verklaart dat onderhavige inschrijving</w:t>
      </w:r>
      <w:r w:rsidRPr="00085A89">
        <w:rPr>
          <w:rFonts w:asciiTheme="minorHAnsi" w:hAnsiTheme="minorHAnsi"/>
          <w:sz w:val="22"/>
        </w:rPr>
        <w:t xml:space="preserve">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15D77985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8EZ7Jp7gBsAsesmSRNxaLriC9+gLG6AiREcknVVJoDZqQ7GjiVbfvOsYCpMQatyPIPli38LaMYoF0rWmk9Ed5g==" w:salt="bRytaaXHgHAv7PgtS/wLd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345D4F"/>
    <w:rsid w:val="006A185B"/>
    <w:rsid w:val="007B64F6"/>
    <w:rsid w:val="00CB1792"/>
    <w:rsid w:val="00E25F21"/>
    <w:rsid w:val="00E52F88"/>
    <w:rsid w:val="00EB78BB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8F1DEA38B14691D0FBE1FC5EC89F" ma:contentTypeVersion="3" ma:contentTypeDescription="Create a new document." ma:contentTypeScope="" ma:versionID="e71bad4f714eea946b301752e03ad7e3">
  <xsd:schema xmlns:xsd="http://www.w3.org/2001/XMLSchema" xmlns:xs="http://www.w3.org/2001/XMLSchema" xmlns:p="http://schemas.microsoft.com/office/2006/metadata/properties" xmlns:ns2="441bebda-91e5-45b8-bfbb-f1e90262901f" targetNamespace="http://schemas.microsoft.com/office/2006/metadata/properties" ma:root="true" ma:fieldsID="d2f978d109c88f9f1a0e9ad0542c0e5c" ns2:_="">
    <xsd:import namespace="441bebda-91e5-45b8-bfbb-f1e902629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bebda-91e5-45b8-bfbb-f1e902629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1387D-F596-4DAF-B86D-6FDADBDB2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bebda-91e5-45b8-bfbb-f1e902629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purl.org/dc/elements/1.1/"/>
    <ds:schemaRef ds:uri="http://schemas.microsoft.com/office/infopath/2007/PartnerControls"/>
    <ds:schemaRef ds:uri="http://purl.org/dc/dcmitype/"/>
    <ds:schemaRef ds:uri="96387607-3dcb-4af9-9e21-ad9590f194d6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Claartje Smith-Broeijer</cp:lastModifiedBy>
  <cp:revision>7</cp:revision>
  <dcterms:created xsi:type="dcterms:W3CDTF">2020-03-04T11:11:00Z</dcterms:created>
  <dcterms:modified xsi:type="dcterms:W3CDTF">2026-02-17T10:37:00Z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0x0101005E008F1DEA38B14691D0FBE1FC5EC89F</vt:lpwstr>
  </property>
  <property fmtid="{D5CDD505-2E9C-101B-9397-08002B2CF9AE}" pid="40" name="Order">
    <vt:r8>23400</vt:r8>
  </property>
  <property fmtid="{D5CDD505-2E9C-101B-9397-08002B2CF9AE}" pid="41" name="xd_ProgID">
    <vt:lpwstr/>
  </property>
  <property fmtid="{D5CDD505-2E9C-101B-9397-08002B2CF9AE}" pid="42" name="_SourceUrl">
    <vt:lpwstr/>
  </property>
  <property fmtid="{D5CDD505-2E9C-101B-9397-08002B2CF9AE}" pid="43" name="_SharedFileIndex">
    <vt:lpwstr/>
  </property>
  <property fmtid="{D5CDD505-2E9C-101B-9397-08002B2CF9AE}" pid="44" name="ComplianceAssetId">
    <vt:lpwstr/>
  </property>
  <property fmtid="{D5CDD505-2E9C-101B-9397-08002B2CF9AE}" pid="45" name="TemplateUrl">
    <vt:lpwstr/>
  </property>
  <property fmtid="{D5CDD505-2E9C-101B-9397-08002B2CF9AE}" pid="46" name="_ExtendedDescription">
    <vt:lpwstr/>
  </property>
  <property fmtid="{D5CDD505-2E9C-101B-9397-08002B2CF9AE}" pid="47" name="TriggerFlowInfo">
    <vt:lpwstr/>
  </property>
  <property fmtid="{D5CDD505-2E9C-101B-9397-08002B2CF9AE}" pid="48" name="xd_Signature">
    <vt:bool>false</vt:bool>
  </property>
</Properties>
</file>