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021" w14:textId="08474AA0" w:rsidR="00081451" w:rsidRPr="00C13470" w:rsidRDefault="000330BE"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w:t>
      </w:r>
      <w:r w:rsidR="0073115E">
        <w:rPr>
          <w:rStyle w:val="Zwaar"/>
          <w:rFonts w:ascii="Verdana" w:hAnsi="Verdana"/>
          <w:b/>
          <w:color w:val="000000" w:themeColor="text1"/>
          <w:sz w:val="24"/>
          <w:szCs w:val="24"/>
        </w:rPr>
        <w:t>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5E3FD5" w14:textId="77777777" w:rsidR="00E512FF" w:rsidRPr="00E512FF" w:rsidRDefault="00BB410B" w:rsidP="00E512FF">
      <w:pPr>
        <w:rPr>
          <w:rFonts w:cs="Arial"/>
          <w:szCs w:val="18"/>
          <w:lang w:val="nl"/>
        </w:rPr>
      </w:pPr>
      <w:bookmarkStart w:id="9" w:name="_Toc484590188"/>
      <w:bookmarkStart w:id="10" w:name="_Toc484590367"/>
      <w:bookmarkStart w:id="11" w:name="_Toc484590453"/>
      <w:r w:rsidRPr="00A6396C">
        <w:rPr>
          <w:rFonts w:cs="Arial"/>
          <w:szCs w:val="18"/>
          <w:lang w:val="nl"/>
        </w:rPr>
        <w:t xml:space="preserve">1. De Staat der Nederlanden, </w:t>
      </w:r>
      <w:r w:rsidR="00E512FF" w:rsidRPr="00E512FF">
        <w:rPr>
          <w:rFonts w:cs="Arial"/>
          <w:szCs w:val="18"/>
          <w:lang w:val="nl"/>
        </w:rPr>
        <w:t>waarvan de zetel is gevestigd te Den Haag,</w:t>
      </w:r>
    </w:p>
    <w:p w14:paraId="3157CB8D" w14:textId="447A7E5F" w:rsidR="00E512FF" w:rsidRDefault="00E512FF" w:rsidP="00E512FF">
      <w:pPr>
        <w:rPr>
          <w:rFonts w:cs="Arial"/>
          <w:szCs w:val="18"/>
          <w:lang w:val="nl"/>
        </w:rPr>
      </w:pPr>
      <w:r w:rsidRPr="00E512FF">
        <w:rPr>
          <w:rFonts w:cs="Arial"/>
          <w:szCs w:val="18"/>
          <w:lang w:val="nl"/>
        </w:rPr>
        <w:t xml:space="preserve">hierbij vertegenwoordigd door de Minister van </w:t>
      </w:r>
      <w:bookmarkStart w:id="12" w:name="_Hlk220358021"/>
      <w:r w:rsidRPr="00E512FF">
        <w:rPr>
          <w:rFonts w:cs="Arial"/>
          <w:szCs w:val="18"/>
          <w:lang w:val="nl"/>
        </w:rPr>
        <w:t>Landbouw, Visserij, Voedselzekerheid en Natuur</w:t>
      </w:r>
      <w:bookmarkEnd w:id="12"/>
      <w:r w:rsidRPr="00E512FF">
        <w:rPr>
          <w:rFonts w:cs="Arial"/>
          <w:szCs w:val="18"/>
          <w:lang w:val="nl"/>
        </w:rPr>
        <w:t xml:space="preserve">, </w:t>
      </w:r>
    </w:p>
    <w:p w14:paraId="52C3BB2D" w14:textId="4969E9AE" w:rsidR="00E512FF" w:rsidRPr="00E512FF" w:rsidRDefault="00E512FF" w:rsidP="00E512FF">
      <w:pPr>
        <w:rPr>
          <w:rFonts w:cs="Arial"/>
          <w:szCs w:val="18"/>
          <w:lang w:val="nl"/>
        </w:rPr>
      </w:pPr>
      <w:r w:rsidRPr="00E512FF">
        <w:rPr>
          <w:rFonts w:cs="Arial"/>
          <w:szCs w:val="18"/>
          <w:lang w:val="nl"/>
        </w:rPr>
        <w:t xml:space="preserve">namens </w:t>
      </w:r>
      <w:r>
        <w:rPr>
          <w:rFonts w:cs="Arial"/>
          <w:szCs w:val="18"/>
          <w:lang w:val="nl"/>
        </w:rPr>
        <w:t xml:space="preserve">deze </w:t>
      </w:r>
      <w:r w:rsidRPr="00E512FF">
        <w:rPr>
          <w:rFonts w:cs="Arial"/>
          <w:szCs w:val="18"/>
          <w:lang w:val="nl"/>
        </w:rPr>
        <w:t xml:space="preserve">Drs. C. den Broeder, </w:t>
      </w:r>
      <w:r>
        <w:rPr>
          <w:rFonts w:cs="Arial"/>
          <w:szCs w:val="18"/>
          <w:lang w:val="nl"/>
        </w:rPr>
        <w:t xml:space="preserve">Academie-directeur </w:t>
      </w:r>
      <w:r>
        <w:rPr>
          <w:rFonts w:cs="Arial"/>
          <w:szCs w:val="18"/>
          <w:lang w:val="nl"/>
        </w:rPr>
        <w:t>v</w:t>
      </w:r>
      <w:r>
        <w:rPr>
          <w:rFonts w:cs="Arial"/>
          <w:szCs w:val="18"/>
          <w:lang w:val="nl"/>
        </w:rPr>
        <w:t>an</w:t>
      </w:r>
      <w:r>
        <w:rPr>
          <w:rFonts w:cs="Arial"/>
          <w:szCs w:val="18"/>
          <w:lang w:val="nl"/>
        </w:rPr>
        <w:t xml:space="preserve"> de </w:t>
      </w:r>
      <w:r w:rsidRPr="00E512FF">
        <w:rPr>
          <w:rFonts w:cs="Arial"/>
          <w:szCs w:val="18"/>
          <w:lang w:val="nl"/>
        </w:rPr>
        <w:t>Rijksacademie voor Financiën, Economie en Bedrijfsvoering,</w:t>
      </w:r>
    </w:p>
    <w:p w14:paraId="5A8C7E6E" w14:textId="77777777" w:rsidR="00E512FF" w:rsidRDefault="00E512FF" w:rsidP="00E512FF">
      <w:pPr>
        <w:rPr>
          <w:rFonts w:cs="Arial"/>
          <w:szCs w:val="18"/>
          <w:lang w:val="nl"/>
        </w:rPr>
      </w:pPr>
      <w:r w:rsidRPr="00E512FF">
        <w:rPr>
          <w:rFonts w:cs="Arial"/>
          <w:szCs w:val="18"/>
          <w:lang w:val="nl"/>
        </w:rPr>
        <w:t>hierna te noemen: Opdrachtgever,</w:t>
      </w:r>
    </w:p>
    <w:bookmarkEnd w:id="9"/>
    <w:bookmarkEnd w:id="10"/>
    <w:bookmarkEnd w:id="11"/>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2C8077CB" w:rsidR="00081451" w:rsidRPr="00A6396C" w:rsidRDefault="00BB410B" w:rsidP="00EA20CB">
      <w:pPr>
        <w:rPr>
          <w:rFonts w:cs="Arial"/>
          <w:szCs w:val="18"/>
          <w:lang w:val="nl"/>
        </w:rPr>
      </w:pPr>
      <w:bookmarkStart w:id="13" w:name="_Toc484590189"/>
      <w:bookmarkStart w:id="14" w:name="_Toc484590368"/>
      <w:bookmarkStart w:id="15" w:name="_Toc484590454"/>
      <w:r w:rsidRPr="00A6396C">
        <w:rPr>
          <w:rFonts w:cs="Arial"/>
          <w:szCs w:val="18"/>
          <w:lang w:val="nl"/>
        </w:rPr>
        <w:t xml:space="preserve">2. </w:t>
      </w:r>
      <w:r w:rsidRPr="00F17DF9">
        <w:rPr>
          <w:rFonts w:cs="Arial"/>
          <w:szCs w:val="18"/>
          <w:highlight w:val="cyan"/>
          <w:lang w:val="nl"/>
        </w:rPr>
        <w:t xml:space="preserve">[volledige naam en rechtsvorm </w:t>
      </w:r>
      <w:r w:rsidR="005F284E" w:rsidRPr="00F17DF9">
        <w:rPr>
          <w:rFonts w:cs="Arial"/>
          <w:szCs w:val="18"/>
          <w:highlight w:val="cyan"/>
          <w:lang w:val="nl"/>
        </w:rPr>
        <w:t>Opdrachtnemer</w:t>
      </w:r>
      <w:r w:rsidRPr="00F17DF9">
        <w:rPr>
          <w:rFonts w:cs="Arial"/>
          <w:szCs w:val="18"/>
          <w:highlight w:val="cyan"/>
          <w:lang w:val="nl"/>
        </w:rPr>
        <w:t>]</w:t>
      </w:r>
      <w:r w:rsidRPr="00A6396C">
        <w:rPr>
          <w:rFonts w:cs="Arial"/>
          <w:szCs w:val="18"/>
          <w:lang w:val="nl"/>
        </w:rPr>
        <w:t>,</w:t>
      </w:r>
      <w:bookmarkEnd w:id="13"/>
      <w:bookmarkEnd w:id="14"/>
      <w:bookmarkEnd w:id="15"/>
    </w:p>
    <w:p w14:paraId="2C9E636B" w14:textId="7B563851" w:rsidR="00081451" w:rsidRPr="00A6396C" w:rsidRDefault="00BB410B" w:rsidP="00EA20CB">
      <w:pPr>
        <w:rPr>
          <w:rFonts w:cs="Arial"/>
          <w:szCs w:val="18"/>
          <w:lang w:val="nl"/>
        </w:rPr>
      </w:pPr>
      <w:r w:rsidRPr="00A6396C">
        <w:rPr>
          <w:rFonts w:cs="Arial"/>
          <w:szCs w:val="18"/>
          <w:lang w:val="nl"/>
        </w:rPr>
        <w:t xml:space="preserve">(statutair) gevestigd te </w:t>
      </w:r>
      <w:r w:rsidRPr="00F17DF9">
        <w:rPr>
          <w:rFonts w:cs="Arial"/>
          <w:szCs w:val="18"/>
          <w:highlight w:val="cyan"/>
          <w:lang w:val="nl"/>
        </w:rPr>
        <w:t>[</w:t>
      </w:r>
      <w:r w:rsidR="005F284E" w:rsidRPr="00F17DF9">
        <w:rPr>
          <w:rFonts w:cs="Arial"/>
          <w:szCs w:val="18"/>
          <w:highlight w:val="cyan"/>
          <w:lang w:val="nl"/>
        </w:rPr>
        <w:t>…</w:t>
      </w:r>
      <w:r w:rsidRPr="00F17DF9">
        <w:rPr>
          <w:rFonts w:cs="Arial"/>
          <w:szCs w:val="18"/>
          <w:highlight w:val="cyan"/>
          <w:lang w:val="nl"/>
        </w:rPr>
        <w:t>]</w:t>
      </w:r>
      <w:r w:rsidRPr="00A6396C">
        <w:rPr>
          <w:rFonts w:cs="Arial"/>
          <w:szCs w:val="18"/>
          <w:lang w:val="nl"/>
        </w:rPr>
        <w:t>,</w:t>
      </w:r>
    </w:p>
    <w:p w14:paraId="5358D4B0" w14:textId="35BB75DC" w:rsidR="00081451" w:rsidRPr="00A6396C" w:rsidRDefault="005F284E" w:rsidP="00EA20CB">
      <w:pPr>
        <w:rPr>
          <w:rFonts w:cs="Arial"/>
          <w:szCs w:val="18"/>
          <w:lang w:val="nl"/>
        </w:rPr>
      </w:pPr>
      <w:r>
        <w:rPr>
          <w:rFonts w:cs="Arial"/>
          <w:szCs w:val="18"/>
          <w:lang w:val="nl"/>
        </w:rPr>
        <w:t>hierbij</w:t>
      </w:r>
      <w:r w:rsidR="00BB410B" w:rsidRPr="00A6396C">
        <w:rPr>
          <w:rFonts w:cs="Arial"/>
          <w:szCs w:val="18"/>
          <w:lang w:val="nl"/>
        </w:rPr>
        <w:t xml:space="preserve"> vertegenwoordigd door</w:t>
      </w:r>
    </w:p>
    <w:p w14:paraId="11E45575" w14:textId="73A54B44" w:rsidR="00081451" w:rsidRPr="00A6396C" w:rsidRDefault="00BB410B" w:rsidP="00EA20CB">
      <w:pPr>
        <w:rPr>
          <w:rFonts w:cs="Arial"/>
          <w:szCs w:val="18"/>
          <w:lang w:val="nl"/>
        </w:rPr>
      </w:pPr>
      <w:r w:rsidRPr="00F17DF9">
        <w:rPr>
          <w:rFonts w:cs="Arial"/>
          <w:szCs w:val="18"/>
          <w:highlight w:val="cyan"/>
          <w:lang w:val="nl"/>
        </w:rPr>
        <w:t>[naam ondertekenaar]</w:t>
      </w:r>
    </w:p>
    <w:p w14:paraId="7FAF2418" w14:textId="3F045CBC" w:rsidR="00081451" w:rsidRPr="00A6396C" w:rsidRDefault="00BB410B" w:rsidP="00EA20CB">
      <w:pPr>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D08AE91" w14:textId="250E5159" w:rsidR="00081451" w:rsidRDefault="00081451" w:rsidP="00EA20CB">
      <w:pPr>
        <w:rPr>
          <w:rFonts w:cs="Arial"/>
          <w:szCs w:val="18"/>
          <w:lang w:val="nl"/>
        </w:rPr>
      </w:pPr>
    </w:p>
    <w:p w14:paraId="31539501" w14:textId="77777777" w:rsidR="00DF189A" w:rsidRPr="00A6396C" w:rsidRDefault="00DF189A" w:rsidP="00EA20CB">
      <w:pPr>
        <w:rPr>
          <w:rFonts w:cs="Arial"/>
          <w:szCs w:val="18"/>
          <w:lang w:val="nl"/>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6" w:name="_Toc484590190"/>
      <w:bookmarkStart w:id="17" w:name="_Toc484590369"/>
      <w:bookmarkStart w:id="18" w:name="_Toc484590455"/>
      <w:r w:rsidRPr="00A6396C">
        <w:rPr>
          <w:rStyle w:val="Zwaar"/>
          <w:szCs w:val="18"/>
        </w:rPr>
        <w:t>OVERWEGENDE DAT:</w:t>
      </w:r>
      <w:bookmarkEnd w:id="16"/>
      <w:bookmarkEnd w:id="17"/>
      <w:bookmarkEnd w:id="18"/>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9" w:name="_Toc484590370"/>
      <w:bookmarkStart w:id="20" w:name="_Toc484590456"/>
      <w:bookmarkStart w:id="21" w:name="_Toc497994155"/>
      <w:bookmarkStart w:id="22"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9"/>
      <w:bookmarkEnd w:id="20"/>
      <w:bookmarkEnd w:id="21"/>
      <w:bookmarkEnd w:id="22"/>
    </w:p>
    <w:p w14:paraId="77CE0646" w14:textId="5861454B"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toegespitst</w:t>
      </w:r>
      <w:r w:rsidR="008E3899" w:rsidRPr="0042032F">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w:t>
      </w:r>
      <w:r w:rsidR="009B578E">
        <w:rPr>
          <w:szCs w:val="18"/>
          <w:lang w:val="nl"/>
        </w:rPr>
        <w:lastRenderedPageBreak/>
        <w:t xml:space="preserve">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ingevolge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lidstatelijke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23" w:name="_Toc497994156"/>
      <w:bookmarkStart w:id="24" w:name="_Toc499733028"/>
      <w:bookmarkStart w:id="25" w:name="_Toc484590371"/>
      <w:bookmarkStart w:id="26"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3"/>
      <w:bookmarkEnd w:id="24"/>
      <w:r w:rsidR="007538D1" w:rsidRPr="00A6396C">
        <w:rPr>
          <w:rFonts w:ascii="Verdana" w:hAnsi="Verdana"/>
          <w:sz w:val="18"/>
          <w:szCs w:val="18"/>
        </w:rPr>
        <w:t xml:space="preserve"> </w:t>
      </w:r>
    </w:p>
    <w:bookmarkEnd w:id="25"/>
    <w:bookmarkEnd w:id="26"/>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7" w:name="_Toc497994157"/>
      <w:bookmarkStart w:id="28" w:name="_Toc484590372"/>
      <w:bookmarkStart w:id="29" w:name="_Toc484590458"/>
      <w:bookmarkStart w:id="30" w:name="_Toc499733029"/>
      <w:r>
        <w:rPr>
          <w:rFonts w:ascii="Verdana" w:hAnsi="Verdana"/>
          <w:sz w:val="18"/>
          <w:szCs w:val="18"/>
        </w:rPr>
        <w:lastRenderedPageBreak/>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7"/>
      <w:bookmarkEnd w:id="28"/>
      <w:bookmarkEnd w:id="29"/>
      <w:bookmarkEnd w:id="30"/>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1" w:name="_Toc497994158"/>
      <w:bookmarkStart w:id="32" w:name="_Toc499733030"/>
      <w:bookmarkStart w:id="33" w:name="_Toc484590373"/>
      <w:bookmarkStart w:id="34"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1"/>
      <w:bookmarkEnd w:id="32"/>
      <w:r w:rsidR="007538D1" w:rsidRPr="00A6396C">
        <w:rPr>
          <w:rFonts w:ascii="Verdana" w:hAnsi="Verdana"/>
          <w:sz w:val="18"/>
          <w:szCs w:val="18"/>
        </w:rPr>
        <w:t xml:space="preserve"> </w:t>
      </w:r>
    </w:p>
    <w:bookmarkEnd w:id="33"/>
    <w:bookmarkEnd w:id="34"/>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5" w:name="_Toc497994159"/>
      <w:bookmarkStart w:id="36" w:name="_Toc499733031"/>
      <w:bookmarkStart w:id="37" w:name="_Toc484590374"/>
      <w:bookmarkStart w:id="38"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5"/>
      <w:bookmarkEnd w:id="36"/>
      <w:r w:rsidR="007538D1" w:rsidRPr="00A6396C">
        <w:rPr>
          <w:rFonts w:ascii="Verdana" w:hAnsi="Verdana"/>
          <w:sz w:val="18"/>
          <w:szCs w:val="18"/>
        </w:rPr>
        <w:t xml:space="preserve"> </w:t>
      </w:r>
    </w:p>
    <w:bookmarkEnd w:id="37"/>
    <w:bookmarkEnd w:id="38"/>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9" w:name="_Toc484590375"/>
      <w:bookmarkStart w:id="40" w:name="_Toc484590461"/>
      <w:bookmarkStart w:id="41" w:name="_Toc497994160"/>
      <w:bookmarkStart w:id="42"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9"/>
      <w:bookmarkEnd w:id="40"/>
      <w:bookmarkEnd w:id="41"/>
      <w:bookmarkEnd w:id="42"/>
    </w:p>
    <w:p w14:paraId="01250B45" w14:textId="22745CCD"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w:t>
      </w:r>
      <w:r w:rsidR="0073115E">
        <w:rPr>
          <w:rFonts w:cs="Arial"/>
          <w:szCs w:val="18"/>
        </w:rPr>
        <w:t>1</w:t>
      </w:r>
      <w:r w:rsidR="00D34CD0" w:rsidRPr="008902DA">
        <w:rPr>
          <w:rFonts w:cs="Arial"/>
          <w:szCs w:val="18"/>
        </w:rPr>
        <w:t>.1 van de ARVODI</w:t>
      </w:r>
      <w:r w:rsidR="00D15F48" w:rsidRPr="008902DA">
        <w:rPr>
          <w:rFonts w:cs="Arial"/>
          <w:szCs w:val="18"/>
        </w:rPr>
        <w:t>-</w:t>
      </w:r>
      <w:r w:rsidR="00EB7862">
        <w:rPr>
          <w:rFonts w:cs="Arial"/>
          <w:szCs w:val="18"/>
        </w:rPr>
        <w:t>20</w:t>
      </w:r>
      <w:r w:rsidR="00383781">
        <w:rPr>
          <w:rFonts w:cs="Arial"/>
          <w:szCs w:val="18"/>
        </w:rPr>
        <w:t>25</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0782BB89"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w:t>
      </w:r>
      <w:r w:rsidR="0073115E">
        <w:rPr>
          <w:rFonts w:cs="Arial"/>
          <w:szCs w:val="18"/>
        </w:rPr>
        <w:t>1</w:t>
      </w:r>
      <w:r w:rsidR="00D34CD0" w:rsidRPr="008902DA">
        <w:rPr>
          <w:rFonts w:cs="Arial"/>
          <w:szCs w:val="18"/>
        </w:rPr>
        <w:t>.2 van de ARVODI</w:t>
      </w:r>
      <w:r w:rsidR="00BC0700" w:rsidRPr="008902DA">
        <w:rPr>
          <w:rFonts w:cs="Arial"/>
          <w:szCs w:val="18"/>
        </w:rPr>
        <w:t>-</w:t>
      </w:r>
      <w:r w:rsidR="00EB7862">
        <w:rPr>
          <w:rFonts w:cs="Arial"/>
          <w:szCs w:val="18"/>
        </w:rPr>
        <w:t>20</w:t>
      </w:r>
      <w:r w:rsidR="00383781">
        <w:rPr>
          <w:rFonts w:cs="Arial"/>
          <w:szCs w:val="18"/>
        </w:rPr>
        <w:t>25</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3" w:name="_Toc484590376"/>
      <w:bookmarkStart w:id="44" w:name="_Toc484590462"/>
      <w:bookmarkStart w:id="45" w:name="_Toc497994161"/>
      <w:bookmarkStart w:id="46"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3"/>
      <w:bookmarkEnd w:id="44"/>
      <w:bookmarkEnd w:id="45"/>
      <w:bookmarkEnd w:id="46"/>
      <w:proofErr w:type="spellEnd"/>
    </w:p>
    <w:p w14:paraId="39CDA207" w14:textId="54DAB655"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w:t>
      </w:r>
      <w:r w:rsidR="0073115E">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7" w:name="_Toc497994162"/>
      <w:bookmarkStart w:id="48" w:name="_Toc499733034"/>
      <w:bookmarkStart w:id="49" w:name="_Toc484590377"/>
      <w:bookmarkStart w:id="50"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7"/>
      <w:bookmarkEnd w:id="48"/>
    </w:p>
    <w:bookmarkEnd w:id="49"/>
    <w:bookmarkEnd w:id="50"/>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1" w:name="_Toc497994163"/>
      <w:bookmarkStart w:id="52"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1"/>
      <w:bookmarkEnd w:id="52"/>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3" w:name="_Hlk155799300"/>
      <w:r w:rsidR="00E823B7" w:rsidRPr="00E823B7">
        <w:rPr>
          <w:rStyle w:val="cf01"/>
          <w:rFonts w:ascii="Verdana" w:hAnsi="Verdana"/>
        </w:rPr>
        <w:t>Partijen dragen elk de door henzelf te maken kosten gerelateerd aan de Inbreuk in verband met Persoonsgegevens.</w:t>
      </w:r>
    </w:p>
    <w:bookmarkEnd w:id="53"/>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4" w:name="_Toc497994164"/>
      <w:bookmarkStart w:id="55" w:name="_Toc484590378"/>
      <w:bookmarkStart w:id="56" w:name="_Toc484590464"/>
      <w:bookmarkStart w:id="57"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4"/>
      <w:bookmarkEnd w:id="55"/>
      <w:bookmarkEnd w:id="56"/>
      <w:bookmarkEnd w:id="57"/>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2B6DD36E" w14:textId="12318A08" w:rsidR="00165510" w:rsidRDefault="00165510" w:rsidP="008D5A0C">
      <w:pPr>
        <w:ind w:left="705"/>
        <w:rPr>
          <w:rFonts w:cs="Arial"/>
          <w:szCs w:val="18"/>
        </w:rPr>
      </w:pPr>
    </w:p>
    <w:p w14:paraId="084C2545" w14:textId="77777777" w:rsidR="00165510" w:rsidRDefault="00165510" w:rsidP="008D5A0C">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449863F5" w14:textId="77777777" w:rsidR="000028C8" w:rsidRPr="00A6396C" w:rsidRDefault="000028C8" w:rsidP="008D5A0C">
      <w:pPr>
        <w:rPr>
          <w:rFonts w:cs="Arial"/>
          <w:szCs w:val="18"/>
        </w:rPr>
      </w:pPr>
    </w:p>
    <w:p w14:paraId="11007E82" w14:textId="6275FA42" w:rsidR="00F5102F" w:rsidRDefault="00A331FF" w:rsidP="008D5A0C">
      <w:pPr>
        <w:ind w:left="705" w:hanging="705"/>
      </w:pPr>
      <w:r>
        <w:rPr>
          <w:rFonts w:cs="Arial"/>
          <w:szCs w:val="18"/>
        </w:rPr>
        <w:t>10</w:t>
      </w:r>
      <w:r w:rsidR="00F5102F" w:rsidRPr="00A6396C">
        <w:rPr>
          <w:rFonts w:cs="Arial"/>
          <w:szCs w:val="18"/>
        </w:rPr>
        <w:t>.</w:t>
      </w:r>
      <w:r w:rsidR="00BB5AFD">
        <w:rPr>
          <w:rFonts w:cs="Arial"/>
          <w:szCs w:val="18"/>
        </w:rPr>
        <w:t>3</w:t>
      </w:r>
      <w:r w:rsidR="00F5102F" w:rsidRPr="00A6396C">
        <w:rPr>
          <w:rFonts w:cs="Arial"/>
          <w:szCs w:val="18"/>
        </w:rPr>
        <w:tab/>
      </w:r>
      <w:r w:rsidR="005B5660" w:rsidRPr="00E4776B">
        <w:rPr>
          <w:rFonts w:cs="Arial"/>
          <w:szCs w:val="18"/>
        </w:rPr>
        <w:t>Opdrachtnemer</w:t>
      </w:r>
      <w:r w:rsidR="00F5102F" w:rsidRPr="00E4776B">
        <w:rPr>
          <w:rFonts w:cs="Arial"/>
          <w:szCs w:val="18"/>
        </w:rPr>
        <w:t xml:space="preserve"> wist</w:t>
      </w:r>
      <w:r w:rsidR="004178CC" w:rsidRPr="00E4776B">
        <w:rPr>
          <w:rFonts w:cs="Arial"/>
          <w:szCs w:val="18"/>
        </w:rPr>
        <w:t xml:space="preserve"> </w:t>
      </w:r>
      <w:r w:rsidR="00F5102F" w:rsidRPr="00E4776B">
        <w:rPr>
          <w:rFonts w:cs="Arial"/>
          <w:szCs w:val="18"/>
        </w:rPr>
        <w:t xml:space="preserve">de Persoonsgegevens binnen </w:t>
      </w:r>
      <w:r w:rsidR="00B607F4" w:rsidRPr="00E4776B">
        <w:rPr>
          <w:rFonts w:cs="Arial"/>
          <w:szCs w:val="18"/>
        </w:rPr>
        <w:t xml:space="preserve">4 </w:t>
      </w:r>
      <w:r w:rsidR="00F5102F" w:rsidRPr="00E4776B">
        <w:rPr>
          <w:rFonts w:cs="Arial"/>
          <w:szCs w:val="18"/>
        </w:rPr>
        <w:t>weken</w:t>
      </w:r>
      <w:r w:rsidR="00E4776B" w:rsidRPr="00E4776B">
        <w:rPr>
          <w:rFonts w:cs="Arial"/>
          <w:szCs w:val="18"/>
        </w:rPr>
        <w:t xml:space="preserve"> </w:t>
      </w:r>
      <w:r w:rsidR="00F5102F" w:rsidRPr="00E4776B">
        <w:rPr>
          <w:rFonts w:cs="Arial"/>
          <w:szCs w:val="18"/>
        </w:rPr>
        <w:t>na afloop</w:t>
      </w:r>
      <w:r w:rsidR="00F5102F" w:rsidRPr="00A6396C">
        <w:rPr>
          <w:rFonts w:cs="Arial"/>
          <w:szCs w:val="18"/>
        </w:rPr>
        <w:t xml:space="preserve"> van de Overeenkomst, </w:t>
      </w:r>
      <w:r w:rsidR="00B12C1B" w:rsidRPr="009C2E29">
        <w:rPr>
          <w:rFonts w:cs="Arial"/>
          <w:szCs w:val="18"/>
        </w:rPr>
        <w:t>of zoveel eerder als overeengekomen</w:t>
      </w:r>
      <w:r w:rsidR="00B12C1B">
        <w:rPr>
          <w:rFonts w:cs="Arial"/>
          <w:szCs w:val="18"/>
        </w:rPr>
        <w:t xml:space="preserve">, </w:t>
      </w:r>
      <w:r w:rsidR="00F5102F" w:rsidRPr="00A6396C">
        <w:rPr>
          <w:rFonts w:cs="Arial"/>
          <w:szCs w:val="18"/>
        </w:rPr>
        <w:t xml:space="preserve">bij gebreke waarvan </w:t>
      </w:r>
      <w:r w:rsidR="005B5660">
        <w:rPr>
          <w:rFonts w:cs="Arial"/>
          <w:szCs w:val="18"/>
        </w:rPr>
        <w:t>Opdrachtnemer</w:t>
      </w:r>
      <w:r w:rsidR="00F5102F" w:rsidRPr="00A6396C">
        <w:rPr>
          <w:rFonts w:cs="Arial"/>
          <w:szCs w:val="18"/>
        </w:rPr>
        <w:t xml:space="preserve"> een boete verschuldigd is van </w:t>
      </w:r>
      <w:r w:rsidR="00B607F4" w:rsidRPr="00A6396C">
        <w:rPr>
          <w:rFonts w:cs="Arial"/>
          <w:szCs w:val="18"/>
        </w:rPr>
        <w:t>€</w:t>
      </w:r>
      <w:r w:rsidR="00B607F4">
        <w:rPr>
          <w:rFonts w:cs="Arial"/>
          <w:szCs w:val="18"/>
        </w:rPr>
        <w:t>850,-</w:t>
      </w:r>
      <w:r w:rsidR="00B607F4" w:rsidRPr="00A6396C">
        <w:rPr>
          <w:rFonts w:cs="Arial"/>
          <w:szCs w:val="18"/>
        </w:rPr>
        <w:t xml:space="preserve"> </w:t>
      </w:r>
      <w:r w:rsidR="00F5102F" w:rsidRPr="00A6396C">
        <w:rPr>
          <w:rFonts w:cs="Arial"/>
          <w:szCs w:val="18"/>
        </w:rPr>
        <w:t xml:space="preserve">per dag, met een maximum </w:t>
      </w:r>
      <w:r w:rsidR="00F5102F" w:rsidRPr="00E4776B">
        <w:rPr>
          <w:rFonts w:cs="Arial"/>
          <w:szCs w:val="18"/>
        </w:rPr>
        <w:t>van €</w:t>
      </w:r>
      <w:r w:rsidR="00B607F4" w:rsidRPr="00E4776B">
        <w:rPr>
          <w:rFonts w:cs="Arial"/>
          <w:szCs w:val="18"/>
        </w:rPr>
        <w:t>25.000,-</w:t>
      </w:r>
      <w:r w:rsidR="00F5102F" w:rsidRPr="00E4776B">
        <w:rPr>
          <w:rFonts w:cs="Arial"/>
          <w:szCs w:val="18"/>
        </w:rPr>
        <w:t>.</w:t>
      </w:r>
      <w:r w:rsidR="00FC354A">
        <w:rPr>
          <w:rFonts w:cs="Arial"/>
          <w:szCs w:val="18"/>
        </w:rPr>
        <w:t xml:space="preserve"> </w:t>
      </w:r>
      <w:r w:rsidR="00FC354A" w:rsidRPr="002410C9">
        <w:t xml:space="preserve">Betaling van de boete laat de </w:t>
      </w:r>
      <w:r w:rsidR="00FF6EBB" w:rsidRPr="002410C9">
        <w:t>verplichting</w:t>
      </w:r>
      <w:r w:rsidR="00807E90">
        <w:t>en</w:t>
      </w:r>
      <w:r w:rsidR="00FF6EBB" w:rsidRPr="002410C9">
        <w:t xml:space="preserve"> uit </w:t>
      </w:r>
      <w:r w:rsidR="00807E90">
        <w:t>artikel 10</w:t>
      </w:r>
      <w:r w:rsidR="00FF6EBB" w:rsidRPr="002410C9">
        <w:t xml:space="preserve"> en de </w:t>
      </w:r>
      <w:r w:rsidR="00FC354A" w:rsidRPr="002410C9">
        <w:t>gehoudenheid van Opdrachtnemer om de schade die het gevolg is van de schending te vergoeden onverlet.</w:t>
      </w:r>
    </w:p>
    <w:p w14:paraId="79386A70" w14:textId="77777777" w:rsidR="009D4534" w:rsidRPr="00A6396C" w:rsidRDefault="009D4534" w:rsidP="00E4776B">
      <w:pPr>
        <w:spacing w:line="276" w:lineRule="auto"/>
        <w:rPr>
          <w:rFonts w:cs="Arial"/>
          <w:szCs w:val="18"/>
        </w:rPr>
      </w:pPr>
    </w:p>
    <w:p w14:paraId="4961FC27" w14:textId="1F839453" w:rsidR="002875EA" w:rsidRPr="00702CCD" w:rsidRDefault="002A54AA" w:rsidP="00702CCD">
      <w:pPr>
        <w:pStyle w:val="Kop3"/>
        <w:rPr>
          <w:rFonts w:ascii="Verdana" w:hAnsi="Verdana"/>
          <w:sz w:val="18"/>
          <w:szCs w:val="18"/>
        </w:rPr>
      </w:pPr>
      <w:bookmarkStart w:id="58" w:name="_Toc497994165"/>
      <w:bookmarkStart w:id="59" w:name="_Toc484590379"/>
      <w:bookmarkStart w:id="60" w:name="_Toc484590465"/>
      <w:bookmarkStart w:id="61"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8"/>
      <w:bookmarkEnd w:id="59"/>
      <w:bookmarkEnd w:id="60"/>
      <w:bookmarkEnd w:id="61"/>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32306F8A"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Default="00B17DB6" w:rsidP="00B17DB6">
      <w:pPr>
        <w:spacing w:line="276" w:lineRule="auto"/>
        <w:rPr>
          <w:rFonts w:cs="Arial"/>
          <w:szCs w:val="18"/>
          <w:lang w:val="nl"/>
        </w:rPr>
      </w:pPr>
    </w:p>
    <w:p w14:paraId="04680693" w14:textId="77777777" w:rsidR="00F17DF9" w:rsidRDefault="00F17DF9" w:rsidP="00B17DB6">
      <w:pPr>
        <w:spacing w:line="276" w:lineRule="auto"/>
        <w:rPr>
          <w:rFonts w:cs="Arial"/>
          <w:szCs w:val="18"/>
          <w:lang w:val="nl"/>
        </w:rPr>
      </w:pPr>
    </w:p>
    <w:p w14:paraId="58D9648D" w14:textId="77777777" w:rsidR="00F17DF9" w:rsidRPr="00B17DB6" w:rsidRDefault="00F17DF9" w:rsidP="00B17DB6">
      <w:pPr>
        <w:spacing w:line="276" w:lineRule="auto"/>
        <w:rPr>
          <w:rFonts w:cs="Arial"/>
          <w:szCs w:val="18"/>
          <w:lang w:val="nl"/>
        </w:rPr>
      </w:pPr>
    </w:p>
    <w:p w14:paraId="5024D67D" w14:textId="564046A7" w:rsidR="008902DA" w:rsidRPr="00B17DB6" w:rsidRDefault="008902DA" w:rsidP="00B17DB6">
      <w:pPr>
        <w:spacing w:line="276" w:lineRule="auto"/>
        <w:rPr>
          <w:rFonts w:cs="Arial"/>
          <w:szCs w:val="18"/>
          <w:lang w:val="nl"/>
        </w:rPr>
      </w:pPr>
    </w:p>
    <w:p w14:paraId="6A21C958" w14:textId="3E100AC4" w:rsidR="00B17DB6" w:rsidRPr="004F72D2" w:rsidRDefault="00B17DB6" w:rsidP="00B17DB6">
      <w:pPr>
        <w:spacing w:line="276" w:lineRule="auto"/>
        <w:rPr>
          <w:rFonts w:cs="Arial"/>
          <w:szCs w:val="18"/>
          <w:lang w:val="de-DE"/>
        </w:rPr>
      </w:pPr>
      <w:r w:rsidRPr="004F72D2">
        <w:rPr>
          <w:rFonts w:cs="Arial"/>
          <w:szCs w:val="18"/>
          <w:lang w:val="de-DE"/>
        </w:rPr>
        <w:t xml:space="preserve">Den Haag,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t xml:space="preserve">     </w:t>
      </w:r>
      <w:r w:rsidR="00C51591">
        <w:rPr>
          <w:rFonts w:cs="Arial"/>
          <w:szCs w:val="18"/>
          <w:lang w:val="de-DE"/>
        </w:rPr>
        <w:tab/>
      </w:r>
      <w:r w:rsidR="0036466A">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Plaats</w:t>
      </w:r>
      <w:proofErr w:type="spellEnd"/>
      <w:r w:rsidRPr="00593D91">
        <w:rPr>
          <w:rFonts w:cs="Arial"/>
          <w:szCs w:val="18"/>
          <w:highlight w:val="cyan"/>
          <w:lang w:val="de-DE"/>
        </w:rPr>
        <w:t>]</w:t>
      </w:r>
      <w:r w:rsidRPr="004F72D2">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0DDF1BE9" w14:textId="77777777" w:rsidR="00E4776B" w:rsidRDefault="00E4776B" w:rsidP="00E4776B">
      <w:pPr>
        <w:spacing w:line="276" w:lineRule="auto"/>
        <w:rPr>
          <w:rFonts w:cs="Arial"/>
          <w:szCs w:val="18"/>
          <w:lang w:val="nl"/>
        </w:rPr>
      </w:pPr>
      <w:r>
        <w:rPr>
          <w:rFonts w:cs="Arial"/>
          <w:szCs w:val="18"/>
          <w:lang w:val="nl"/>
        </w:rPr>
        <w:t>De Minister van</w:t>
      </w:r>
      <w:r w:rsidRPr="00E4776B">
        <w:t xml:space="preserve"> </w:t>
      </w:r>
      <w:r w:rsidRPr="00E4776B">
        <w:rPr>
          <w:rFonts w:cs="Arial"/>
          <w:szCs w:val="18"/>
          <w:lang w:val="nl"/>
        </w:rPr>
        <w:t xml:space="preserve">Landbouw, Visserij, </w:t>
      </w:r>
    </w:p>
    <w:p w14:paraId="198642BF" w14:textId="2F593F53" w:rsidR="00B17DB6" w:rsidRPr="00B17DB6" w:rsidRDefault="00E4776B" w:rsidP="00E4776B">
      <w:pPr>
        <w:spacing w:line="276" w:lineRule="auto"/>
        <w:rPr>
          <w:rFonts w:cs="Arial"/>
          <w:szCs w:val="18"/>
          <w:lang w:val="nl"/>
        </w:rPr>
      </w:pPr>
      <w:r w:rsidRPr="00E4776B">
        <w:rPr>
          <w:rFonts w:cs="Arial"/>
          <w:szCs w:val="18"/>
          <w:lang w:val="nl"/>
        </w:rPr>
        <w:t>Voedselzekerheid en Natuur</w:t>
      </w:r>
      <w:r w:rsidR="00B17DB6" w:rsidRPr="00B17DB6">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r w:rsidR="00B17DB6" w:rsidRPr="00593D91">
        <w:rPr>
          <w:rFonts w:cs="Arial"/>
          <w:szCs w:val="18"/>
          <w:highlight w:val="cyan"/>
          <w:lang w:val="nl"/>
        </w:rPr>
        <w:t xml:space="preserve">[naam </w:t>
      </w:r>
      <w:r w:rsidR="005B5660" w:rsidRPr="00593D91">
        <w:rPr>
          <w:rFonts w:cs="Arial"/>
          <w:szCs w:val="18"/>
          <w:highlight w:val="cyan"/>
          <w:lang w:val="nl"/>
        </w:rPr>
        <w:t>Opdrachtnemer</w:t>
      </w:r>
      <w:r w:rsidR="00B17DB6" w:rsidRPr="00593D91">
        <w:rPr>
          <w:rFonts w:cs="Arial"/>
          <w:szCs w:val="18"/>
          <w:highlight w:val="cyan"/>
          <w:lang w:val="nl"/>
        </w:rPr>
        <w:t>]</w:t>
      </w:r>
    </w:p>
    <w:p w14:paraId="4EBB4A8A" w14:textId="4F12173B" w:rsidR="00B17DB6" w:rsidRPr="00B17DB6" w:rsidRDefault="00B17DB6" w:rsidP="00B17DB6">
      <w:pPr>
        <w:spacing w:line="276" w:lineRule="auto"/>
        <w:rPr>
          <w:rFonts w:cs="Arial"/>
          <w:szCs w:val="18"/>
          <w:lang w:val="nl"/>
        </w:rPr>
      </w:pPr>
      <w:r w:rsidRPr="00B17DB6">
        <w:rPr>
          <w:rFonts w:cs="Arial"/>
          <w:szCs w:val="18"/>
          <w:lang w:val="nl"/>
        </w:rPr>
        <w:tab/>
      </w:r>
      <w:r w:rsidRPr="00B17DB6">
        <w:rPr>
          <w:rFonts w:cs="Arial"/>
          <w:szCs w:val="18"/>
          <w:lang w:val="nl"/>
        </w:rPr>
        <w:tab/>
      </w:r>
      <w:r w:rsidRPr="00B17DB6">
        <w:rPr>
          <w:rFonts w:cs="Arial"/>
          <w:szCs w:val="18"/>
          <w:lang w:val="nl"/>
        </w:rPr>
        <w:tab/>
      </w:r>
    </w:p>
    <w:p w14:paraId="02276FF8" w14:textId="77777777" w:rsidR="00B17DB6" w:rsidRPr="00B17DB6" w:rsidRDefault="00B17DB6" w:rsidP="00B17DB6">
      <w:pPr>
        <w:spacing w:line="276" w:lineRule="auto"/>
        <w:rPr>
          <w:rFonts w:cs="Arial"/>
          <w:szCs w:val="18"/>
          <w:lang w:val="nl"/>
        </w:rPr>
      </w:pPr>
    </w:p>
    <w:p w14:paraId="03CBADA3" w14:textId="228EF78E" w:rsidR="004901AE" w:rsidRPr="00B17DB6" w:rsidRDefault="004901AE" w:rsidP="00B17DB6">
      <w:pPr>
        <w:spacing w:line="276" w:lineRule="auto"/>
        <w:rPr>
          <w:rFonts w:cs="Arial"/>
          <w:szCs w:val="18"/>
          <w:lang w:val="nl"/>
        </w:rPr>
      </w:pPr>
    </w:p>
    <w:p w14:paraId="7C77716C" w14:textId="77777777" w:rsidR="00FB0EBD" w:rsidRDefault="00B17DB6" w:rsidP="00FB0EBD">
      <w:pPr>
        <w:spacing w:line="276" w:lineRule="auto"/>
        <w:rPr>
          <w:rFonts w:cs="Arial"/>
          <w:szCs w:val="18"/>
          <w:lang w:val="nl"/>
        </w:rPr>
      </w:pPr>
      <w:r w:rsidRPr="00B17DB6">
        <w:rPr>
          <w:rFonts w:cs="Arial"/>
          <w:szCs w:val="18"/>
          <w:lang w:val="nl"/>
        </w:rPr>
        <w:t>namens deze,</w:t>
      </w:r>
      <w:r w:rsidR="00E4776B">
        <w:rPr>
          <w:rFonts w:cs="Arial"/>
          <w:szCs w:val="18"/>
          <w:lang w:val="nl"/>
        </w:rPr>
        <w:t xml:space="preserve"> </w:t>
      </w:r>
    </w:p>
    <w:p w14:paraId="4028ACC9" w14:textId="724FDA52" w:rsidR="00FB0EBD" w:rsidRDefault="00FB0EBD" w:rsidP="00FB0EBD">
      <w:pPr>
        <w:spacing w:line="276" w:lineRule="auto"/>
        <w:rPr>
          <w:szCs w:val="18"/>
        </w:rPr>
      </w:pPr>
      <w:r>
        <w:rPr>
          <w:szCs w:val="18"/>
        </w:rPr>
        <w:t xml:space="preserve">Rijksacademie voor Financiën, </w:t>
      </w:r>
    </w:p>
    <w:p w14:paraId="737979F3" w14:textId="77777777" w:rsidR="00FB0EBD" w:rsidRPr="00FB0EBD" w:rsidRDefault="00FB0EBD" w:rsidP="00FB0EBD">
      <w:pPr>
        <w:spacing w:line="276" w:lineRule="auto"/>
        <w:rPr>
          <w:szCs w:val="18"/>
        </w:rPr>
      </w:pPr>
      <w:r>
        <w:rPr>
          <w:szCs w:val="18"/>
        </w:rPr>
        <w:t>Economie en Bedrijfsvoering</w:t>
      </w:r>
    </w:p>
    <w:p w14:paraId="69244845" w14:textId="164864CD" w:rsidR="00E4776B" w:rsidRDefault="00E4776B" w:rsidP="00E4776B">
      <w:pPr>
        <w:spacing w:line="276" w:lineRule="auto"/>
        <w:rPr>
          <w:rFonts w:cs="Arial"/>
          <w:szCs w:val="18"/>
          <w:lang w:val="nl"/>
        </w:rPr>
      </w:pPr>
    </w:p>
    <w:p w14:paraId="0658EE28" w14:textId="0D474355" w:rsidR="00E4776B" w:rsidRDefault="00E4776B" w:rsidP="00E4776B">
      <w:pPr>
        <w:spacing w:line="276" w:lineRule="auto"/>
        <w:rPr>
          <w:szCs w:val="18"/>
        </w:rPr>
      </w:pPr>
      <w:r>
        <w:rPr>
          <w:szCs w:val="18"/>
        </w:rPr>
        <w:t xml:space="preserve">Drs. C. den Broeder </w:t>
      </w:r>
    </w:p>
    <w:p w14:paraId="7845E2B5" w14:textId="01EEDA8A" w:rsidR="00FB0EBD" w:rsidRDefault="00E4776B" w:rsidP="00FB0EBD">
      <w:pPr>
        <w:spacing w:line="276" w:lineRule="auto"/>
        <w:rPr>
          <w:rFonts w:cs="Arial"/>
          <w:szCs w:val="18"/>
          <w:lang w:val="nl"/>
        </w:rPr>
      </w:pPr>
      <w:r>
        <w:rPr>
          <w:szCs w:val="18"/>
        </w:rPr>
        <w:t>Academie-directeur</w:t>
      </w:r>
      <w:r w:rsidR="00FB0EBD">
        <w:rPr>
          <w:rFonts w:cs="Arial"/>
          <w:szCs w:val="18"/>
          <w:lang w:val="nl"/>
        </w:rPr>
        <w:t xml:space="preserve"> </w:t>
      </w:r>
    </w:p>
    <w:p w14:paraId="31894C99" w14:textId="77777777" w:rsidR="008902DA" w:rsidRDefault="008902DA">
      <w:pPr>
        <w:overflowPunct/>
        <w:autoSpaceDE/>
        <w:autoSpaceDN/>
        <w:adjustRightInd/>
        <w:textAlignment w:val="auto"/>
        <w:rPr>
          <w:rFonts w:cs="Arial"/>
          <w:szCs w:val="18"/>
          <w:lang w:val="nl"/>
        </w:rPr>
      </w:pPr>
    </w:p>
    <w:p w14:paraId="68258605" w14:textId="32EE52C5"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C4FD178" w14:textId="22CBBD23"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593D91">
        <w:rPr>
          <w:rFonts w:cs="Arial"/>
          <w:szCs w:val="18"/>
          <w:highlight w:val="cyan"/>
          <w:lang w:val="nl"/>
        </w:rPr>
        <w:t>[naam ondertekenaar]</w:t>
      </w:r>
      <w:r w:rsidRPr="008243B7">
        <w:rPr>
          <w:rFonts w:cs="Arial"/>
          <w:szCs w:val="18"/>
          <w:lang w:val="nl"/>
        </w:rPr>
        <w:t xml:space="preserve">                         </w:t>
      </w:r>
      <w:r>
        <w:rPr>
          <w:rFonts w:cs="Arial"/>
          <w:szCs w:val="18"/>
          <w:lang w:val="nl"/>
        </w:rPr>
        <w:t xml:space="preserve">                      </w:t>
      </w:r>
      <w:r w:rsidRPr="008243B7">
        <w:rPr>
          <w:rFonts w:cs="Arial"/>
          <w:szCs w:val="18"/>
          <w:lang w:val="nl"/>
        </w:rPr>
        <w:t xml:space="preserve">      </w:t>
      </w:r>
      <w:r w:rsidR="0036466A">
        <w:rPr>
          <w:rFonts w:cs="Arial"/>
          <w:szCs w:val="18"/>
          <w:lang w:val="nl"/>
        </w:rPr>
        <w:t xml:space="preserve">  </w:t>
      </w:r>
      <w:r w:rsidRPr="008243B7">
        <w:rPr>
          <w:rFonts w:cs="Arial"/>
          <w:szCs w:val="18"/>
          <w:lang w:val="nl"/>
        </w:rPr>
        <w:t xml:space="preserve">  </w:t>
      </w:r>
      <w:r w:rsidRPr="00593D91">
        <w:rPr>
          <w:rFonts w:cs="Arial"/>
          <w:szCs w:val="18"/>
          <w:highlight w:val="cyan"/>
          <w:lang w:val="nl"/>
        </w:rPr>
        <w:t>[naam ondertekenaar]</w:t>
      </w:r>
    </w:p>
    <w:p w14:paraId="4DFBB6DA" w14:textId="77777777" w:rsidR="00FB0EBD" w:rsidRDefault="00FB0EBD" w:rsidP="00A6396C">
      <w:pPr>
        <w:pStyle w:val="Kop3"/>
        <w:rPr>
          <w:rFonts w:ascii="Verdana" w:hAnsi="Verdana"/>
          <w:sz w:val="18"/>
          <w:szCs w:val="18"/>
        </w:rPr>
      </w:pPr>
      <w:bookmarkStart w:id="62" w:name="_Toc484590192"/>
      <w:bookmarkStart w:id="63" w:name="_Toc484590381"/>
      <w:bookmarkStart w:id="64" w:name="_Toc484590467"/>
      <w:bookmarkStart w:id="65" w:name="_Toc497994166"/>
      <w:bookmarkStart w:id="66" w:name="_Toc499733038"/>
    </w:p>
    <w:p w14:paraId="197A3DBC" w14:textId="77777777" w:rsidR="00FB0EBD" w:rsidRDefault="00FB0EBD" w:rsidP="00A6396C">
      <w:pPr>
        <w:pStyle w:val="Kop3"/>
        <w:rPr>
          <w:rFonts w:ascii="Verdana" w:hAnsi="Verdana"/>
          <w:sz w:val="18"/>
          <w:szCs w:val="18"/>
        </w:rPr>
      </w:pPr>
    </w:p>
    <w:p w14:paraId="4C9C2B8D" w14:textId="77777777" w:rsidR="00FB0EBD" w:rsidRDefault="00FB0EBD" w:rsidP="00A6396C">
      <w:pPr>
        <w:pStyle w:val="Kop3"/>
        <w:rPr>
          <w:rFonts w:ascii="Verdana" w:hAnsi="Verdana"/>
          <w:sz w:val="18"/>
          <w:szCs w:val="18"/>
        </w:rPr>
      </w:pPr>
    </w:p>
    <w:p w14:paraId="089EB99C" w14:textId="77777777" w:rsidR="00FB0EBD" w:rsidRDefault="00FB0EBD" w:rsidP="00A6396C">
      <w:pPr>
        <w:pStyle w:val="Kop3"/>
        <w:rPr>
          <w:rFonts w:ascii="Verdana" w:hAnsi="Verdana"/>
          <w:sz w:val="18"/>
          <w:szCs w:val="18"/>
        </w:rPr>
      </w:pPr>
    </w:p>
    <w:p w14:paraId="4A51BFE2" w14:textId="77777777" w:rsidR="00FB0EBD" w:rsidRDefault="00FB0EBD" w:rsidP="00A6396C">
      <w:pPr>
        <w:pStyle w:val="Kop3"/>
        <w:rPr>
          <w:rFonts w:ascii="Verdana" w:hAnsi="Verdana"/>
          <w:sz w:val="18"/>
          <w:szCs w:val="18"/>
        </w:rPr>
      </w:pPr>
    </w:p>
    <w:p w14:paraId="2200A4A5" w14:textId="77777777" w:rsidR="00FB0EBD" w:rsidRDefault="00FB0EBD" w:rsidP="00A6396C">
      <w:pPr>
        <w:pStyle w:val="Kop3"/>
        <w:rPr>
          <w:rFonts w:ascii="Verdana" w:hAnsi="Verdana"/>
          <w:sz w:val="18"/>
          <w:szCs w:val="18"/>
        </w:rPr>
      </w:pPr>
    </w:p>
    <w:p w14:paraId="0EE5471F" w14:textId="77777777" w:rsidR="00FB0EBD" w:rsidRDefault="00FB0EBD" w:rsidP="00A6396C">
      <w:pPr>
        <w:pStyle w:val="Kop3"/>
        <w:rPr>
          <w:rFonts w:ascii="Verdana" w:hAnsi="Verdana"/>
          <w:sz w:val="18"/>
          <w:szCs w:val="18"/>
        </w:rPr>
      </w:pPr>
    </w:p>
    <w:p w14:paraId="75F2A470" w14:textId="77777777" w:rsidR="00FB0EBD" w:rsidRDefault="00FB0EBD" w:rsidP="00A6396C">
      <w:pPr>
        <w:pStyle w:val="Kop3"/>
        <w:rPr>
          <w:rFonts w:ascii="Verdana" w:hAnsi="Verdana"/>
          <w:sz w:val="18"/>
          <w:szCs w:val="18"/>
        </w:rPr>
      </w:pPr>
    </w:p>
    <w:p w14:paraId="7B9845E2" w14:textId="77777777" w:rsidR="00FB0EBD" w:rsidRDefault="00FB0EBD" w:rsidP="00A6396C">
      <w:pPr>
        <w:pStyle w:val="Kop3"/>
        <w:rPr>
          <w:rFonts w:ascii="Verdana" w:hAnsi="Verdana"/>
          <w:sz w:val="18"/>
          <w:szCs w:val="18"/>
        </w:rPr>
      </w:pPr>
      <w:r>
        <w:rPr>
          <w:rFonts w:ascii="Verdana" w:hAnsi="Verdana"/>
          <w:sz w:val="18"/>
          <w:szCs w:val="18"/>
        </w:rPr>
        <w:br/>
      </w:r>
    </w:p>
    <w:p w14:paraId="6247416C" w14:textId="77777777" w:rsidR="00FB0EBD" w:rsidRDefault="00FB0EBD">
      <w:pPr>
        <w:overflowPunct/>
        <w:autoSpaceDE/>
        <w:autoSpaceDN/>
        <w:adjustRightInd/>
        <w:textAlignment w:val="auto"/>
        <w:rPr>
          <w:rFonts w:cs="Arial"/>
          <w:b/>
          <w:bCs/>
          <w:szCs w:val="18"/>
        </w:rPr>
      </w:pPr>
      <w:r>
        <w:rPr>
          <w:szCs w:val="18"/>
        </w:rPr>
        <w:br w:type="page"/>
      </w:r>
    </w:p>
    <w:p w14:paraId="4D23EC2B" w14:textId="1BBDFAB2" w:rsidR="00081451" w:rsidRDefault="00BB410B" w:rsidP="00A6396C">
      <w:pPr>
        <w:pStyle w:val="Kop3"/>
        <w:rPr>
          <w:rFonts w:ascii="Verdana" w:hAnsi="Verdana"/>
          <w:sz w:val="18"/>
          <w:szCs w:val="18"/>
        </w:rPr>
      </w:pPr>
      <w:r w:rsidRPr="00A6396C">
        <w:rPr>
          <w:rFonts w:ascii="Verdana" w:hAnsi="Verdana"/>
          <w:sz w:val="18"/>
          <w:szCs w:val="18"/>
        </w:rPr>
        <w:lastRenderedPageBreak/>
        <w:t>Bijlage 1. De Verwerking van Persoonsgegevens</w:t>
      </w:r>
      <w:bookmarkEnd w:id="62"/>
      <w:bookmarkEnd w:id="63"/>
      <w:bookmarkEnd w:id="64"/>
      <w:bookmarkEnd w:id="65"/>
      <w:bookmarkEnd w:id="66"/>
    </w:p>
    <w:p w14:paraId="5981EF8D" w14:textId="77777777" w:rsidR="00807E90" w:rsidRDefault="00807E90" w:rsidP="00A6396C">
      <w:pPr>
        <w:spacing w:line="276" w:lineRule="auto"/>
        <w:rPr>
          <w:szCs w:val="18"/>
        </w:rPr>
      </w:pPr>
    </w:p>
    <w:p w14:paraId="239458A6" w14:textId="54660CCB" w:rsidR="00AA1ACC" w:rsidRDefault="00AA1ACC" w:rsidP="00A6396C">
      <w:pPr>
        <w:spacing w:line="276" w:lineRule="auto"/>
        <w:rPr>
          <w:szCs w:val="18"/>
        </w:rPr>
      </w:pPr>
      <w:r w:rsidRPr="00A6396C">
        <w:rPr>
          <w:rFonts w:cs="Arial"/>
          <w:szCs w:val="18"/>
        </w:rPr>
        <w:t xml:space="preserve">In deze bijlage </w:t>
      </w:r>
      <w:r w:rsidR="00FB0EBD">
        <w:rPr>
          <w:rFonts w:cs="Arial"/>
          <w:szCs w:val="18"/>
        </w:rPr>
        <w:t xml:space="preserve">wordt </w:t>
      </w:r>
      <w:r w:rsidRPr="00A6396C">
        <w:rPr>
          <w:rFonts w:cs="Arial"/>
          <w:szCs w:val="18"/>
        </w:rPr>
        <w:t>in ieder geval het volgende gespecificeerd:</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rPr>
          <w:szCs w:val="18"/>
        </w:rPr>
        <w:t xml:space="preserve">Overzicht </w:t>
      </w:r>
      <w:r w:rsidR="004155C6">
        <w:rPr>
          <w:szCs w:val="18"/>
        </w:rPr>
        <w:t>V</w:t>
      </w:r>
      <w:r>
        <w:rPr>
          <w:szCs w:val="18"/>
        </w:rPr>
        <w:t>erwerkingen</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rPr>
                <w:rFonts w:cs="Arial"/>
                <w:szCs w:val="18"/>
              </w:rPr>
              <w:t>………</w:t>
            </w:r>
          </w:p>
        </w:tc>
        <w:tc>
          <w:tcPr>
            <w:tcW w:w="4497" w:type="dxa"/>
          </w:tcPr>
          <w:p w14:paraId="44891B84" w14:textId="77777777" w:rsidR="00711804" w:rsidRDefault="00711804" w:rsidP="009E5E58">
            <w:pPr>
              <w:spacing w:line="276" w:lineRule="auto"/>
              <w:rPr>
                <w:rFonts w:cs="Arial"/>
                <w:szCs w:val="18"/>
              </w:rPr>
            </w:pPr>
          </w:p>
        </w:tc>
      </w:tr>
    </w:tbl>
    <w:p w14:paraId="0E63BED6" w14:textId="77777777" w:rsidR="00FB0EBD" w:rsidRDefault="00FB0EBD" w:rsidP="00FB0EBD">
      <w:pPr>
        <w:overflowPunct/>
        <w:autoSpaceDE/>
        <w:autoSpaceDN/>
        <w:adjustRightInd/>
        <w:textAlignment w:val="auto"/>
        <w:rPr>
          <w:szCs w:val="18"/>
        </w:rPr>
      </w:pPr>
      <w:bookmarkStart w:id="67" w:name="_Toc503353192"/>
      <w:bookmarkStart w:id="68" w:name="_Toc497994167"/>
      <w:bookmarkStart w:id="69" w:name="_Toc499733039"/>
      <w:bookmarkStart w:id="70" w:name="_Toc484590193"/>
      <w:bookmarkStart w:id="71" w:name="_Toc484590382"/>
      <w:bookmarkStart w:id="72" w:name="_Toc484590468"/>
    </w:p>
    <w:p w14:paraId="5561E5D4" w14:textId="39F530F3" w:rsidR="00081451" w:rsidRPr="00FB0EBD" w:rsidRDefault="00BB410B" w:rsidP="00FB0EBD">
      <w:pPr>
        <w:pStyle w:val="Kop3"/>
        <w:rPr>
          <w:rFonts w:ascii="Verdana" w:hAnsi="Verdana"/>
          <w:sz w:val="18"/>
          <w:szCs w:val="18"/>
        </w:rPr>
      </w:pPr>
      <w:r w:rsidRPr="00A6396C">
        <w:rPr>
          <w:rFonts w:ascii="Verdana" w:hAnsi="Verdana"/>
          <w:sz w:val="18"/>
          <w:szCs w:val="18"/>
        </w:rPr>
        <w:t>Bijlage 2. Passende technische en organisatorische maatregelen</w:t>
      </w:r>
      <w:bookmarkEnd w:id="67"/>
      <w:bookmarkEnd w:id="68"/>
      <w:bookmarkEnd w:id="69"/>
      <w:r w:rsidR="00370A8F" w:rsidRPr="00A6396C">
        <w:rPr>
          <w:rFonts w:ascii="Verdana" w:hAnsi="Verdana"/>
          <w:sz w:val="18"/>
          <w:szCs w:val="18"/>
        </w:rPr>
        <w:t xml:space="preserve"> </w:t>
      </w:r>
      <w:bookmarkEnd w:id="70"/>
      <w:bookmarkEnd w:id="71"/>
      <w:bookmarkEnd w:id="72"/>
    </w:p>
    <w:p w14:paraId="4FC14F55" w14:textId="77777777" w:rsidR="00431383" w:rsidRDefault="00431383" w:rsidP="00431383">
      <w:pPr>
        <w:spacing w:line="276" w:lineRule="auto"/>
        <w:rPr>
          <w:rFonts w:cs="Arial"/>
          <w:szCs w:val="18"/>
        </w:rPr>
      </w:pPr>
    </w:p>
    <w:p w14:paraId="6FF8BA88" w14:textId="18603973" w:rsidR="005F5B82" w:rsidRPr="00A6396C" w:rsidRDefault="005F5B82" w:rsidP="005F5B82">
      <w:pPr>
        <w:spacing w:line="276" w:lineRule="auto"/>
        <w:rPr>
          <w:rFonts w:cs="Arial"/>
          <w:i/>
          <w:szCs w:val="18"/>
        </w:rPr>
      </w:pPr>
      <w:bookmarkStart w:id="73" w:name="_Toc497994168"/>
      <w:r w:rsidRPr="00A6396C">
        <w:rPr>
          <w:rFonts w:cs="Arial"/>
          <w:szCs w:val="18"/>
        </w:rPr>
        <w:t xml:space="preserve">In deze bijlage </w:t>
      </w:r>
      <w:r w:rsidR="00FB0EBD">
        <w:rPr>
          <w:rFonts w:cs="Arial"/>
          <w:szCs w:val="18"/>
        </w:rPr>
        <w:t>worden</w:t>
      </w:r>
      <w:r w:rsidRPr="00A6396C">
        <w:rPr>
          <w:rFonts w:cs="Arial"/>
          <w:szCs w:val="18"/>
        </w:rPr>
        <w:t xml:space="preserve">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gespecificeerd.</w:t>
      </w:r>
      <w:r>
        <w:rPr>
          <w:rFonts w:cs="Arial"/>
          <w:szCs w:val="18"/>
        </w:rPr>
        <w:t xml:space="preserve"> </w:t>
      </w:r>
    </w:p>
    <w:p w14:paraId="3418DA36" w14:textId="77777777" w:rsidR="005F5B82" w:rsidRDefault="005F5B82" w:rsidP="005F5B82">
      <w:pPr>
        <w:spacing w:line="276" w:lineRule="auto"/>
        <w:rPr>
          <w:rFonts w:cs="Arial"/>
          <w:szCs w:val="18"/>
        </w:rPr>
      </w:pPr>
    </w:p>
    <w:p w14:paraId="3E614DD3" w14:textId="28841E16" w:rsidR="00E40B69" w:rsidRPr="009E5E58" w:rsidRDefault="00E40B69" w:rsidP="00FB0EBD">
      <w:pPr>
        <w:pStyle w:val="Kop3"/>
        <w:rPr>
          <w:rFonts w:ascii="Verdana" w:hAnsi="Verdana"/>
          <w:sz w:val="18"/>
          <w:szCs w:val="18"/>
        </w:rPr>
      </w:pPr>
      <w:bookmarkStart w:id="74" w:name="_Toc499733040"/>
      <w:r w:rsidRPr="00A6396C">
        <w:rPr>
          <w:rFonts w:ascii="Verdana" w:hAnsi="Verdana"/>
          <w:sz w:val="18"/>
          <w:szCs w:val="18"/>
        </w:rPr>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3"/>
      <w:bookmarkEnd w:id="74"/>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2B6006E8" w:rsidR="00081451" w:rsidRDefault="00E40B69" w:rsidP="00A6396C">
      <w:pPr>
        <w:spacing w:line="276" w:lineRule="auto"/>
        <w:rPr>
          <w:rFonts w:cs="Arial"/>
          <w:szCs w:val="18"/>
        </w:rPr>
      </w:pPr>
      <w:r w:rsidRPr="00A6396C">
        <w:rPr>
          <w:rFonts w:cs="Arial"/>
          <w:szCs w:val="18"/>
        </w:rPr>
        <w:t xml:space="preserve">In deze bijlage </w:t>
      </w:r>
      <w:r w:rsidR="00FB0EBD">
        <w:rPr>
          <w:rFonts w:cs="Arial"/>
          <w:szCs w:val="18"/>
        </w:rPr>
        <w:t>worden</w:t>
      </w:r>
      <w:r w:rsidRPr="00A6396C">
        <w:rPr>
          <w:rFonts w:cs="Arial"/>
          <w:szCs w:val="18"/>
        </w:rPr>
        <w:t xml:space="preserve"> </w:t>
      </w:r>
      <w:r w:rsidR="00370A8F" w:rsidRPr="00A6396C">
        <w:rPr>
          <w:rFonts w:cs="Arial"/>
          <w:szCs w:val="18"/>
        </w:rPr>
        <w:t xml:space="preserve">de afspraken </w:t>
      </w:r>
      <w:r w:rsidR="00FB0EBD" w:rsidRPr="00A6396C">
        <w:rPr>
          <w:rFonts w:cs="Arial"/>
          <w:szCs w:val="18"/>
        </w:rPr>
        <w:t>gespecificeerd</w:t>
      </w:r>
      <w:r w:rsidR="00FB0EBD" w:rsidRPr="00A6396C">
        <w:rPr>
          <w:rFonts w:cs="Arial"/>
          <w:szCs w:val="18"/>
        </w:rPr>
        <w:t xml:space="preserve"> </w:t>
      </w:r>
      <w:r w:rsidR="00370A8F" w:rsidRPr="00A6396C">
        <w:rPr>
          <w:rFonts w:cs="Arial"/>
          <w:szCs w:val="18"/>
        </w:rPr>
        <w:t xml:space="preserve">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2CD50276" w:rsidR="002E31C9" w:rsidRPr="00FB0EBD" w:rsidRDefault="00DD3958" w:rsidP="00A6396C">
      <w:pPr>
        <w:spacing w:line="276" w:lineRule="auto"/>
        <w:rPr>
          <w:rFonts w:cs="Arial"/>
          <w:bCs/>
          <w:i/>
          <w:iCs/>
          <w:szCs w:val="18"/>
        </w:rPr>
      </w:pPr>
      <w:r w:rsidRPr="00FB0EBD">
        <w:rPr>
          <w:rFonts w:cs="Arial"/>
          <w:bCs/>
          <w:i/>
          <w:iCs/>
          <w:szCs w:val="18"/>
        </w:rPr>
        <w:t>P</w:t>
      </w:r>
      <w:r w:rsidR="002E31C9" w:rsidRPr="00FB0EBD">
        <w:rPr>
          <w:rFonts w:cs="Arial"/>
          <w:bCs/>
          <w:i/>
          <w:iCs/>
          <w:szCs w:val="18"/>
        </w:rPr>
        <w:t>rocedure</w:t>
      </w:r>
      <w:r w:rsidRPr="00FB0EBD">
        <w:rPr>
          <w:rFonts w:cs="Arial"/>
          <w:bCs/>
          <w:i/>
          <w:iCs/>
          <w:szCs w:val="18"/>
        </w:rPr>
        <w:t xml:space="preserve"> Opdrachtgever</w:t>
      </w:r>
    </w:p>
    <w:p w14:paraId="2293B808" w14:textId="1313FC27" w:rsidR="002E31C9" w:rsidRPr="00FB0EBD" w:rsidRDefault="0030646F" w:rsidP="00A6396C">
      <w:pPr>
        <w:spacing w:line="276" w:lineRule="auto"/>
        <w:rPr>
          <w:rFonts w:cs="Arial"/>
          <w:i/>
          <w:iCs/>
          <w:szCs w:val="18"/>
        </w:rPr>
      </w:pPr>
      <w:r w:rsidRPr="00FB0EBD">
        <w:rPr>
          <w:rFonts w:cs="Arial"/>
          <w:i/>
          <w:iCs/>
          <w:szCs w:val="18"/>
        </w:rPr>
        <w:t>[Nader in te vullen door Opdrachtgever]</w:t>
      </w:r>
    </w:p>
    <w:p w14:paraId="7CE8BE38" w14:textId="77777777" w:rsidR="002E31C9" w:rsidRDefault="002E31C9" w:rsidP="00A6396C">
      <w:pPr>
        <w:spacing w:line="276" w:lineRule="auto"/>
        <w:rPr>
          <w:rFonts w:cs="Arial"/>
          <w:szCs w:val="18"/>
        </w:rPr>
      </w:pPr>
    </w:p>
    <w:p w14:paraId="07D6562B" w14:textId="42EE80D3" w:rsidR="002E31C9" w:rsidRPr="00FB0EBD" w:rsidRDefault="002E31C9" w:rsidP="00A6396C">
      <w:pPr>
        <w:spacing w:line="276" w:lineRule="auto"/>
        <w:rPr>
          <w:rFonts w:cs="Arial"/>
          <w:bCs/>
          <w:szCs w:val="18"/>
        </w:rPr>
      </w:pPr>
      <w:r w:rsidRPr="00FB0EBD">
        <w:rPr>
          <w:rFonts w:cs="Arial"/>
          <w:bCs/>
          <w:szCs w:val="18"/>
        </w:rPr>
        <w:t xml:space="preserve">Informatie die ten minste </w:t>
      </w:r>
      <w:r w:rsidR="00CA5734" w:rsidRPr="00FB0EBD">
        <w:rPr>
          <w:rFonts w:cs="Arial"/>
          <w:bCs/>
          <w:szCs w:val="18"/>
        </w:rPr>
        <w:t xml:space="preserve">door </w:t>
      </w:r>
      <w:r w:rsidR="005B5660" w:rsidRPr="00FB0EBD">
        <w:rPr>
          <w:rFonts w:cs="Arial"/>
          <w:bCs/>
          <w:szCs w:val="18"/>
        </w:rPr>
        <w:t>Opdrachtnemer</w:t>
      </w:r>
      <w:r w:rsidR="00CA5734" w:rsidRPr="00FB0EBD">
        <w:rPr>
          <w:rFonts w:cs="Arial"/>
          <w:bCs/>
          <w:szCs w:val="18"/>
        </w:rPr>
        <w:t xml:space="preserve"> </w:t>
      </w:r>
      <w:r w:rsidRPr="00FB0EBD">
        <w:rPr>
          <w:rFonts w:cs="Arial"/>
          <w:bCs/>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default" r:id="rId9"/>
      <w:headerReference w:type="first" r:id="rId10"/>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9608" w14:textId="77777777" w:rsidR="00FE3BF5" w:rsidRDefault="00FE3BF5">
      <w:r>
        <w:separator/>
      </w:r>
    </w:p>
  </w:endnote>
  <w:endnote w:type="continuationSeparator" w:id="0">
    <w:p w14:paraId="6216EF4E" w14:textId="77777777" w:rsidR="00FE3BF5" w:rsidRDefault="00FE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2648E964" w:rsidR="007539B1" w:rsidRPr="00081451" w:rsidRDefault="007539B1" w:rsidP="00C13470">
    <w:pPr>
      <w:pStyle w:val="Voettekst"/>
    </w:pP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00242D">
          <w:rPr>
            <w:noProof/>
          </w:rPr>
          <w:t>9</w:t>
        </w:r>
        <w:r>
          <w:rPr>
            <w:noProof/>
          </w:rPr>
          <w:fldChar w:fldCharType="end"/>
        </w:r>
      </w:sdtContent>
    </w:sdt>
  </w:p>
  <w:p w14:paraId="30BBFC0B" w14:textId="77777777" w:rsidR="007539B1" w:rsidRDefault="00753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EF34" w14:textId="77777777" w:rsidR="00FE3BF5" w:rsidRDefault="00FE3BF5">
      <w:r>
        <w:separator/>
      </w:r>
    </w:p>
  </w:footnote>
  <w:footnote w:type="continuationSeparator" w:id="0">
    <w:p w14:paraId="0522E0E4" w14:textId="77777777" w:rsidR="00FE3BF5" w:rsidRDefault="00FE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FB0EBD">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FB0EBD">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EA5"/>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CD1"/>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5340"/>
    <w:rsid w:val="00857067"/>
    <w:rsid w:val="00857676"/>
    <w:rsid w:val="00864D8A"/>
    <w:rsid w:val="00874ACB"/>
    <w:rsid w:val="00876012"/>
    <w:rsid w:val="00876534"/>
    <w:rsid w:val="008767A6"/>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14BF1"/>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07F4"/>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235E"/>
    <w:rsid w:val="00D9403A"/>
    <w:rsid w:val="00D95593"/>
    <w:rsid w:val="00D95A01"/>
    <w:rsid w:val="00D95B9D"/>
    <w:rsid w:val="00DA1276"/>
    <w:rsid w:val="00DA29FB"/>
    <w:rsid w:val="00DA2A7A"/>
    <w:rsid w:val="00DA7991"/>
    <w:rsid w:val="00DA7C30"/>
    <w:rsid w:val="00DB16DA"/>
    <w:rsid w:val="00DB2D26"/>
    <w:rsid w:val="00DB5744"/>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31A30"/>
    <w:rsid w:val="00E31E57"/>
    <w:rsid w:val="00E33BCA"/>
    <w:rsid w:val="00E3684B"/>
    <w:rsid w:val="00E36A73"/>
    <w:rsid w:val="00E40562"/>
    <w:rsid w:val="00E40B69"/>
    <w:rsid w:val="00E442BD"/>
    <w:rsid w:val="00E4776B"/>
    <w:rsid w:val="00E479CA"/>
    <w:rsid w:val="00E5034C"/>
    <w:rsid w:val="00E512FF"/>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0EBD"/>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 w:type="paragraph" w:customStyle="1" w:styleId="Default">
    <w:name w:val="Default"/>
    <w:rsid w:val="00E4776B"/>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12356</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Pepplinkhuizen, F (Francine) (BZ/RAFEB/IBEDR)</cp:lastModifiedBy>
  <cp:revision>3</cp:revision>
  <cp:lastPrinted>2017-09-20T11:43:00Z</cp:lastPrinted>
  <dcterms:created xsi:type="dcterms:W3CDTF">2026-01-26T15:56:00Z</dcterms:created>
  <dcterms:modified xsi:type="dcterms:W3CDTF">2026-01-26T21:27:00Z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2026-01-19T14:19:15Z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348b09be-10e7-4a1c-a137-b75f17b3da51</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ies>
</file>