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F2F2" w14:textId="27F5989F" w:rsidR="00BE5045" w:rsidRDefault="00BE5045" w:rsidP="00BE5045">
      <w:pPr>
        <w:pStyle w:val="Kop1"/>
      </w:pPr>
      <w:r w:rsidRPr="003F2D00">
        <w:t xml:space="preserve">Bijlage </w:t>
      </w:r>
      <w:r w:rsidR="007A66C8" w:rsidRPr="003F2D00">
        <w:t>4</w:t>
      </w:r>
      <w:r w:rsidR="005C4B1F" w:rsidRPr="003F2D00">
        <w:t xml:space="preserve"> </w:t>
      </w:r>
      <w:r w:rsidRPr="003F2D00">
        <w:t>Checklist in te dienen documenten</w:t>
      </w:r>
      <w:r w:rsidR="00375369" w:rsidRPr="003F2D00">
        <w:t xml:space="preserve"> – perceel A</w:t>
      </w:r>
    </w:p>
    <w:p w14:paraId="72EE66F1" w14:textId="3EF031BF" w:rsidR="00BE5045" w:rsidRDefault="00BE5045"/>
    <w:p w14:paraId="16914303" w14:textId="484F7699" w:rsidR="00BE5045" w:rsidRDefault="00AC0BE9" w:rsidP="00BE5045">
      <w:r>
        <w:t>Deze checklist is voor aanmelder om na te gaan of deze alle vereiste documenten heeft</w:t>
      </w:r>
      <w:r w:rsidR="003D29DB">
        <w:t xml:space="preserve"> voor de aanmelding voor de selectiefase voor perceel A. Dit document hoeft </w:t>
      </w:r>
      <w:r w:rsidR="003D29DB" w:rsidRPr="002B4A23">
        <w:rPr>
          <w:b/>
          <w:bCs/>
          <w:u w:val="single"/>
        </w:rPr>
        <w:t>NIET</w:t>
      </w:r>
      <w:r w:rsidR="003D29DB">
        <w:t xml:space="preserve"> ingediend te worden bij aanmelding en geldt als een </w:t>
      </w:r>
      <w:r w:rsidR="00526C3F">
        <w:t xml:space="preserve">controlelijst voor de aanmelder </w:t>
      </w:r>
      <w:r w:rsidR="002B4A23">
        <w:t xml:space="preserve">zelf </w:t>
      </w:r>
      <w:r w:rsidR="00526C3F">
        <w:t xml:space="preserve">voor de </w:t>
      </w:r>
      <w:r w:rsidR="002B4A23">
        <w:t xml:space="preserve">vereiste </w:t>
      </w:r>
      <w:r w:rsidR="00526C3F">
        <w:t xml:space="preserve">in te dienen documenten. </w:t>
      </w:r>
      <w:r>
        <w:t xml:space="preserve"> </w:t>
      </w:r>
    </w:p>
    <w:p w14:paraId="5F39D9F1" w14:textId="77777777" w:rsidR="00AD0F5C" w:rsidRDefault="00AD0F5C" w:rsidP="00BE5045"/>
    <w:p w14:paraId="2451E5EC" w14:textId="261BB02A" w:rsidR="00AD0F5C" w:rsidRPr="00B63BE9" w:rsidRDefault="00AD0F5C" w:rsidP="00BE5045">
      <w:pPr>
        <w:rPr>
          <w:b/>
          <w:bCs/>
        </w:rPr>
      </w:pPr>
      <w:r w:rsidRPr="00B63BE9">
        <w:rPr>
          <w:b/>
          <w:bCs/>
        </w:rPr>
        <w:t>Zelfstandig</w:t>
      </w:r>
      <w:r w:rsidR="00B63BE9" w:rsidRPr="00B63BE9">
        <w:rPr>
          <w:b/>
          <w:bCs/>
        </w:rPr>
        <w:t>e aanmelding</w:t>
      </w:r>
    </w:p>
    <w:p w14:paraId="58E934A1" w14:textId="77777777" w:rsidR="00BE5045" w:rsidRDefault="00BE5045" w:rsidP="00BE504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"/>
        <w:gridCol w:w="5209"/>
        <w:gridCol w:w="2204"/>
        <w:gridCol w:w="1127"/>
      </w:tblGrid>
      <w:tr w:rsidR="00F70F7D" w14:paraId="73916C43" w14:textId="4644FA73" w:rsidTr="008B608C">
        <w:tc>
          <w:tcPr>
            <w:tcW w:w="522" w:type="dxa"/>
            <w:shd w:val="clear" w:color="auto" w:fill="013577"/>
          </w:tcPr>
          <w:p w14:paraId="7716669E" w14:textId="77777777" w:rsidR="00F70F7D" w:rsidRPr="00A85546" w:rsidRDefault="00F70F7D" w:rsidP="00CD1C3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209" w:type="dxa"/>
            <w:shd w:val="clear" w:color="auto" w:fill="013577"/>
          </w:tcPr>
          <w:p w14:paraId="316BBE86" w14:textId="21EC21EE" w:rsidR="00F70F7D" w:rsidRPr="00A85546" w:rsidRDefault="00F70F7D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5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 te dienen documenten</w:t>
            </w:r>
          </w:p>
        </w:tc>
        <w:tc>
          <w:tcPr>
            <w:tcW w:w="2204" w:type="dxa"/>
            <w:shd w:val="clear" w:color="auto" w:fill="013577"/>
          </w:tcPr>
          <w:p w14:paraId="0D78EFBA" w14:textId="7557773A" w:rsidR="00F70F7D" w:rsidRPr="009E684B" w:rsidRDefault="00F70F7D" w:rsidP="00CD1C3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Hoe</w:t>
            </w:r>
          </w:p>
        </w:tc>
        <w:tc>
          <w:tcPr>
            <w:tcW w:w="1127" w:type="dxa"/>
            <w:shd w:val="clear" w:color="auto" w:fill="44546A" w:themeFill="text2"/>
          </w:tcPr>
          <w:p w14:paraId="5F48E4FE" w14:textId="66D60109" w:rsidR="00F70F7D" w:rsidRDefault="004C02B9" w:rsidP="00CD1C3A">
            <w:pPr>
              <w:rPr>
                <w:rFonts w:cstheme="minorHAnsi"/>
                <w:b/>
                <w:bCs/>
              </w:rPr>
            </w:pPr>
            <w:r w:rsidRPr="004C02B9">
              <w:rPr>
                <w:rFonts w:cstheme="minorHAnsi"/>
                <w:b/>
                <w:bCs/>
                <w:color w:val="FFFFFF" w:themeColor="background1"/>
              </w:rPr>
              <w:t>C</w:t>
            </w:r>
            <w:r>
              <w:rPr>
                <w:rFonts w:cstheme="minorHAnsi"/>
                <w:b/>
                <w:bCs/>
                <w:color w:val="FFFFFF" w:themeColor="background1"/>
              </w:rPr>
              <w:t>h</w:t>
            </w:r>
            <w:r w:rsidRPr="004C02B9">
              <w:rPr>
                <w:rFonts w:cstheme="minorHAnsi"/>
                <w:b/>
                <w:bCs/>
                <w:color w:val="FFFFFF" w:themeColor="background1"/>
              </w:rPr>
              <w:t>eck</w:t>
            </w:r>
            <w:r w:rsidR="008B608C">
              <w:rPr>
                <w:rFonts w:cstheme="minorHAnsi"/>
                <w:b/>
                <w:bCs/>
                <w:color w:val="FFFFFF" w:themeColor="background1"/>
              </w:rPr>
              <w:t xml:space="preserve"> door aanmelder</w:t>
            </w:r>
          </w:p>
        </w:tc>
      </w:tr>
      <w:tr w:rsidR="00F70F7D" w14:paraId="1A5B7E5A" w14:textId="03583A98" w:rsidTr="008B608C">
        <w:tc>
          <w:tcPr>
            <w:tcW w:w="522" w:type="dxa"/>
            <w:shd w:val="clear" w:color="auto" w:fill="00A0FF"/>
          </w:tcPr>
          <w:p w14:paraId="3BAD7772" w14:textId="77777777" w:rsidR="00F70F7D" w:rsidRPr="00867040" w:rsidRDefault="00F70F7D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09" w:type="dxa"/>
            <w:shd w:val="clear" w:color="auto" w:fill="00A0FF"/>
          </w:tcPr>
          <w:p w14:paraId="08CC22B0" w14:textId="781B979E" w:rsidR="00F70F7D" w:rsidRPr="00136758" w:rsidRDefault="00F70F7D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Welk document</w:t>
            </w:r>
          </w:p>
        </w:tc>
        <w:tc>
          <w:tcPr>
            <w:tcW w:w="2204" w:type="dxa"/>
            <w:shd w:val="clear" w:color="auto" w:fill="00A0FF"/>
          </w:tcPr>
          <w:p w14:paraId="05345AA9" w14:textId="47548834" w:rsidR="00F70F7D" w:rsidRPr="00867040" w:rsidRDefault="00F70F7D" w:rsidP="00CD1C3A">
            <w:pPr>
              <w:rPr>
                <w:rFonts w:cstheme="minorHAnsi"/>
              </w:rPr>
            </w:pPr>
          </w:p>
        </w:tc>
        <w:tc>
          <w:tcPr>
            <w:tcW w:w="1127" w:type="dxa"/>
            <w:shd w:val="clear" w:color="auto" w:fill="00B0F0"/>
          </w:tcPr>
          <w:p w14:paraId="6ACC86C6" w14:textId="77777777" w:rsidR="00F70F7D" w:rsidRPr="00867040" w:rsidRDefault="00F70F7D" w:rsidP="00CD1C3A">
            <w:pPr>
              <w:rPr>
                <w:rFonts w:cstheme="minorHAnsi"/>
              </w:rPr>
            </w:pPr>
          </w:p>
        </w:tc>
      </w:tr>
      <w:tr w:rsidR="008B608C" w14:paraId="31782710" w14:textId="04432AEF" w:rsidTr="008B608C">
        <w:tc>
          <w:tcPr>
            <w:tcW w:w="522" w:type="dxa"/>
          </w:tcPr>
          <w:p w14:paraId="2A324C10" w14:textId="30C2DEC1" w:rsidR="008B608C" w:rsidRPr="00CB047A" w:rsidRDefault="008B608C" w:rsidP="008B60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209" w:type="dxa"/>
          </w:tcPr>
          <w:p w14:paraId="2E8EA5B7" w14:textId="4D3422E1" w:rsidR="008B608C" w:rsidRPr="003F2D00" w:rsidRDefault="008B608C" w:rsidP="008B60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2D00">
              <w:rPr>
                <w:rFonts w:cstheme="minorHAnsi"/>
                <w:bCs/>
              </w:rPr>
              <w:t>Uniform Europees Aanbestedingsdocument (UEA)</w:t>
            </w:r>
          </w:p>
        </w:tc>
        <w:tc>
          <w:tcPr>
            <w:tcW w:w="2204" w:type="dxa"/>
          </w:tcPr>
          <w:p w14:paraId="2B363AC0" w14:textId="77777777" w:rsidR="008B608C" w:rsidRPr="00A05C1F" w:rsidRDefault="008B608C" w:rsidP="008B608C">
            <w:pPr>
              <w:pStyle w:val="Geenafstand"/>
              <w:spacing w:line="276" w:lineRule="auto"/>
            </w:pPr>
            <w:r w:rsidRPr="4494FA20">
              <w:t xml:space="preserve">Zie paragraaf 3.4 </w:t>
            </w:r>
            <w:r>
              <w:t xml:space="preserve">van deze selectieleidraad </w:t>
            </w:r>
            <w:r w:rsidRPr="4494FA20">
              <w:t xml:space="preserve">en </w:t>
            </w:r>
          </w:p>
          <w:p w14:paraId="00FEA2B6" w14:textId="5A78B40F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  <w:r w:rsidRPr="4494FA20">
              <w:t xml:space="preserve">zie UEA module TenderNed </w:t>
            </w:r>
          </w:p>
        </w:tc>
        <w:tc>
          <w:tcPr>
            <w:tcW w:w="1127" w:type="dxa"/>
          </w:tcPr>
          <w:p w14:paraId="1FD2BDC3" w14:textId="77777777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</w:p>
        </w:tc>
      </w:tr>
      <w:tr w:rsidR="008B608C" w14:paraId="05D41DFD" w14:textId="35B28C11" w:rsidTr="008B608C">
        <w:tc>
          <w:tcPr>
            <w:tcW w:w="522" w:type="dxa"/>
          </w:tcPr>
          <w:p w14:paraId="185672F3" w14:textId="3EE8728C" w:rsidR="008B608C" w:rsidRPr="00CB047A" w:rsidRDefault="008B608C" w:rsidP="008B608C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5209" w:type="dxa"/>
          </w:tcPr>
          <w:p w14:paraId="4784A4D3" w14:textId="642AF10C" w:rsidR="008B608C" w:rsidRPr="003F2D00" w:rsidRDefault="008B608C" w:rsidP="008B608C">
            <w:pPr>
              <w:rPr>
                <w:rFonts w:cstheme="minorHAnsi"/>
                <w:bCs/>
              </w:rPr>
            </w:pPr>
            <w:r w:rsidRPr="003F2D00">
              <w:rPr>
                <w:rFonts w:cstheme="minorHAnsi"/>
                <w:bCs/>
              </w:rPr>
              <w:t>Uittreksel Handelsregister</w:t>
            </w:r>
          </w:p>
        </w:tc>
        <w:tc>
          <w:tcPr>
            <w:tcW w:w="2204" w:type="dxa"/>
          </w:tcPr>
          <w:p w14:paraId="46B4169B" w14:textId="63A09B42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  <w:r w:rsidRPr="00A05C1F">
              <w:rPr>
                <w:rFonts w:cstheme="minorHAnsi"/>
              </w:rPr>
              <w:t xml:space="preserve">Zie </w:t>
            </w:r>
            <w:r w:rsidRPr="00AA20E3">
              <w:rPr>
                <w:rFonts w:cstheme="minorHAnsi"/>
              </w:rPr>
              <w:t>paragraaf 3.2.1</w:t>
            </w:r>
            <w:r>
              <w:rPr>
                <w:rFonts w:cstheme="minorHAnsi"/>
              </w:rPr>
              <w:t xml:space="preserve"> van deze selectieleidraad</w:t>
            </w:r>
          </w:p>
        </w:tc>
        <w:tc>
          <w:tcPr>
            <w:tcW w:w="1127" w:type="dxa"/>
          </w:tcPr>
          <w:p w14:paraId="1DB4265E" w14:textId="77777777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</w:p>
        </w:tc>
      </w:tr>
      <w:tr w:rsidR="008B608C" w14:paraId="620F9F29" w14:textId="16920ADC" w:rsidTr="008B608C">
        <w:tc>
          <w:tcPr>
            <w:tcW w:w="522" w:type="dxa"/>
          </w:tcPr>
          <w:p w14:paraId="492F55E8" w14:textId="767F35EE" w:rsidR="008B608C" w:rsidRPr="00867040" w:rsidRDefault="008B608C" w:rsidP="008B60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5209" w:type="dxa"/>
          </w:tcPr>
          <w:p w14:paraId="37FF8EA2" w14:textId="5E6E34FF" w:rsidR="008B608C" w:rsidRPr="003F2D00" w:rsidRDefault="008B608C" w:rsidP="008B608C">
            <w:pPr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3F2D00">
              <w:rPr>
                <w:rFonts w:cstheme="minorHAnsi"/>
                <w:bCs/>
              </w:rPr>
              <w:t>Verklaring Russische betrokkenheid</w:t>
            </w:r>
          </w:p>
        </w:tc>
        <w:tc>
          <w:tcPr>
            <w:tcW w:w="2204" w:type="dxa"/>
          </w:tcPr>
          <w:p w14:paraId="0B799C25" w14:textId="23711DD4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  <w:r w:rsidRPr="4494FA20">
              <w:t xml:space="preserve">Zie </w:t>
            </w:r>
            <w:r w:rsidRPr="00AA20E3">
              <w:t>paragraaf 3.1.1</w:t>
            </w:r>
            <w:r>
              <w:t xml:space="preserve"> van deze selectieleidraad</w:t>
            </w:r>
          </w:p>
        </w:tc>
        <w:tc>
          <w:tcPr>
            <w:tcW w:w="1127" w:type="dxa"/>
          </w:tcPr>
          <w:p w14:paraId="7BB760CD" w14:textId="77777777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</w:p>
        </w:tc>
      </w:tr>
      <w:tr w:rsidR="008B608C" w14:paraId="429C1E60" w14:textId="5E8372FA" w:rsidTr="008B608C">
        <w:tc>
          <w:tcPr>
            <w:tcW w:w="522" w:type="dxa"/>
          </w:tcPr>
          <w:p w14:paraId="34C95606" w14:textId="31658949" w:rsidR="008B608C" w:rsidRPr="00867040" w:rsidRDefault="008B608C" w:rsidP="008B608C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5209" w:type="dxa"/>
          </w:tcPr>
          <w:p w14:paraId="2AF5F567" w14:textId="44F3FA18" w:rsidR="008B608C" w:rsidRPr="003F2D00" w:rsidRDefault="008B608C" w:rsidP="008B608C">
            <w:pPr>
              <w:rPr>
                <w:rFonts w:ascii="Calibri" w:hAnsi="Calibri" w:cs="Calibri"/>
                <w:bCs/>
                <w:highlight w:val="yellow"/>
              </w:rPr>
            </w:pPr>
            <w:r w:rsidRPr="003F2D00">
              <w:rPr>
                <w:rFonts w:cstheme="minorHAnsi"/>
                <w:bCs/>
              </w:rPr>
              <w:t>Standaardformat referenties</w:t>
            </w:r>
          </w:p>
        </w:tc>
        <w:tc>
          <w:tcPr>
            <w:tcW w:w="2204" w:type="dxa"/>
          </w:tcPr>
          <w:p w14:paraId="38D4465D" w14:textId="4592023E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  <w:r w:rsidRPr="4494FA20">
              <w:t xml:space="preserve">Zie paragraaf 3.2.3 </w:t>
            </w:r>
            <w:r>
              <w:t xml:space="preserve">van deze selectieleidraad </w:t>
            </w:r>
            <w:r w:rsidRPr="4494FA20">
              <w:t>en bijlage 2 Format referentieopdracht Perceel A</w:t>
            </w:r>
          </w:p>
        </w:tc>
        <w:tc>
          <w:tcPr>
            <w:tcW w:w="1127" w:type="dxa"/>
          </w:tcPr>
          <w:p w14:paraId="73DED76E" w14:textId="77777777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</w:p>
        </w:tc>
      </w:tr>
      <w:tr w:rsidR="008B608C" w14:paraId="2994CAA6" w14:textId="5323F681" w:rsidTr="008B608C">
        <w:tc>
          <w:tcPr>
            <w:tcW w:w="522" w:type="dxa"/>
          </w:tcPr>
          <w:p w14:paraId="6683950B" w14:textId="6F147F8D" w:rsidR="008B608C" w:rsidRPr="00867040" w:rsidRDefault="008B608C" w:rsidP="008B608C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5209" w:type="dxa"/>
          </w:tcPr>
          <w:p w14:paraId="60F9C087" w14:textId="5ECE544B" w:rsidR="008B608C" w:rsidRPr="003F2D00" w:rsidRDefault="008B608C" w:rsidP="008B608C">
            <w:pPr>
              <w:rPr>
                <w:rFonts w:ascii="Calibri" w:hAnsi="Calibri" w:cs="Calibri"/>
                <w:bCs/>
                <w:highlight w:val="yellow"/>
              </w:rPr>
            </w:pPr>
            <w:r w:rsidRPr="003F2D00">
              <w:rPr>
                <w:rFonts w:cstheme="minorHAnsi"/>
                <w:bCs/>
              </w:rPr>
              <w:t>Certificaten kwaliteitsborging</w:t>
            </w:r>
          </w:p>
        </w:tc>
        <w:tc>
          <w:tcPr>
            <w:tcW w:w="2204" w:type="dxa"/>
          </w:tcPr>
          <w:p w14:paraId="685BECB5" w14:textId="0D6CCF28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  <w:r w:rsidRPr="000F37C5">
              <w:rPr>
                <w:rFonts w:cstheme="minorHAnsi"/>
              </w:rPr>
              <w:t xml:space="preserve">Zie paragraaf </w:t>
            </w:r>
            <w:r>
              <w:rPr>
                <w:rFonts w:cstheme="minorHAnsi"/>
              </w:rPr>
              <w:t>3.2.4 van deze selectieleidraad</w:t>
            </w:r>
          </w:p>
        </w:tc>
        <w:tc>
          <w:tcPr>
            <w:tcW w:w="1127" w:type="dxa"/>
          </w:tcPr>
          <w:p w14:paraId="25B49326" w14:textId="77777777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</w:p>
        </w:tc>
      </w:tr>
      <w:tr w:rsidR="008B608C" w14:paraId="6D591E7A" w14:textId="249F8C8E" w:rsidTr="008B608C">
        <w:tc>
          <w:tcPr>
            <w:tcW w:w="522" w:type="dxa"/>
          </w:tcPr>
          <w:p w14:paraId="4C2F158D" w14:textId="1E559D2D" w:rsidR="008B608C" w:rsidRPr="00867040" w:rsidRDefault="008B608C" w:rsidP="008B608C">
            <w:pPr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5209" w:type="dxa"/>
          </w:tcPr>
          <w:p w14:paraId="455A947E" w14:textId="2C849877" w:rsidR="008B608C" w:rsidRPr="003F2D00" w:rsidRDefault="008B608C" w:rsidP="008B608C">
            <w:pPr>
              <w:rPr>
                <w:rFonts w:ascii="Calibri" w:hAnsi="Calibri" w:cs="Calibri"/>
                <w:bCs/>
                <w:highlight w:val="yellow"/>
              </w:rPr>
            </w:pPr>
            <w:r w:rsidRPr="003F2D00">
              <w:rPr>
                <w:rFonts w:cstheme="minorHAnsi"/>
                <w:bCs/>
              </w:rPr>
              <w:t>Geheimhoudingsverklaring (bijlage 6)</w:t>
            </w:r>
          </w:p>
        </w:tc>
        <w:tc>
          <w:tcPr>
            <w:tcW w:w="2204" w:type="dxa"/>
          </w:tcPr>
          <w:p w14:paraId="3EFF908C" w14:textId="2253E1B6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Zie paragraaf 2.2 van deze selectieleidraad en bijlage 6</w:t>
            </w:r>
          </w:p>
        </w:tc>
        <w:tc>
          <w:tcPr>
            <w:tcW w:w="1127" w:type="dxa"/>
          </w:tcPr>
          <w:p w14:paraId="17DFF363" w14:textId="77777777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</w:p>
        </w:tc>
      </w:tr>
      <w:tr w:rsidR="008B608C" w14:paraId="43DFE019" w14:textId="0E6F5B90" w:rsidTr="008B608C">
        <w:tc>
          <w:tcPr>
            <w:tcW w:w="522" w:type="dxa"/>
          </w:tcPr>
          <w:p w14:paraId="0EF32370" w14:textId="7F5FD416" w:rsidR="008B608C" w:rsidRPr="00867040" w:rsidRDefault="008B608C" w:rsidP="008B608C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5209" w:type="dxa"/>
          </w:tcPr>
          <w:p w14:paraId="20A32F92" w14:textId="75D9D130" w:rsidR="008B608C" w:rsidRPr="003F2D00" w:rsidRDefault="008B608C" w:rsidP="008B608C">
            <w:pPr>
              <w:rPr>
                <w:rFonts w:ascii="Calibri" w:hAnsi="Calibri" w:cs="Calibri"/>
                <w:bCs/>
                <w:highlight w:val="yellow"/>
              </w:rPr>
            </w:pPr>
            <w:r w:rsidRPr="003F2D00">
              <w:rPr>
                <w:rFonts w:ascii="Calibri" w:eastAsia="Calibri" w:hAnsi="Calibri" w:cs="Calibri"/>
                <w:bCs/>
              </w:rPr>
              <w:t>Gedragsverklaring aanbesteden</w:t>
            </w:r>
          </w:p>
        </w:tc>
        <w:tc>
          <w:tcPr>
            <w:tcW w:w="2204" w:type="dxa"/>
          </w:tcPr>
          <w:p w14:paraId="0706D518" w14:textId="77777777" w:rsidR="008B608C" w:rsidRPr="003951A5" w:rsidRDefault="008B608C" w:rsidP="008B608C">
            <w:pPr>
              <w:pStyle w:val="Geenafstand"/>
              <w:spacing w:line="276" w:lineRule="auto"/>
              <w:rPr>
                <w:rFonts w:ascii="Calibri" w:eastAsia="Calibri" w:hAnsi="Calibri" w:cs="Calibri"/>
              </w:rPr>
            </w:pPr>
            <w:r w:rsidRPr="003951A5">
              <w:rPr>
                <w:rFonts w:ascii="Calibri" w:eastAsia="Calibri" w:hAnsi="Calibri" w:cs="Calibri"/>
              </w:rPr>
              <w:t>Zie paragraaf 3.1</w:t>
            </w:r>
            <w:r>
              <w:rPr>
                <w:rFonts w:ascii="Calibri" w:eastAsia="Calibri" w:hAnsi="Calibri" w:cs="Calibri"/>
              </w:rPr>
              <w:t xml:space="preserve"> van deze selectieleidraad.</w:t>
            </w:r>
          </w:p>
          <w:p w14:paraId="2F64AA23" w14:textId="2C29A242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  <w:r w:rsidRPr="003951A5">
              <w:rPr>
                <w:rFonts w:ascii="Calibri" w:eastAsia="Calibri" w:hAnsi="Calibri" w:cs="Calibri"/>
              </w:rPr>
              <w:t xml:space="preserve">Niet ouder dan twee jaar op het moment van inschrijving. Deze is </w:t>
            </w:r>
            <w:hyperlink r:id="rId10">
              <w:r w:rsidRPr="003951A5">
                <w:rPr>
                  <w:rStyle w:val="Hyperlink"/>
                  <w:rFonts w:ascii="Calibri" w:eastAsia="Calibri" w:hAnsi="Calibri" w:cs="Calibri"/>
                </w:rPr>
                <w:t>hier</w:t>
              </w:r>
            </w:hyperlink>
            <w:r w:rsidRPr="003951A5">
              <w:rPr>
                <w:rFonts w:ascii="Calibri" w:eastAsia="Calibri" w:hAnsi="Calibri" w:cs="Calibri"/>
              </w:rPr>
              <w:t xml:space="preserve"> aan te vragen.</w:t>
            </w:r>
          </w:p>
        </w:tc>
        <w:tc>
          <w:tcPr>
            <w:tcW w:w="1127" w:type="dxa"/>
          </w:tcPr>
          <w:p w14:paraId="61185464" w14:textId="77777777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</w:p>
        </w:tc>
      </w:tr>
      <w:tr w:rsidR="008B608C" w14:paraId="6E45FFCD" w14:textId="5668B721" w:rsidTr="008B608C">
        <w:tc>
          <w:tcPr>
            <w:tcW w:w="522" w:type="dxa"/>
          </w:tcPr>
          <w:p w14:paraId="7EA501AF" w14:textId="4900C039" w:rsidR="008B608C" w:rsidRPr="00867040" w:rsidRDefault="008B608C" w:rsidP="008B608C">
            <w:pPr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5209" w:type="dxa"/>
          </w:tcPr>
          <w:p w14:paraId="403B14F9" w14:textId="77777777" w:rsidR="008B608C" w:rsidRPr="003F2D00" w:rsidRDefault="008B608C" w:rsidP="008B608C">
            <w:pPr>
              <w:pStyle w:val="Geenafstand"/>
              <w:spacing w:line="276" w:lineRule="auto"/>
              <w:rPr>
                <w:rFonts w:ascii="Calibri" w:eastAsia="Calibri" w:hAnsi="Calibri" w:cs="Calibri"/>
                <w:bCs/>
              </w:rPr>
            </w:pPr>
            <w:r w:rsidRPr="003F2D00">
              <w:rPr>
                <w:rFonts w:ascii="Calibri" w:eastAsia="Calibri" w:hAnsi="Calibri" w:cs="Calibri"/>
                <w:bCs/>
              </w:rPr>
              <w:t>Verklaring van de belastingdienst</w:t>
            </w:r>
          </w:p>
          <w:p w14:paraId="1B3E9847" w14:textId="35A07C15" w:rsidR="008B608C" w:rsidRPr="003F2D00" w:rsidRDefault="008B608C" w:rsidP="008B608C">
            <w:pPr>
              <w:rPr>
                <w:rFonts w:ascii="Calibri" w:hAnsi="Calibri" w:cs="Calibri"/>
                <w:bCs/>
                <w:highlight w:val="yellow"/>
              </w:rPr>
            </w:pPr>
            <w:r w:rsidRPr="003F2D00">
              <w:rPr>
                <w:rFonts w:ascii="Calibri" w:eastAsia="Calibri" w:hAnsi="Calibri" w:cs="Calibri"/>
                <w:bCs/>
              </w:rPr>
              <w:t>(Verklaring betalingsgedrag nakoming fiscale verplichtingen)</w:t>
            </w:r>
          </w:p>
        </w:tc>
        <w:tc>
          <w:tcPr>
            <w:tcW w:w="2204" w:type="dxa"/>
          </w:tcPr>
          <w:p w14:paraId="54427BB7" w14:textId="77777777" w:rsidR="008B608C" w:rsidRPr="003951A5" w:rsidRDefault="008B608C" w:rsidP="008B608C">
            <w:pPr>
              <w:pStyle w:val="Geenafstand"/>
              <w:spacing w:line="276" w:lineRule="auto"/>
              <w:rPr>
                <w:rFonts w:ascii="Calibri" w:eastAsia="Calibri" w:hAnsi="Calibri" w:cs="Calibri"/>
              </w:rPr>
            </w:pPr>
            <w:r w:rsidRPr="003951A5">
              <w:rPr>
                <w:rFonts w:ascii="Calibri" w:eastAsia="Calibri" w:hAnsi="Calibri" w:cs="Calibri"/>
              </w:rPr>
              <w:t>Zie paragraaf 3.1</w:t>
            </w:r>
            <w:r>
              <w:rPr>
                <w:rFonts w:ascii="Calibri" w:eastAsia="Calibri" w:hAnsi="Calibri" w:cs="Calibri"/>
              </w:rPr>
              <w:t xml:space="preserve"> van deze selectieleidraad.</w:t>
            </w:r>
          </w:p>
          <w:p w14:paraId="4B649F74" w14:textId="15910F19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  <w:r w:rsidRPr="003951A5">
              <w:rPr>
                <w:rFonts w:ascii="Calibri" w:eastAsia="Calibri" w:hAnsi="Calibri" w:cs="Calibri"/>
              </w:rPr>
              <w:t xml:space="preserve">Niet ouder dan zes maanden op het moment van inschrijving. Deze is </w:t>
            </w:r>
            <w:hyperlink r:id="rId11">
              <w:r w:rsidRPr="003951A5">
                <w:rPr>
                  <w:rStyle w:val="Hyperlink"/>
                  <w:rFonts w:ascii="Calibri" w:eastAsia="Calibri" w:hAnsi="Calibri" w:cs="Calibri"/>
                </w:rPr>
                <w:t>hier</w:t>
              </w:r>
            </w:hyperlink>
            <w:r w:rsidRPr="003951A5">
              <w:rPr>
                <w:rFonts w:ascii="Calibri" w:eastAsia="Calibri" w:hAnsi="Calibri" w:cs="Calibri"/>
              </w:rPr>
              <w:t xml:space="preserve"> aan te vragen.</w:t>
            </w:r>
          </w:p>
        </w:tc>
        <w:tc>
          <w:tcPr>
            <w:tcW w:w="1127" w:type="dxa"/>
          </w:tcPr>
          <w:p w14:paraId="0A4663C1" w14:textId="77777777" w:rsidR="008B608C" w:rsidRPr="00867040" w:rsidRDefault="008B608C" w:rsidP="008B608C">
            <w:pPr>
              <w:rPr>
                <w:rFonts w:cstheme="minorHAnsi"/>
                <w:highlight w:val="yellow"/>
              </w:rPr>
            </w:pPr>
          </w:p>
        </w:tc>
      </w:tr>
      <w:tr w:rsidR="008B608C" w14:paraId="5DA46433" w14:textId="3AAF2C02" w:rsidTr="008B608C">
        <w:tc>
          <w:tcPr>
            <w:tcW w:w="522" w:type="dxa"/>
          </w:tcPr>
          <w:p w14:paraId="697F5286" w14:textId="3FDEEBF8" w:rsidR="008B608C" w:rsidRPr="00031CCA" w:rsidRDefault="008B608C" w:rsidP="008B60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5209" w:type="dxa"/>
          </w:tcPr>
          <w:p w14:paraId="548DC3FB" w14:textId="68C5137C" w:rsidR="008B608C" w:rsidRPr="003F2D00" w:rsidRDefault="008B608C" w:rsidP="008B60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2D00">
              <w:rPr>
                <w:rFonts w:ascii="Calibri" w:eastAsia="Calibri" w:hAnsi="Calibri" w:cs="Calibri"/>
                <w:bCs/>
              </w:rPr>
              <w:t>Bewijs beroeps- en bedrijfsaansprakelijkheidsverzekering</w:t>
            </w:r>
          </w:p>
        </w:tc>
        <w:tc>
          <w:tcPr>
            <w:tcW w:w="2204" w:type="dxa"/>
          </w:tcPr>
          <w:p w14:paraId="6CA8FC08" w14:textId="78FCEFF8" w:rsidR="008B608C" w:rsidRDefault="008B608C" w:rsidP="008B608C">
            <w:pPr>
              <w:rPr>
                <w:rFonts w:cstheme="minorHAnsi"/>
              </w:rPr>
            </w:pPr>
            <w:r w:rsidRPr="003951A5">
              <w:rPr>
                <w:rFonts w:ascii="Calibri" w:eastAsia="Calibri" w:hAnsi="Calibri" w:cs="Calibri"/>
              </w:rPr>
              <w:t>Zie paragraaf 3.2.2</w:t>
            </w:r>
            <w:r>
              <w:rPr>
                <w:rFonts w:ascii="Calibri" w:eastAsia="Calibri" w:hAnsi="Calibri" w:cs="Calibri"/>
              </w:rPr>
              <w:t xml:space="preserve"> van deze selectieleidraad.</w:t>
            </w:r>
          </w:p>
        </w:tc>
        <w:tc>
          <w:tcPr>
            <w:tcW w:w="1127" w:type="dxa"/>
          </w:tcPr>
          <w:p w14:paraId="6D382A35" w14:textId="77777777" w:rsidR="008B608C" w:rsidRDefault="008B608C" w:rsidP="008B608C">
            <w:pPr>
              <w:rPr>
                <w:rFonts w:cstheme="minorHAnsi"/>
              </w:rPr>
            </w:pPr>
          </w:p>
        </w:tc>
      </w:tr>
    </w:tbl>
    <w:p w14:paraId="1FB15284" w14:textId="5D2BDD35" w:rsidR="00BE5045" w:rsidRDefault="00BE5045"/>
    <w:p w14:paraId="15408A71" w14:textId="77777777" w:rsidR="00AD0F5C" w:rsidRDefault="00AD0F5C">
      <w:pPr>
        <w:spacing w:after="160" w:line="259" w:lineRule="auto"/>
        <w:jc w:val="left"/>
      </w:pPr>
      <w:r>
        <w:br w:type="page"/>
      </w:r>
    </w:p>
    <w:p w14:paraId="7119099D" w14:textId="77777777" w:rsidR="00AD0F5C" w:rsidRPr="00AD0F5C" w:rsidRDefault="00AD0F5C">
      <w:pPr>
        <w:rPr>
          <w:b/>
          <w:bCs/>
        </w:rPr>
      </w:pPr>
      <w:r w:rsidRPr="00AD0F5C">
        <w:rPr>
          <w:b/>
          <w:bCs/>
        </w:rPr>
        <w:lastRenderedPageBreak/>
        <w:t>Beroep op een ander</w:t>
      </w:r>
    </w:p>
    <w:p w14:paraId="16675321" w14:textId="690B49BF" w:rsidR="003410D1" w:rsidRDefault="008B608C">
      <w:r>
        <w:t xml:space="preserve">Wanneer een aanmelder een beroep doet op een derde staat in hoofdstuk 3 van de selectieleidraad </w:t>
      </w:r>
      <w:r w:rsidR="00DD665E" w:rsidRPr="00DD665E">
        <w:t>welke bewijsmiddelen ten aanzien van de uitsluitingsgronden en de geschiktheidseisen moeten worden ingediend door derden in geval een beroep wordt gedaan op een derde of wanneer als combinatie wordt ingeschreven.</w:t>
      </w:r>
      <w:r w:rsidR="00DD665E">
        <w:t xml:space="preserve"> </w:t>
      </w:r>
    </w:p>
    <w:p w14:paraId="7EE97E88" w14:textId="77777777" w:rsidR="00B90CC9" w:rsidRDefault="00B90CC9"/>
    <w:p w14:paraId="7426DBDD" w14:textId="77777777" w:rsidR="00B90CC9" w:rsidRDefault="00B90CC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"/>
        <w:gridCol w:w="5209"/>
        <w:gridCol w:w="2204"/>
        <w:gridCol w:w="1127"/>
      </w:tblGrid>
      <w:tr w:rsidR="001C59C9" w14:paraId="2AB533C1" w14:textId="77777777" w:rsidTr="00D20E88">
        <w:tc>
          <w:tcPr>
            <w:tcW w:w="522" w:type="dxa"/>
            <w:shd w:val="clear" w:color="auto" w:fill="013577"/>
          </w:tcPr>
          <w:p w14:paraId="2E5BD7A3" w14:textId="77777777" w:rsidR="001C59C9" w:rsidRPr="00A85546" w:rsidRDefault="001C59C9" w:rsidP="0010731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209" w:type="dxa"/>
            <w:shd w:val="clear" w:color="auto" w:fill="013577"/>
          </w:tcPr>
          <w:p w14:paraId="146C43B6" w14:textId="77777777" w:rsidR="001C59C9" w:rsidRPr="00A85546" w:rsidRDefault="001C59C9" w:rsidP="001073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5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 te dienen documenten</w:t>
            </w:r>
          </w:p>
        </w:tc>
        <w:tc>
          <w:tcPr>
            <w:tcW w:w="2204" w:type="dxa"/>
            <w:shd w:val="clear" w:color="auto" w:fill="013577"/>
          </w:tcPr>
          <w:p w14:paraId="186E5923" w14:textId="77777777" w:rsidR="001C59C9" w:rsidRPr="009E684B" w:rsidRDefault="001C59C9" w:rsidP="0010731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Hoe</w:t>
            </w:r>
          </w:p>
        </w:tc>
        <w:tc>
          <w:tcPr>
            <w:tcW w:w="1127" w:type="dxa"/>
            <w:shd w:val="clear" w:color="auto" w:fill="002060"/>
          </w:tcPr>
          <w:p w14:paraId="5C5E5A25" w14:textId="77777777" w:rsidR="001C59C9" w:rsidRDefault="001C59C9" w:rsidP="0010731F">
            <w:pPr>
              <w:rPr>
                <w:rFonts w:cstheme="minorHAnsi"/>
                <w:b/>
                <w:bCs/>
              </w:rPr>
            </w:pPr>
            <w:r w:rsidRPr="004C02B9">
              <w:rPr>
                <w:rFonts w:cstheme="minorHAnsi"/>
                <w:b/>
                <w:bCs/>
                <w:color w:val="FFFFFF" w:themeColor="background1"/>
              </w:rPr>
              <w:t>C</w:t>
            </w:r>
            <w:r>
              <w:rPr>
                <w:rFonts w:cstheme="minorHAnsi"/>
                <w:b/>
                <w:bCs/>
                <w:color w:val="FFFFFF" w:themeColor="background1"/>
              </w:rPr>
              <w:t>h</w:t>
            </w:r>
            <w:r w:rsidRPr="004C02B9">
              <w:rPr>
                <w:rFonts w:cstheme="minorHAnsi"/>
                <w:b/>
                <w:bCs/>
                <w:color w:val="FFFFFF" w:themeColor="background1"/>
              </w:rPr>
              <w:t>eck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 door aanmelder</w:t>
            </w:r>
          </w:p>
        </w:tc>
      </w:tr>
      <w:tr w:rsidR="001C59C9" w:rsidRPr="00867040" w14:paraId="76D6B31B" w14:textId="77777777" w:rsidTr="0010731F">
        <w:tc>
          <w:tcPr>
            <w:tcW w:w="522" w:type="dxa"/>
            <w:shd w:val="clear" w:color="auto" w:fill="00A0FF"/>
          </w:tcPr>
          <w:p w14:paraId="048F45B0" w14:textId="77777777" w:rsidR="001C59C9" w:rsidRPr="00867040" w:rsidRDefault="001C59C9" w:rsidP="001073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09" w:type="dxa"/>
            <w:shd w:val="clear" w:color="auto" w:fill="00A0FF"/>
          </w:tcPr>
          <w:p w14:paraId="07712ADC" w14:textId="77777777" w:rsidR="001C59C9" w:rsidRPr="00136758" w:rsidRDefault="001C59C9" w:rsidP="001073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Welk document</w:t>
            </w:r>
          </w:p>
        </w:tc>
        <w:tc>
          <w:tcPr>
            <w:tcW w:w="2204" w:type="dxa"/>
            <w:shd w:val="clear" w:color="auto" w:fill="00A0FF"/>
          </w:tcPr>
          <w:p w14:paraId="1B85FD0F" w14:textId="77777777" w:rsidR="001C59C9" w:rsidRPr="00867040" w:rsidRDefault="001C59C9" w:rsidP="0010731F">
            <w:pPr>
              <w:rPr>
                <w:rFonts w:cstheme="minorHAnsi"/>
              </w:rPr>
            </w:pPr>
          </w:p>
        </w:tc>
        <w:tc>
          <w:tcPr>
            <w:tcW w:w="1127" w:type="dxa"/>
            <w:shd w:val="clear" w:color="auto" w:fill="00B0F0"/>
          </w:tcPr>
          <w:p w14:paraId="7E49F8B2" w14:textId="77777777" w:rsidR="001C59C9" w:rsidRPr="00867040" w:rsidRDefault="001C59C9" w:rsidP="0010731F">
            <w:pPr>
              <w:rPr>
                <w:rFonts w:cstheme="minorHAnsi"/>
              </w:rPr>
            </w:pPr>
          </w:p>
        </w:tc>
      </w:tr>
      <w:tr w:rsidR="001C59C9" w:rsidRPr="00867040" w14:paraId="1B50FA60" w14:textId="77777777" w:rsidTr="0010731F">
        <w:tc>
          <w:tcPr>
            <w:tcW w:w="522" w:type="dxa"/>
          </w:tcPr>
          <w:p w14:paraId="25A2091F" w14:textId="77777777" w:rsidR="001C59C9" w:rsidRPr="00CB047A" w:rsidRDefault="001C59C9" w:rsidP="001C59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209" w:type="dxa"/>
          </w:tcPr>
          <w:p w14:paraId="5444BCE8" w14:textId="3EC10777" w:rsidR="001C59C9" w:rsidRPr="003F2D00" w:rsidRDefault="001C59C9" w:rsidP="001C59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7F5B">
              <w:rPr>
                <w:rFonts w:eastAsiaTheme="minorEastAsia" w:cstheme="minorHAnsi"/>
                <w:b/>
              </w:rPr>
              <w:t>Uniform Europees Aanbestedingsdocument (UEA) van de ander (derde)</w:t>
            </w:r>
          </w:p>
        </w:tc>
        <w:tc>
          <w:tcPr>
            <w:tcW w:w="2204" w:type="dxa"/>
          </w:tcPr>
          <w:p w14:paraId="0E48446A" w14:textId="77777777" w:rsidR="001C59C9" w:rsidRPr="00C77F5B" w:rsidRDefault="001C59C9" w:rsidP="001C59C9">
            <w:pPr>
              <w:spacing w:line="276" w:lineRule="auto"/>
              <w:jc w:val="left"/>
              <w:rPr>
                <w:rFonts w:eastAsiaTheme="minorEastAsia" w:cstheme="minorHAnsi"/>
              </w:rPr>
            </w:pPr>
            <w:r w:rsidRPr="00C77F5B">
              <w:rPr>
                <w:rFonts w:eastAsiaTheme="minorEastAsia" w:cstheme="minorHAnsi"/>
              </w:rPr>
              <w:t>Zie paragraaf 3.3 van deze selectieleidraad.</w:t>
            </w:r>
          </w:p>
          <w:p w14:paraId="0575445E" w14:textId="77777777" w:rsidR="001C59C9" w:rsidRPr="00C77F5B" w:rsidRDefault="001C59C9" w:rsidP="001C59C9">
            <w:pPr>
              <w:spacing w:line="276" w:lineRule="auto"/>
              <w:jc w:val="left"/>
              <w:rPr>
                <w:rFonts w:eastAsiaTheme="minorEastAsia" w:cstheme="minorHAnsi"/>
              </w:rPr>
            </w:pPr>
            <w:r w:rsidRPr="00C77F5B">
              <w:rPr>
                <w:rFonts w:eastAsiaTheme="minorEastAsia" w:cstheme="minorHAnsi"/>
              </w:rPr>
              <w:t>ad b beroep op draagkracht derde(n)</w:t>
            </w:r>
          </w:p>
          <w:p w14:paraId="7ECC83EA" w14:textId="77777777" w:rsidR="001C59C9" w:rsidRPr="00C77F5B" w:rsidRDefault="001C59C9" w:rsidP="001C59C9">
            <w:pPr>
              <w:spacing w:line="276" w:lineRule="auto"/>
              <w:jc w:val="left"/>
              <w:rPr>
                <w:rFonts w:eastAsiaTheme="minorEastAsia" w:cstheme="minorHAnsi"/>
              </w:rPr>
            </w:pPr>
            <w:r w:rsidRPr="00C77F5B">
              <w:rPr>
                <w:rFonts w:eastAsiaTheme="minorEastAsia" w:cstheme="minorHAnsi"/>
              </w:rPr>
              <w:t xml:space="preserve">ad d </w:t>
            </w:r>
            <w:proofErr w:type="spellStart"/>
            <w:r w:rsidRPr="00C77F5B">
              <w:rPr>
                <w:rFonts w:eastAsiaTheme="minorEastAsia" w:cstheme="minorHAnsi"/>
              </w:rPr>
              <w:t>combinanten</w:t>
            </w:r>
            <w:proofErr w:type="spellEnd"/>
          </w:p>
          <w:p w14:paraId="06EDA9F0" w14:textId="77777777" w:rsidR="001C59C9" w:rsidRPr="00C77F5B" w:rsidRDefault="001C59C9" w:rsidP="001C59C9">
            <w:pPr>
              <w:spacing w:line="276" w:lineRule="auto"/>
              <w:jc w:val="left"/>
              <w:rPr>
                <w:rFonts w:eastAsiaTheme="minorEastAsia" w:cstheme="minorHAnsi"/>
              </w:rPr>
            </w:pPr>
          </w:p>
          <w:p w14:paraId="3B9801C9" w14:textId="669D0E76" w:rsidR="001C59C9" w:rsidRPr="00867040" w:rsidRDefault="001C59C9" w:rsidP="001C59C9">
            <w:pPr>
              <w:rPr>
                <w:rFonts w:cstheme="minorHAnsi"/>
                <w:highlight w:val="yellow"/>
              </w:rPr>
            </w:pPr>
            <w:r w:rsidRPr="00C77F5B">
              <w:rPr>
                <w:rFonts w:eastAsiaTheme="minorEastAsia"/>
              </w:rPr>
              <w:t>en zie UEA module TenderNed</w:t>
            </w:r>
          </w:p>
        </w:tc>
        <w:tc>
          <w:tcPr>
            <w:tcW w:w="1127" w:type="dxa"/>
          </w:tcPr>
          <w:p w14:paraId="51894CB7" w14:textId="77777777" w:rsidR="001C59C9" w:rsidRPr="00867040" w:rsidRDefault="001C59C9" w:rsidP="001C59C9">
            <w:pPr>
              <w:rPr>
                <w:rFonts w:cstheme="minorHAnsi"/>
                <w:highlight w:val="yellow"/>
              </w:rPr>
            </w:pPr>
          </w:p>
        </w:tc>
      </w:tr>
      <w:tr w:rsidR="001C59C9" w:rsidRPr="00867040" w14:paraId="7B6797E2" w14:textId="77777777" w:rsidTr="0010731F">
        <w:tc>
          <w:tcPr>
            <w:tcW w:w="522" w:type="dxa"/>
          </w:tcPr>
          <w:p w14:paraId="0CA1EBF3" w14:textId="77777777" w:rsidR="001C59C9" w:rsidRPr="00CB047A" w:rsidRDefault="001C59C9" w:rsidP="001C59C9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5209" w:type="dxa"/>
          </w:tcPr>
          <w:p w14:paraId="3AE59029" w14:textId="3240C080" w:rsidR="001C59C9" w:rsidRPr="003F2D00" w:rsidRDefault="001C59C9" w:rsidP="001C59C9">
            <w:pPr>
              <w:rPr>
                <w:rFonts w:cstheme="minorHAnsi"/>
                <w:bCs/>
              </w:rPr>
            </w:pPr>
            <w:r w:rsidRPr="00C77F5B">
              <w:rPr>
                <w:rFonts w:eastAsiaTheme="minorEastAsia" w:cstheme="minorHAnsi"/>
                <w:b/>
              </w:rPr>
              <w:t>Uittreksel Handelsregister van de derde</w:t>
            </w:r>
          </w:p>
        </w:tc>
        <w:tc>
          <w:tcPr>
            <w:tcW w:w="2204" w:type="dxa"/>
          </w:tcPr>
          <w:p w14:paraId="13D8484B" w14:textId="7925BD19" w:rsidR="001C59C9" w:rsidRPr="00867040" w:rsidRDefault="001C59C9" w:rsidP="001C59C9">
            <w:pPr>
              <w:rPr>
                <w:rFonts w:cstheme="minorHAnsi"/>
                <w:highlight w:val="yellow"/>
              </w:rPr>
            </w:pPr>
            <w:r w:rsidRPr="00C77F5B">
              <w:rPr>
                <w:rFonts w:eastAsiaTheme="minorEastAsia" w:cstheme="minorHAnsi"/>
              </w:rPr>
              <w:t>Zie paragraaf 3.3 van deze selectieleidraad.</w:t>
            </w:r>
          </w:p>
        </w:tc>
        <w:tc>
          <w:tcPr>
            <w:tcW w:w="1127" w:type="dxa"/>
          </w:tcPr>
          <w:p w14:paraId="6B5A1F17" w14:textId="77777777" w:rsidR="001C59C9" w:rsidRPr="00867040" w:rsidRDefault="001C59C9" w:rsidP="001C59C9">
            <w:pPr>
              <w:rPr>
                <w:rFonts w:cstheme="minorHAnsi"/>
                <w:highlight w:val="yellow"/>
              </w:rPr>
            </w:pPr>
          </w:p>
        </w:tc>
      </w:tr>
    </w:tbl>
    <w:p w14:paraId="377F6BEB" w14:textId="77777777" w:rsidR="001C59C9" w:rsidRDefault="001C59C9"/>
    <w:p w14:paraId="290509B2" w14:textId="6F116010" w:rsidR="003410D1" w:rsidRDefault="003410D1" w:rsidP="003410D1"/>
    <w:p w14:paraId="16490E42" w14:textId="77777777" w:rsidR="0043040D" w:rsidRDefault="0043040D" w:rsidP="003410D1"/>
    <w:p w14:paraId="1C77D730" w14:textId="77777777" w:rsidR="0053376F" w:rsidRDefault="0053376F" w:rsidP="00095B6A"/>
    <w:sectPr w:rsidR="0053376F" w:rsidSect="0043040D">
      <w:headerReference w:type="default" r:id="rId12"/>
      <w:pgSz w:w="11906" w:h="16838"/>
      <w:pgMar w:top="1417" w:right="1417" w:bottom="1417" w:left="1417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F2F5" w14:textId="77777777" w:rsidR="007520F2" w:rsidRDefault="007520F2" w:rsidP="003410D1">
      <w:r>
        <w:separator/>
      </w:r>
    </w:p>
  </w:endnote>
  <w:endnote w:type="continuationSeparator" w:id="0">
    <w:p w14:paraId="4661A780" w14:textId="77777777" w:rsidR="007520F2" w:rsidRDefault="007520F2" w:rsidP="0034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D97B" w14:textId="77777777" w:rsidR="007520F2" w:rsidRDefault="007520F2" w:rsidP="003410D1">
      <w:r>
        <w:separator/>
      </w:r>
    </w:p>
  </w:footnote>
  <w:footnote w:type="continuationSeparator" w:id="0">
    <w:p w14:paraId="25638A32" w14:textId="77777777" w:rsidR="007520F2" w:rsidRDefault="007520F2" w:rsidP="00341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556F" w14:textId="492317F5" w:rsidR="0043040D" w:rsidRDefault="0043040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25AFF8C" wp14:editId="22E4AD8F">
          <wp:simplePos x="0" y="0"/>
          <wp:positionH relativeFrom="page">
            <wp:align>left</wp:align>
          </wp:positionH>
          <wp:positionV relativeFrom="paragraph">
            <wp:posOffset>-1219835</wp:posOffset>
          </wp:positionV>
          <wp:extent cx="7658306" cy="1333786"/>
          <wp:effectExtent l="0" t="0" r="0" b="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78"/>
                  <a:stretch/>
                </pic:blipFill>
                <pic:spPr bwMode="auto">
                  <a:xfrm>
                    <a:off x="0" y="0"/>
                    <a:ext cx="7658306" cy="1333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09AA"/>
    <w:multiLevelType w:val="hybridMultilevel"/>
    <w:tmpl w:val="2D8CACBC"/>
    <w:lvl w:ilvl="0" w:tplc="A56EF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50DB7"/>
    <w:multiLevelType w:val="hybridMultilevel"/>
    <w:tmpl w:val="489E5110"/>
    <w:lvl w:ilvl="0" w:tplc="BF4679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80005">
    <w:abstractNumId w:val="0"/>
  </w:num>
  <w:num w:numId="2" w16cid:durableId="1739593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45"/>
    <w:rsid w:val="00095B6A"/>
    <w:rsid w:val="00136758"/>
    <w:rsid w:val="001C59C9"/>
    <w:rsid w:val="001E467D"/>
    <w:rsid w:val="00246547"/>
    <w:rsid w:val="00280E90"/>
    <w:rsid w:val="002B4A23"/>
    <w:rsid w:val="00330D1B"/>
    <w:rsid w:val="003410D1"/>
    <w:rsid w:val="00375369"/>
    <w:rsid w:val="003D29DB"/>
    <w:rsid w:val="003D6BE9"/>
    <w:rsid w:val="003F2D00"/>
    <w:rsid w:val="0043040D"/>
    <w:rsid w:val="00437D8D"/>
    <w:rsid w:val="004C02B9"/>
    <w:rsid w:val="00526C3F"/>
    <w:rsid w:val="0053376F"/>
    <w:rsid w:val="005C4B1F"/>
    <w:rsid w:val="005C4B96"/>
    <w:rsid w:val="007520F2"/>
    <w:rsid w:val="007A66C8"/>
    <w:rsid w:val="007B0651"/>
    <w:rsid w:val="00867040"/>
    <w:rsid w:val="008B608C"/>
    <w:rsid w:val="009239A4"/>
    <w:rsid w:val="00933612"/>
    <w:rsid w:val="00995E6A"/>
    <w:rsid w:val="009E684B"/>
    <w:rsid w:val="00A82AFC"/>
    <w:rsid w:val="00A85546"/>
    <w:rsid w:val="00AC0BE9"/>
    <w:rsid w:val="00AD0F5C"/>
    <w:rsid w:val="00B63BE9"/>
    <w:rsid w:val="00B90CC9"/>
    <w:rsid w:val="00BC64D2"/>
    <w:rsid w:val="00BE5045"/>
    <w:rsid w:val="00C77F5B"/>
    <w:rsid w:val="00C84F4E"/>
    <w:rsid w:val="00D20E88"/>
    <w:rsid w:val="00D74D7A"/>
    <w:rsid w:val="00DD665E"/>
    <w:rsid w:val="00F7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13F7"/>
  <w15:chartTrackingRefBased/>
  <w15:docId w15:val="{F00BE864-FB50-402F-A279-10706F4A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5045"/>
    <w:pPr>
      <w:spacing w:after="0" w:line="240" w:lineRule="auto"/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BE50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E5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BE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867040"/>
    <w:pPr>
      <w:ind w:left="720"/>
      <w:contextualSpacing/>
    </w:pPr>
  </w:style>
  <w:style w:type="character" w:customStyle="1" w:styleId="fontstyle01">
    <w:name w:val="fontstyle01"/>
    <w:basedOn w:val="Standaardalinea-lettertype"/>
    <w:rsid w:val="0053376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43040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040D"/>
  </w:style>
  <w:style w:type="paragraph" w:styleId="Voettekst">
    <w:name w:val="footer"/>
    <w:basedOn w:val="Standaard"/>
    <w:link w:val="VoettekstChar"/>
    <w:uiPriority w:val="99"/>
    <w:unhideWhenUsed/>
    <w:rsid w:val="0043040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040D"/>
  </w:style>
  <w:style w:type="paragraph" w:styleId="Geenafstand">
    <w:name w:val="No Spacing"/>
    <w:uiPriority w:val="1"/>
    <w:qFormat/>
    <w:rsid w:val="003F2D00"/>
    <w:pPr>
      <w:spacing w:after="0" w:line="240" w:lineRule="auto"/>
    </w:pPr>
    <w:rPr>
      <w:rFonts w:eastAsiaTheme="minorEastAsia"/>
      <w:lang w:eastAsia="nl-NL"/>
    </w:rPr>
  </w:style>
  <w:style w:type="character" w:styleId="Hyperlink">
    <w:name w:val="Hyperlink"/>
    <w:basedOn w:val="Standaardalinea-lettertype"/>
    <w:uiPriority w:val="99"/>
    <w:unhideWhenUsed/>
    <w:rsid w:val="008B608C"/>
    <w:rPr>
      <w:color w:val="0563C1" w:themeColor="hyperlink"/>
      <w:u w:val="single"/>
    </w:rPr>
  </w:style>
  <w:style w:type="table" w:customStyle="1" w:styleId="Tabelraster1">
    <w:name w:val="Tabelraster1"/>
    <w:basedOn w:val="Standaardtabel"/>
    <w:next w:val="Tabelraster"/>
    <w:uiPriority w:val="59"/>
    <w:rsid w:val="00C77F5B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elastingdienst.nl/wps/wcm/connect/bldcontentnl/themaoverstijgend/programmas_en_formulieren/verklaring_betalingsgedrag_nakoming_fiscale_verplichtingen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justis.nl/producten/gva/gva-aanvragen/index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C6D033775BC4789ECB83A31753AC2" ma:contentTypeVersion="4" ma:contentTypeDescription="Create a new document." ma:contentTypeScope="" ma:versionID="aad8ebab24a48b8764328437966c86b6">
  <xsd:schema xmlns:xsd="http://www.w3.org/2001/XMLSchema" xmlns:xs="http://www.w3.org/2001/XMLSchema" xmlns:p="http://schemas.microsoft.com/office/2006/metadata/properties" xmlns:ns2="d08311a4-14c5-47f6-93de-6b7f4e8c1eb9" targetNamespace="http://schemas.microsoft.com/office/2006/metadata/properties" ma:root="true" ma:fieldsID="e23418b76fb26fa9f8895bd07af7a178" ns2:_="">
    <xsd:import namespace="d08311a4-14c5-47f6-93de-6b7f4e8c1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311a4-14c5-47f6-93de-6b7f4e8c1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DEB48-8EFC-4BB5-8C16-B2397AB5FD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073458-D2FC-428D-94AD-AED891BEB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B5E32-A7D5-4698-8B70-7897AEC607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Tjaberings</dc:creator>
  <cp:keywords/>
  <dc:description/>
  <cp:lastModifiedBy>Liesbeth Staal</cp:lastModifiedBy>
  <cp:revision>27</cp:revision>
  <dcterms:created xsi:type="dcterms:W3CDTF">2022-06-15T06:40:00Z</dcterms:created>
  <dcterms:modified xsi:type="dcterms:W3CDTF">2026-02-04T12:23:00Z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0x0101008C7C6D033775BC4789ECB83A31753AC2</vt:lpwstr>
  </property>
</Properties>
</file>