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0F216" w14:textId="62DFC9C3" w:rsidR="00CF7E9B" w:rsidRPr="00B9508D" w:rsidRDefault="00CF7E9B" w:rsidP="00CF7E9B">
      <w:pPr>
        <w:pStyle w:val="Kop1zondernummer"/>
      </w:pPr>
      <w:bookmarkStart w:id="0" w:name="_Toc60922963"/>
      <w:bookmarkStart w:id="1" w:name="_Toc61611153"/>
      <w:bookmarkStart w:id="2" w:name="_Toc220510752"/>
      <w:bookmarkStart w:id="3" w:name="_Toc1991688"/>
      <w:r>
        <w:t xml:space="preserve">Bijlage </w:t>
      </w:r>
      <w:r w:rsidR="003A1A0B">
        <w:t>7</w:t>
      </w:r>
      <w:r w:rsidRPr="003D4CEB">
        <w:t xml:space="preserve">: </w:t>
      </w:r>
      <w:r>
        <w:t>F</w:t>
      </w:r>
      <w:r w:rsidRPr="00B9508D">
        <w:t>inanciële bedrijfsbeoordelingen ontwerpende partijen</w:t>
      </w:r>
      <w:bookmarkEnd w:id="0"/>
      <w:bookmarkEnd w:id="1"/>
      <w:bookmarkEnd w:id="2"/>
    </w:p>
    <w:bookmarkEnd w:id="3"/>
    <w:p w14:paraId="7CA40351" w14:textId="77777777" w:rsidR="00CF7E9B" w:rsidRDefault="00CF7E9B" w:rsidP="00CF7E9B">
      <w:pPr>
        <w:pBdr>
          <w:top w:val="single" w:sz="4" w:space="1" w:color="auto"/>
          <w:left w:val="single" w:sz="4" w:space="4" w:color="auto"/>
          <w:bottom w:val="single" w:sz="4" w:space="1" w:color="auto"/>
          <w:right w:val="single" w:sz="4" w:space="4" w:color="auto"/>
        </w:pBdr>
        <w:rPr>
          <w:b/>
        </w:rPr>
      </w:pPr>
      <w:r>
        <w:t>Onderstaande tabel ingevuld indienen bij voorlopige selectie</w:t>
      </w:r>
    </w:p>
    <w:p w14:paraId="3B2025A6" w14:textId="77777777" w:rsidR="00CF7E9B" w:rsidRDefault="00CF7E9B" w:rsidP="00CF7E9B">
      <w:pPr>
        <w:pBdr>
          <w:top w:val="single" w:sz="4" w:space="1" w:color="auto"/>
          <w:left w:val="single" w:sz="4" w:space="4" w:color="auto"/>
          <w:bottom w:val="single" w:sz="4" w:space="1" w:color="auto"/>
          <w:right w:val="single" w:sz="4" w:space="4" w:color="auto"/>
        </w:pBdr>
        <w:rPr>
          <w:b/>
        </w:rPr>
      </w:pPr>
    </w:p>
    <w:p w14:paraId="5B512872" w14:textId="77777777" w:rsidR="00CF7E9B" w:rsidRPr="00292653" w:rsidRDefault="00CF7E9B" w:rsidP="00CF7E9B">
      <w:pPr>
        <w:pBdr>
          <w:top w:val="single" w:sz="4" w:space="1" w:color="auto"/>
          <w:left w:val="single" w:sz="4" w:space="4" w:color="auto"/>
          <w:bottom w:val="single" w:sz="4" w:space="1" w:color="auto"/>
          <w:right w:val="single" w:sz="4" w:space="4" w:color="auto"/>
        </w:pBdr>
      </w:pPr>
      <w:r w:rsidRPr="00292653">
        <w:t xml:space="preserve">Jaarverslagen indienen als </w:t>
      </w:r>
    </w:p>
    <w:p w14:paraId="538980C5" w14:textId="77777777" w:rsidR="00CF7E9B" w:rsidRPr="00292653" w:rsidRDefault="00CF7E9B" w:rsidP="00CF7E9B">
      <w:pPr>
        <w:pStyle w:val="Lijstopsomteken"/>
        <w:pBdr>
          <w:top w:val="single" w:sz="4" w:space="1" w:color="auto"/>
          <w:left w:val="single" w:sz="4" w:space="4" w:color="auto"/>
          <w:bottom w:val="single" w:sz="4" w:space="1" w:color="auto"/>
          <w:right w:val="single" w:sz="4" w:space="4" w:color="auto"/>
        </w:pBdr>
        <w:tabs>
          <w:tab w:val="num" w:pos="360"/>
        </w:tabs>
        <w:ind w:left="360" w:hanging="360"/>
        <w:rPr>
          <w:color w:val="00B0F0"/>
        </w:rPr>
      </w:pPr>
      <w:r w:rsidRPr="00292653">
        <w:rPr>
          <w:b/>
          <w:color w:val="00B0F0"/>
        </w:rPr>
        <w:t>Bijlage 20</w:t>
      </w:r>
      <w:r>
        <w:rPr>
          <w:b/>
          <w:color w:val="00B0F0"/>
        </w:rPr>
        <w:t>22</w:t>
      </w:r>
    </w:p>
    <w:p w14:paraId="5D1DD9DC" w14:textId="77777777" w:rsidR="00CF7E9B" w:rsidRPr="00292653" w:rsidRDefault="00CF7E9B" w:rsidP="00CF7E9B">
      <w:pPr>
        <w:pStyle w:val="Lijstopsomteken"/>
        <w:pBdr>
          <w:top w:val="single" w:sz="4" w:space="1" w:color="auto"/>
          <w:left w:val="single" w:sz="4" w:space="4" w:color="auto"/>
          <w:bottom w:val="single" w:sz="4" w:space="1" w:color="auto"/>
          <w:right w:val="single" w:sz="4" w:space="4" w:color="auto"/>
        </w:pBdr>
        <w:tabs>
          <w:tab w:val="num" w:pos="360"/>
        </w:tabs>
        <w:ind w:left="360" w:hanging="360"/>
        <w:rPr>
          <w:bCs/>
          <w:color w:val="00B0F0"/>
        </w:rPr>
      </w:pPr>
      <w:r w:rsidRPr="00292653">
        <w:rPr>
          <w:b/>
          <w:color w:val="00B0F0"/>
        </w:rPr>
        <w:t>Bijlage 202</w:t>
      </w:r>
      <w:r>
        <w:rPr>
          <w:b/>
          <w:color w:val="00B0F0"/>
        </w:rPr>
        <w:t>3</w:t>
      </w:r>
    </w:p>
    <w:p w14:paraId="5D3BB406" w14:textId="77777777" w:rsidR="00CF7E9B" w:rsidRPr="00292653" w:rsidRDefault="00CF7E9B" w:rsidP="00CF7E9B">
      <w:pPr>
        <w:pStyle w:val="Lijstopsomteken"/>
        <w:pBdr>
          <w:top w:val="single" w:sz="4" w:space="1" w:color="auto"/>
          <w:left w:val="single" w:sz="4" w:space="4" w:color="auto"/>
          <w:bottom w:val="single" w:sz="4" w:space="1" w:color="auto"/>
          <w:right w:val="single" w:sz="4" w:space="4" w:color="auto"/>
        </w:pBdr>
        <w:tabs>
          <w:tab w:val="num" w:pos="360"/>
        </w:tabs>
        <w:ind w:left="360" w:hanging="360"/>
        <w:rPr>
          <w:bCs/>
          <w:color w:val="00B0F0"/>
        </w:rPr>
      </w:pPr>
      <w:r w:rsidRPr="00292653">
        <w:rPr>
          <w:b/>
          <w:color w:val="00B0F0"/>
        </w:rPr>
        <w:t>Bijlage 202</w:t>
      </w:r>
      <w:r>
        <w:rPr>
          <w:b/>
          <w:color w:val="00B0F0"/>
        </w:rPr>
        <w:t>4</w:t>
      </w:r>
    </w:p>
    <w:p w14:paraId="5676219F" w14:textId="77777777" w:rsidR="00CF7E9B" w:rsidRPr="00292653" w:rsidRDefault="00CF7E9B" w:rsidP="00CF7E9B"/>
    <w:p w14:paraId="0CF4A9A1" w14:textId="77777777" w:rsidR="00CF7E9B" w:rsidRPr="00292653" w:rsidRDefault="00CF7E9B" w:rsidP="00CF7E9B">
      <w:r w:rsidRPr="00292653">
        <w:t xml:space="preserve">In aanvulling op de gegevens in het Uniform Europees Aanbestedingsdocument toetst de aanbestedende dienst de financiële en economische draagkracht van de gegadigde aan de hand van de hier door gegadigde opgegeven kengetallen en het jaarverslag. </w:t>
      </w:r>
    </w:p>
    <w:p w14:paraId="211C494D" w14:textId="77777777" w:rsidR="00CF7E9B" w:rsidRPr="00292653" w:rsidRDefault="00CF7E9B" w:rsidP="00CF7E9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418"/>
        <w:gridCol w:w="1417"/>
      </w:tblGrid>
      <w:tr w:rsidR="00CF7E9B" w14:paraId="54490F47" w14:textId="77777777" w:rsidTr="002562E1">
        <w:tc>
          <w:tcPr>
            <w:tcW w:w="3686" w:type="dxa"/>
          </w:tcPr>
          <w:p w14:paraId="5534D135" w14:textId="77777777" w:rsidR="00CF7E9B" w:rsidRPr="00292653" w:rsidRDefault="00CF7E9B" w:rsidP="002562E1">
            <w:pPr>
              <w:rPr>
                <w:b/>
              </w:rPr>
            </w:pPr>
            <w:r w:rsidRPr="00292653">
              <w:rPr>
                <w:b/>
              </w:rPr>
              <w:t>Financiële bedrijfssituatie</w:t>
            </w:r>
          </w:p>
        </w:tc>
        <w:tc>
          <w:tcPr>
            <w:tcW w:w="1417" w:type="dxa"/>
          </w:tcPr>
          <w:p w14:paraId="664ACDF8" w14:textId="77777777" w:rsidR="00CF7E9B" w:rsidRPr="00292653" w:rsidRDefault="00CF7E9B" w:rsidP="002562E1">
            <w:pPr>
              <w:rPr>
                <w:b/>
              </w:rPr>
            </w:pPr>
            <w:r w:rsidRPr="00292653">
              <w:rPr>
                <w:b/>
              </w:rPr>
              <w:t>20</w:t>
            </w:r>
            <w:r>
              <w:rPr>
                <w:b/>
              </w:rPr>
              <w:t>22</w:t>
            </w:r>
          </w:p>
        </w:tc>
        <w:tc>
          <w:tcPr>
            <w:tcW w:w="1418" w:type="dxa"/>
          </w:tcPr>
          <w:p w14:paraId="5ECC9CA0" w14:textId="77777777" w:rsidR="00CF7E9B" w:rsidRPr="00292653" w:rsidRDefault="00CF7E9B" w:rsidP="002562E1">
            <w:pPr>
              <w:rPr>
                <w:b/>
              </w:rPr>
            </w:pPr>
            <w:r w:rsidRPr="00292653">
              <w:rPr>
                <w:b/>
              </w:rPr>
              <w:t>202</w:t>
            </w:r>
            <w:r>
              <w:rPr>
                <w:b/>
              </w:rPr>
              <w:t>3</w:t>
            </w:r>
          </w:p>
        </w:tc>
        <w:tc>
          <w:tcPr>
            <w:tcW w:w="1417" w:type="dxa"/>
          </w:tcPr>
          <w:p w14:paraId="6AA197CA" w14:textId="77777777" w:rsidR="00CF7E9B" w:rsidRPr="00292653" w:rsidRDefault="00CF7E9B" w:rsidP="002562E1">
            <w:pPr>
              <w:rPr>
                <w:b/>
              </w:rPr>
            </w:pPr>
            <w:r w:rsidRPr="00292653">
              <w:rPr>
                <w:b/>
              </w:rPr>
              <w:t>202</w:t>
            </w:r>
            <w:r>
              <w:rPr>
                <w:b/>
              </w:rPr>
              <w:t>4</w:t>
            </w:r>
          </w:p>
        </w:tc>
      </w:tr>
      <w:tr w:rsidR="00CF7E9B" w14:paraId="00AAE87D" w14:textId="77777777" w:rsidTr="002562E1">
        <w:tc>
          <w:tcPr>
            <w:tcW w:w="3686" w:type="dxa"/>
          </w:tcPr>
          <w:p w14:paraId="11DBEA0B" w14:textId="77777777" w:rsidR="00CF7E9B" w:rsidRPr="00292653" w:rsidRDefault="00CF7E9B" w:rsidP="002562E1">
            <w:r w:rsidRPr="00292653">
              <w:t>Nettowinst (x € 1.000,--)</w:t>
            </w:r>
          </w:p>
        </w:tc>
        <w:tc>
          <w:tcPr>
            <w:tcW w:w="1417" w:type="dxa"/>
          </w:tcPr>
          <w:p w14:paraId="3CAE53E8" w14:textId="77777777" w:rsidR="00CF7E9B" w:rsidRPr="00292653" w:rsidRDefault="00CF7E9B" w:rsidP="002562E1">
            <w:r w:rsidRPr="00292653">
              <w:t>€ ..</w:t>
            </w:r>
          </w:p>
        </w:tc>
        <w:tc>
          <w:tcPr>
            <w:tcW w:w="1418" w:type="dxa"/>
          </w:tcPr>
          <w:p w14:paraId="06D5AFB2" w14:textId="77777777" w:rsidR="00CF7E9B" w:rsidRPr="00292653" w:rsidRDefault="00CF7E9B" w:rsidP="002562E1">
            <w:r w:rsidRPr="00292653">
              <w:t>€ ..</w:t>
            </w:r>
          </w:p>
        </w:tc>
        <w:tc>
          <w:tcPr>
            <w:tcW w:w="1417" w:type="dxa"/>
          </w:tcPr>
          <w:p w14:paraId="4EC1ECEC" w14:textId="77777777" w:rsidR="00CF7E9B" w:rsidRPr="00292653" w:rsidRDefault="00CF7E9B" w:rsidP="002562E1">
            <w:r w:rsidRPr="00292653">
              <w:t>€ ..</w:t>
            </w:r>
          </w:p>
        </w:tc>
      </w:tr>
    </w:tbl>
    <w:p w14:paraId="37A5B337" w14:textId="77777777" w:rsidR="00CF7E9B" w:rsidRPr="00292653" w:rsidRDefault="00CF7E9B" w:rsidP="00CF7E9B"/>
    <w:p w14:paraId="6AD91A79" w14:textId="77777777" w:rsidR="00CF7E9B" w:rsidRPr="00292653" w:rsidRDefault="00CF7E9B" w:rsidP="00CF7E9B">
      <w:r w:rsidRPr="00292653">
        <w:t xml:space="preserve">Gegadigde voegt </w:t>
      </w:r>
      <w:r>
        <w:t>de</w:t>
      </w:r>
      <w:r w:rsidRPr="00292653">
        <w:t xml:space="preserve"> jaarverslag</w:t>
      </w:r>
      <w:r>
        <w:t>en bij.</w:t>
      </w:r>
    </w:p>
    <w:p w14:paraId="25D982EE" w14:textId="77777777" w:rsidR="00CF7E9B" w:rsidRPr="00292653" w:rsidRDefault="00CF7E9B" w:rsidP="00CF7E9B"/>
    <w:p w14:paraId="24809863" w14:textId="77777777" w:rsidR="00CF7E9B" w:rsidRDefault="00CF7E9B" w:rsidP="00CF7E9B">
      <w:r w:rsidRPr="00292653">
        <w:t>Op de hiernavolgende pagina staat de toelichting op hoe gegadigde financieel wordt beoordeeld.</w:t>
      </w:r>
    </w:p>
    <w:p w14:paraId="7462E315" w14:textId="77777777" w:rsidR="00CF7E9B" w:rsidRDefault="00CF7E9B" w:rsidP="00CF7E9B">
      <w:pPr>
        <w:spacing w:line="240" w:lineRule="auto"/>
      </w:pPr>
      <w:r>
        <w:br w:type="page"/>
      </w:r>
    </w:p>
    <w:p w14:paraId="10AE83A9" w14:textId="77777777" w:rsidR="00CF7E9B" w:rsidRPr="00B9508D" w:rsidRDefault="00CF7E9B" w:rsidP="00CF7E9B">
      <w:pPr>
        <w:rPr>
          <w:b/>
        </w:rPr>
      </w:pPr>
      <w:r w:rsidRPr="00B9508D">
        <w:rPr>
          <w:b/>
        </w:rPr>
        <w:lastRenderedPageBreak/>
        <w:t>Aspecten bij de beoordeling van ontwerpende partijen</w:t>
      </w:r>
    </w:p>
    <w:p w14:paraId="11FD9495" w14:textId="77777777" w:rsidR="00CF7E9B" w:rsidRPr="00B9508D" w:rsidRDefault="00CF7E9B" w:rsidP="00CF7E9B">
      <w:r w:rsidRPr="00B9508D">
        <w:t>Centraal staat de eis dat het bedrijf waarmee een overeenkomst gesloten gaat worden voor uitvoering van de opdracht financieel gezond is naar gangbare boekhoudkundige maatstaven.</w:t>
      </w:r>
    </w:p>
    <w:p w14:paraId="4839D5B8" w14:textId="77777777" w:rsidR="00CF7E9B" w:rsidRPr="00B9508D" w:rsidRDefault="00CF7E9B" w:rsidP="00CF7E9B"/>
    <w:p w14:paraId="6DC8D985" w14:textId="77777777" w:rsidR="00CF7E9B" w:rsidRPr="00B9508D" w:rsidRDefault="00CF7E9B" w:rsidP="00CF7E9B">
      <w:r w:rsidRPr="00B9508D">
        <w:t>In geval van adviseurs/ontwerpende partijen wordt gekeken naar het gevraagde winst- en verliescijfer (nettoresultaat) over de afgelopen drie boekjaren. Hierbij geldt een wegingsfactor waarbij het meest recente boekjaar 3 keer meetelt, het tweede boekjaar 2 keer meetelt en het oudste boekjaar 1 keer meetelt. Ditzelfde geldt voor de omzetcijfers***. Hieruit wordt het gewogen rendement berekend van de laatste drie jaar. Bij een positief gewogen rendement zal het jaarverslag worden getoetst op opmerkelijkheden, wat voldoende zekerheid moet bieden in de continuïteit van de onderneming. Indien de continuïteit niet kan worden gewaarborgd volgt alsnog afwijzing. Toetsing zal dan plaatsvinden op solvabiliteit* en current ratio** (</w:t>
      </w:r>
      <w:r w:rsidRPr="00B9508D">
        <w:rPr>
          <w:i/>
        </w:rPr>
        <w:t>vlottende activa / vlottende passiva</w:t>
      </w:r>
      <w:r w:rsidRPr="00B9508D">
        <w:t>). Deze percentages dienen respectievelijk 25% en 1.00 te zijn.</w:t>
      </w:r>
    </w:p>
    <w:p w14:paraId="4D4DAFD0" w14:textId="77777777" w:rsidR="00CF7E9B" w:rsidRPr="00B9508D" w:rsidRDefault="00CF7E9B" w:rsidP="00CF7E9B"/>
    <w:p w14:paraId="385E9900" w14:textId="77777777" w:rsidR="00CF7E9B" w:rsidRPr="00B9508D" w:rsidRDefault="00CF7E9B" w:rsidP="00CF7E9B">
      <w:r w:rsidRPr="00B9508D">
        <w:t>Indien het gewogen rendement negatief is volgt afwijzing, tenzij het eigen vermogen in absolute zin en in verhouding van het eigen vermogen ten opzichte van het totale vermogen (solvabiliteit) voldoende zekerheid biedt voor de uitvoering van de opdracht. De solvabiliteit* dient dan minimaal 25% te zijn en het verlies van het laatste boekjaar mag niet hoger zijn dan 25% van het resterende eigen vermogen. Ook dient de current ratio minimaal 1.00 te zijn.</w:t>
      </w:r>
    </w:p>
    <w:p w14:paraId="2020780F" w14:textId="77777777" w:rsidR="00CF7E9B" w:rsidRPr="00B9508D" w:rsidRDefault="00CF7E9B" w:rsidP="00CF7E9B"/>
    <w:p w14:paraId="18AA8FDF" w14:textId="77777777" w:rsidR="00CF7E9B" w:rsidRPr="00B9508D" w:rsidRDefault="00CF7E9B" w:rsidP="00CF7E9B">
      <w:r w:rsidRPr="00B9508D">
        <w:t>Een inschrijvende partij kan op eigen initiatief uitleg meesturen om aan te tonen dat continuïteit van de onderneming gewaarborgd is. De continuïteit van de onderneming kan ook worden aangetoond via het, op eigen initiatief, verstrekken van een concerngarantie waarin het concern zich hoofdelijk garant stelt voor de nakoming van de technische, organisatorische en financiële contractuele verplichtingen. Uiteraard dient het concern dan ook financieel beoordeeld te worden aan de hand van de gestelde criteria.</w:t>
      </w:r>
    </w:p>
    <w:p w14:paraId="625E2F3B" w14:textId="77777777" w:rsidR="00CF7E9B" w:rsidRPr="00B9508D" w:rsidRDefault="00CF7E9B" w:rsidP="00CF7E9B"/>
    <w:p w14:paraId="5246E6BD" w14:textId="77777777" w:rsidR="00CF7E9B" w:rsidRPr="00B9508D" w:rsidRDefault="00CF7E9B" w:rsidP="00CF7E9B">
      <w:pPr>
        <w:ind w:left="426" w:hanging="426"/>
      </w:pPr>
      <w:r w:rsidRPr="00B9508D">
        <w:t>*</w:t>
      </w:r>
      <w:r w:rsidRPr="00B9508D">
        <w:tab/>
        <w:t xml:space="preserve">Solvabiliteit = (eigen vermogen + achtergestelde lening) / balanstotaal. </w:t>
      </w:r>
    </w:p>
    <w:p w14:paraId="050EC79E" w14:textId="77777777" w:rsidR="00CF7E9B" w:rsidRPr="00B9508D" w:rsidRDefault="00CF7E9B" w:rsidP="00CF7E9B">
      <w:pPr>
        <w:ind w:left="426"/>
      </w:pPr>
      <w:r w:rsidRPr="00B9508D">
        <w:t>Winstgevendheid: nettowinst / omzet. Ook kijken naar bedrijfsresultaat, EBITDA, resultaat deelnemingen en bijzondere baten en lasten.</w:t>
      </w:r>
    </w:p>
    <w:p w14:paraId="230C9B8B" w14:textId="77777777" w:rsidR="00CF7E9B" w:rsidRPr="00B9508D" w:rsidRDefault="00CF7E9B" w:rsidP="00CF7E9B">
      <w:pPr>
        <w:ind w:left="426" w:hanging="426"/>
      </w:pPr>
      <w:r w:rsidRPr="00B9508D">
        <w:t>**</w:t>
      </w:r>
      <w:r w:rsidRPr="00B9508D">
        <w:tab/>
        <w:t>Current ratio = vlottende activa / kortlopende schulden</w:t>
      </w:r>
      <w:r>
        <w:t>.</w:t>
      </w:r>
    </w:p>
    <w:p w14:paraId="3EE1A2E9" w14:textId="438BF51D" w:rsidR="006D1691" w:rsidRDefault="00CF7E9B" w:rsidP="00CF7E9B">
      <w:pPr>
        <w:ind w:left="426" w:hanging="426"/>
      </w:pPr>
      <w:r w:rsidRPr="00B9508D">
        <w:t>***</w:t>
      </w:r>
      <w:r w:rsidRPr="00B9508D">
        <w:tab/>
        <w:t>Omzetcijfers worden alleen gevraagd ter berekening van het rendement.</w:t>
      </w:r>
    </w:p>
    <w:sectPr w:rsidR="006D16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C89354"/>
    <w:lvl w:ilvl="0">
      <w:start w:val="1"/>
      <w:numFmt w:val="bullet"/>
      <w:pStyle w:val="Lijstopsomteken"/>
      <w:lvlText w:val=""/>
      <w:lvlJc w:val="left"/>
      <w:pPr>
        <w:tabs>
          <w:tab w:val="num" w:pos="360"/>
        </w:tabs>
        <w:ind w:left="360" w:hanging="360"/>
      </w:pPr>
      <w:rPr>
        <w:rFonts w:ascii="Symbol" w:hAnsi="Symbol" w:hint="default"/>
      </w:rPr>
    </w:lvl>
  </w:abstractNum>
  <w:num w:numId="1" w16cid:durableId="115607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9B"/>
    <w:rsid w:val="0026428B"/>
    <w:rsid w:val="003A1A0B"/>
    <w:rsid w:val="003A7CD1"/>
    <w:rsid w:val="003E5ED2"/>
    <w:rsid w:val="00453FED"/>
    <w:rsid w:val="006D1691"/>
    <w:rsid w:val="00806688"/>
    <w:rsid w:val="00CF7E9B"/>
    <w:rsid w:val="00EC5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5D9B"/>
  <w15:chartTrackingRefBased/>
  <w15:docId w15:val="{C8D7A3FE-6019-4423-9725-61E4B219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7E9B"/>
    <w:pPr>
      <w:spacing w:after="0" w:line="254" w:lineRule="atLeast"/>
    </w:pPr>
    <w:rPr>
      <w:rFonts w:ascii="Arial" w:eastAsia="Times New Roman" w:hAnsi="Arial" w:cs="Times New Roman"/>
      <w:kern w:val="0"/>
      <w:sz w:val="19"/>
      <w:szCs w:val="19"/>
      <w:lang w:eastAsia="nl-NL"/>
      <w14:ligatures w14:val="none"/>
    </w:rPr>
  </w:style>
  <w:style w:type="paragraph" w:styleId="Kop1">
    <w:name w:val="heading 1"/>
    <w:basedOn w:val="Standaard"/>
    <w:next w:val="Standaard"/>
    <w:link w:val="Kop1Char"/>
    <w:uiPriority w:val="9"/>
    <w:qFormat/>
    <w:rsid w:val="00CF7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7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7E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7E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F7E9B"/>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F7E9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F7E9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F7E9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F7E9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7E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7E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7E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7E9B"/>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CF7E9B"/>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CF7E9B"/>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CF7E9B"/>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CF7E9B"/>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CF7E9B"/>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CF7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7E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7E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7E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7E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7E9B"/>
    <w:rPr>
      <w:rFonts w:ascii="Arial" w:hAnsi="Arial"/>
      <w:i/>
      <w:iCs/>
      <w:color w:val="404040" w:themeColor="text1" w:themeTint="BF"/>
      <w:sz w:val="20"/>
    </w:rPr>
  </w:style>
  <w:style w:type="paragraph" w:styleId="Lijstalinea">
    <w:name w:val="List Paragraph"/>
    <w:basedOn w:val="Standaard"/>
    <w:uiPriority w:val="34"/>
    <w:qFormat/>
    <w:rsid w:val="00CF7E9B"/>
    <w:pPr>
      <w:ind w:left="720"/>
      <w:contextualSpacing/>
    </w:pPr>
  </w:style>
  <w:style w:type="character" w:styleId="Intensievebenadrukking">
    <w:name w:val="Intense Emphasis"/>
    <w:basedOn w:val="Standaardalinea-lettertype"/>
    <w:uiPriority w:val="21"/>
    <w:qFormat/>
    <w:rsid w:val="00CF7E9B"/>
    <w:rPr>
      <w:i/>
      <w:iCs/>
      <w:color w:val="0F4761" w:themeColor="accent1" w:themeShade="BF"/>
    </w:rPr>
  </w:style>
  <w:style w:type="paragraph" w:styleId="Duidelijkcitaat">
    <w:name w:val="Intense Quote"/>
    <w:basedOn w:val="Standaard"/>
    <w:next w:val="Standaard"/>
    <w:link w:val="DuidelijkcitaatChar"/>
    <w:uiPriority w:val="30"/>
    <w:qFormat/>
    <w:rsid w:val="00CF7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7E9B"/>
    <w:rPr>
      <w:rFonts w:ascii="Arial" w:hAnsi="Arial"/>
      <w:i/>
      <w:iCs/>
      <w:color w:val="0F4761" w:themeColor="accent1" w:themeShade="BF"/>
      <w:sz w:val="20"/>
    </w:rPr>
  </w:style>
  <w:style w:type="character" w:styleId="Intensieveverwijzing">
    <w:name w:val="Intense Reference"/>
    <w:basedOn w:val="Standaardalinea-lettertype"/>
    <w:uiPriority w:val="32"/>
    <w:qFormat/>
    <w:rsid w:val="00CF7E9B"/>
    <w:rPr>
      <w:b/>
      <w:bCs/>
      <w:smallCaps/>
      <w:color w:val="0F4761" w:themeColor="accent1" w:themeShade="BF"/>
      <w:spacing w:val="5"/>
    </w:rPr>
  </w:style>
  <w:style w:type="paragraph" w:styleId="Lijstopsomteken">
    <w:name w:val="List Bullet"/>
    <w:basedOn w:val="Standaard"/>
    <w:rsid w:val="00CF7E9B"/>
    <w:pPr>
      <w:numPr>
        <w:numId w:val="1"/>
      </w:numPr>
      <w:tabs>
        <w:tab w:val="clear" w:pos="360"/>
      </w:tabs>
      <w:ind w:left="0" w:firstLine="0"/>
    </w:pPr>
  </w:style>
  <w:style w:type="paragraph" w:customStyle="1" w:styleId="Kop1zondernummer">
    <w:name w:val="Kop 1 zonder nummer"/>
    <w:basedOn w:val="Kop1"/>
    <w:next w:val="Standaard"/>
    <w:rsid w:val="00CF7E9B"/>
    <w:pPr>
      <w:spacing w:before="0" w:after="160" w:line="340" w:lineRule="exact"/>
      <w:ind w:left="-947"/>
      <w:contextualSpacing/>
    </w:pPr>
    <w:rPr>
      <w:rFonts w:ascii="Arial" w:eastAsia="Times New Roman" w:hAnsi="Arial" w:cs="Arial"/>
      <w:b/>
      <w:bCs/>
      <w:color w:val="auto"/>
      <w:sz w:val="3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2576</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dc:description/>
  <cp:lastModifiedBy>Irene Kessens</cp:lastModifiedBy>
  <cp:revision>2</cp:revision>
  <dcterms:created xsi:type="dcterms:W3CDTF">2026-01-29T11:10:00Z</dcterms:created>
  <dcterms:modified xsi:type="dcterms:W3CDTF">2026-01-29T12:50:00Z</dcterms:modified>
</cp:coreProperties>
</file>