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F6FB"/>
  <w:body>
    <w:p w14:paraId="6FA3FC0A" w14:textId="09D3E6DE" w:rsidR="00ED520C" w:rsidRPr="00A706F8" w:rsidRDefault="004547CB" w:rsidP="00A706F8">
      <w:pPr>
        <w:pStyle w:val="Kop2"/>
        <w:tabs>
          <w:tab w:val="clear" w:pos="1440"/>
        </w:tabs>
        <w:spacing w:before="0"/>
        <w:ind w:left="0" w:firstLine="0"/>
        <w:rPr>
          <w:sz w:val="32"/>
          <w:szCs w:val="24"/>
        </w:rPr>
      </w:pPr>
      <w:r w:rsidRPr="00AE72AF">
        <w:rPr>
          <w:sz w:val="32"/>
          <w:szCs w:val="24"/>
        </w:rPr>
        <w:t xml:space="preserve">Bijlage </w:t>
      </w:r>
      <w:r w:rsidR="005B5FB4">
        <w:rPr>
          <w:sz w:val="32"/>
          <w:szCs w:val="24"/>
        </w:rPr>
        <w:t>C</w:t>
      </w:r>
      <w:r w:rsidR="00ED520C">
        <w:rPr>
          <w:sz w:val="32"/>
          <w:szCs w:val="24"/>
        </w:rPr>
        <w:t>: Model liquiditeit en solvabiliteit</w:t>
      </w:r>
    </w:p>
    <w:p w14:paraId="243332AC" w14:textId="6B26505E" w:rsidR="00AE7340" w:rsidRDefault="005230A1" w:rsidP="0098081A">
      <w:pPr>
        <w:spacing w:line="240" w:lineRule="auto"/>
        <w:textAlignment w:val="baseline"/>
        <w:rPr>
          <w:rFonts w:ascii="Montserrat" w:eastAsia="Times New Roman" w:hAnsi="Montserrat" w:cs="Segoe UI"/>
          <w:sz w:val="18"/>
          <w:szCs w:val="18"/>
          <w:lang w:eastAsia="nl-NL"/>
        </w:rPr>
      </w:pPr>
      <w:r w:rsidRPr="005230A1">
        <w:rPr>
          <w:rFonts w:ascii="Montserrat" w:eastAsia="Times New Roman" w:hAnsi="Montserrat" w:cs="Segoe UI"/>
          <w:sz w:val="18"/>
          <w:szCs w:val="18"/>
          <w:lang w:eastAsia="nl-NL"/>
        </w:rPr>
        <w:t>De Gegadigde verklaart door deze verklaring over voldoende financiële en economische draagkracht te beschikken voor (continuïteit in) de uitvoering van de Opdracht.</w:t>
      </w:r>
      <w:r w:rsidR="00A706F8">
        <w:rPr>
          <w:rFonts w:ascii="Montserrat" w:eastAsia="Times New Roman" w:hAnsi="Montserrat" w:cs="Segoe UI"/>
          <w:sz w:val="18"/>
          <w:szCs w:val="18"/>
          <w:lang w:eastAsia="nl-NL"/>
        </w:rPr>
        <w:t xml:space="preserve"> </w:t>
      </w:r>
      <w:r w:rsidRPr="005230A1">
        <w:rPr>
          <w:rFonts w:ascii="Montserrat" w:eastAsia="Times New Roman" w:hAnsi="Montserrat" w:cs="Segoe UI"/>
          <w:sz w:val="18"/>
          <w:szCs w:val="18"/>
          <w:lang w:eastAsia="nl-NL"/>
        </w:rPr>
        <w:t>De liquiditeits-</w:t>
      </w:r>
      <w:r w:rsidR="006315B8">
        <w:rPr>
          <w:rFonts w:ascii="Montserrat" w:eastAsia="Times New Roman" w:hAnsi="Montserrat" w:cs="Segoe UI"/>
          <w:sz w:val="18"/>
          <w:szCs w:val="18"/>
          <w:lang w:eastAsia="nl-NL"/>
        </w:rPr>
        <w:t xml:space="preserve"> (Current of Quick Ratio)</w:t>
      </w:r>
      <w:r w:rsidRPr="005230A1">
        <w:rPr>
          <w:rFonts w:ascii="Montserrat" w:eastAsia="Times New Roman" w:hAnsi="Montserrat" w:cs="Segoe UI"/>
          <w:sz w:val="18"/>
          <w:szCs w:val="18"/>
          <w:lang w:eastAsia="nl-NL"/>
        </w:rPr>
        <w:t xml:space="preserve"> en solvabiliteitsratio worden berekend met gebruikmaking van onderstaande formules: </w:t>
      </w:r>
    </w:p>
    <w:p w14:paraId="31C7193E" w14:textId="77777777" w:rsidR="0098081A" w:rsidRPr="0098081A" w:rsidRDefault="0098081A" w:rsidP="0098081A">
      <w:pPr>
        <w:spacing w:line="240" w:lineRule="auto"/>
        <w:textAlignment w:val="baseline"/>
        <w:rPr>
          <w:rFonts w:ascii="Montserrat" w:eastAsia="Times New Roman" w:hAnsi="Montserrat" w:cs="Segoe UI"/>
          <w:sz w:val="18"/>
          <w:szCs w:val="18"/>
          <w:lang w:eastAsia="nl-NL"/>
        </w:rPr>
      </w:pPr>
    </w:p>
    <w:tbl>
      <w:tblPr>
        <w:tblStyle w:val="Tabelstijlturquoiseabcnova"/>
        <w:tblW w:w="0" w:type="auto"/>
        <w:tblInd w:w="852" w:type="dxa"/>
        <w:tblBorders>
          <w:top w:val="single" w:sz="4" w:space="0" w:color="A47319"/>
          <w:left w:val="single" w:sz="4" w:space="0" w:color="A47319"/>
          <w:bottom w:val="single" w:sz="4" w:space="0" w:color="A47319"/>
          <w:right w:val="single" w:sz="4" w:space="0" w:color="A47319"/>
          <w:insideH w:val="single" w:sz="4" w:space="0" w:color="A47319"/>
          <w:insideV w:val="single" w:sz="4" w:space="0" w:color="A47319"/>
        </w:tblBorders>
        <w:tblLook w:val="04A0" w:firstRow="1" w:lastRow="0" w:firstColumn="1" w:lastColumn="0" w:noHBand="0" w:noVBand="1"/>
      </w:tblPr>
      <w:tblGrid>
        <w:gridCol w:w="6089"/>
      </w:tblGrid>
      <w:tr w:rsidR="00AE7340" w:rsidRPr="00113E54" w14:paraId="3751829B" w14:textId="77777777" w:rsidTr="00A70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6089" w:type="dxa"/>
            <w:shd w:val="clear" w:color="auto" w:fill="A47319"/>
          </w:tcPr>
          <w:p w14:paraId="5B2BB87D" w14:textId="77777777" w:rsidR="00AE7340" w:rsidRPr="00113E54" w:rsidRDefault="00AE7340" w:rsidP="00BA1A5C">
            <w:pPr>
              <w:pStyle w:val="BodytextRYSE"/>
              <w:rPr>
                <w:b/>
                <w:bCs/>
              </w:rPr>
            </w:pPr>
            <w:r w:rsidRPr="00113E54">
              <w:rPr>
                <w:b/>
                <w:bCs/>
                <w:color w:val="FFFFFF" w:themeColor="background1"/>
              </w:rPr>
              <w:t>Liquiditeit (Current Ratio)</w:t>
            </w:r>
          </w:p>
        </w:tc>
      </w:tr>
      <w:tr w:rsidR="00AE7340" w:rsidRPr="00113E54" w14:paraId="35D3041D" w14:textId="77777777" w:rsidTr="0098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89" w:type="dxa"/>
            <w:shd w:val="clear" w:color="auto" w:fill="F6E5C7"/>
          </w:tcPr>
          <w:p w14:paraId="4D0C3D10" w14:textId="4E9B89DD" w:rsidR="00AE7340" w:rsidRPr="00113E54" w:rsidRDefault="006A26DB" w:rsidP="006A26DB">
            <w:pPr>
              <w:pStyle w:val="BodytextRYSE"/>
              <w:jc w:val="center"/>
            </w:pPr>
            <w:bookmarkStart w:id="0" w:name="_Hlk218781819"/>
            <w:r>
              <w:rPr>
                <w:shd w:val="clear" w:color="auto" w:fill="F6E5C7"/>
              </w:rPr>
              <w:t>Vlottende activa</w:t>
            </w:r>
          </w:p>
          <w:p w14:paraId="698F76F6" w14:textId="77777777" w:rsidR="00AE7340" w:rsidRPr="00113E54" w:rsidRDefault="00AE7340" w:rsidP="00BA1A5C">
            <w:pPr>
              <w:pStyle w:val="BodytextRYSE"/>
            </w:pPr>
            <w:r w:rsidRPr="00113E54">
              <w:t>Liquiditeit   =   ---------------------------------------------</w:t>
            </w:r>
          </w:p>
          <w:p w14:paraId="3FD3A7A4" w14:textId="77777777" w:rsidR="00AE7340" w:rsidRPr="00113E54" w:rsidRDefault="00AE7340" w:rsidP="00BA1A5C">
            <w:pPr>
              <w:pStyle w:val="BodytextRYSE"/>
            </w:pPr>
            <w:r w:rsidRPr="00113E54">
              <w:t xml:space="preserve">                                 kort vreemd vermogen</w:t>
            </w:r>
          </w:p>
        </w:tc>
      </w:tr>
      <w:bookmarkEnd w:id="0"/>
    </w:tbl>
    <w:p w14:paraId="7B519596" w14:textId="77777777" w:rsidR="00AE7340" w:rsidRPr="00113E54" w:rsidRDefault="00AE7340" w:rsidP="00AE7340">
      <w:pPr>
        <w:pStyle w:val="Opsommingbolletje3eniveauabcnova"/>
        <w:numPr>
          <w:ilvl w:val="0"/>
          <w:numId w:val="0"/>
        </w:numPr>
        <w:ind w:left="852" w:hanging="284"/>
      </w:pPr>
    </w:p>
    <w:tbl>
      <w:tblPr>
        <w:tblStyle w:val="Tabelstijlturquoiseabcnova"/>
        <w:tblW w:w="0" w:type="auto"/>
        <w:tblInd w:w="852" w:type="dxa"/>
        <w:tblBorders>
          <w:top w:val="single" w:sz="4" w:space="0" w:color="A47319"/>
          <w:left w:val="single" w:sz="4" w:space="0" w:color="A47319"/>
          <w:bottom w:val="single" w:sz="4" w:space="0" w:color="A47319"/>
          <w:right w:val="single" w:sz="4" w:space="0" w:color="A47319"/>
        </w:tblBorders>
        <w:tblLook w:val="04A0" w:firstRow="1" w:lastRow="0" w:firstColumn="1" w:lastColumn="0" w:noHBand="0" w:noVBand="1"/>
      </w:tblPr>
      <w:tblGrid>
        <w:gridCol w:w="6089"/>
      </w:tblGrid>
      <w:tr w:rsidR="00AE7340" w:rsidRPr="00113E54" w14:paraId="74C866E3" w14:textId="77777777" w:rsidTr="00A70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6089" w:type="dxa"/>
            <w:tcBorders>
              <w:bottom w:val="single" w:sz="4" w:space="0" w:color="A47319"/>
            </w:tcBorders>
            <w:shd w:val="clear" w:color="auto" w:fill="A47319"/>
          </w:tcPr>
          <w:p w14:paraId="03E49F85" w14:textId="77777777" w:rsidR="00AE7340" w:rsidRPr="00113E54" w:rsidRDefault="00AE7340" w:rsidP="00BA1A5C">
            <w:pPr>
              <w:pStyle w:val="BodytextRYSE"/>
              <w:rPr>
                <w:b/>
                <w:bCs/>
              </w:rPr>
            </w:pPr>
            <w:r w:rsidRPr="00113E54">
              <w:rPr>
                <w:b/>
                <w:bCs/>
                <w:color w:val="FFFFFF" w:themeColor="background1"/>
              </w:rPr>
              <w:t>Liquiditeit (Quick Ratio)</w:t>
            </w:r>
          </w:p>
        </w:tc>
      </w:tr>
      <w:tr w:rsidR="00456D58" w:rsidRPr="00113E54" w14:paraId="3580A78B" w14:textId="77777777" w:rsidTr="0098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89" w:type="dxa"/>
            <w:tcBorders>
              <w:top w:val="single" w:sz="4" w:space="0" w:color="A47319"/>
              <w:bottom w:val="single" w:sz="4" w:space="0" w:color="A47319"/>
            </w:tcBorders>
            <w:shd w:val="clear" w:color="auto" w:fill="F6E5C7"/>
          </w:tcPr>
          <w:p w14:paraId="3816EFD2" w14:textId="78827621" w:rsidR="00456D58" w:rsidRPr="00113E54" w:rsidRDefault="00456D58" w:rsidP="00456D58">
            <w:pPr>
              <w:pStyle w:val="BodytextRYSE"/>
            </w:pPr>
            <w:r w:rsidRPr="00456D58">
              <w:rPr>
                <w:shd w:val="clear" w:color="auto" w:fill="F6E5C7"/>
              </w:rPr>
              <w:t xml:space="preserve">                              (</w:t>
            </w:r>
            <w:r w:rsidR="006A26DB">
              <w:rPr>
                <w:shd w:val="clear" w:color="auto" w:fill="F6E5C7"/>
              </w:rPr>
              <w:t>Vlottende activa - Voorraad</w:t>
            </w:r>
            <w:r w:rsidRPr="00113E54">
              <w:t>)</w:t>
            </w:r>
          </w:p>
          <w:p w14:paraId="62FB0B47" w14:textId="77777777" w:rsidR="00456D58" w:rsidRPr="00113E54" w:rsidRDefault="00456D58" w:rsidP="00456D58">
            <w:pPr>
              <w:pStyle w:val="BodytextRYSE"/>
              <w:shd w:val="clear" w:color="auto" w:fill="F6E5C7"/>
            </w:pPr>
            <w:r w:rsidRPr="00113E54">
              <w:t>Liquiditeit   =   ---------------------------------------------</w:t>
            </w:r>
          </w:p>
          <w:p w14:paraId="208550FC" w14:textId="53EC8147" w:rsidR="00456D58" w:rsidRPr="00113E54" w:rsidRDefault="00456D58" w:rsidP="00456D58">
            <w:pPr>
              <w:pStyle w:val="BodytextRYSE"/>
              <w:shd w:val="clear" w:color="auto" w:fill="F6E5C7"/>
            </w:pPr>
            <w:r w:rsidRPr="00113E54">
              <w:t xml:space="preserve">                                 kort vreemd vermogen</w:t>
            </w:r>
          </w:p>
        </w:tc>
      </w:tr>
    </w:tbl>
    <w:p w14:paraId="23A84ABA" w14:textId="77777777" w:rsidR="00AE7340" w:rsidRPr="00113E54" w:rsidRDefault="00AE7340" w:rsidP="00AE7340">
      <w:pPr>
        <w:pStyle w:val="Opsommingbolletje3eniveauabcnova"/>
        <w:numPr>
          <w:ilvl w:val="0"/>
          <w:numId w:val="0"/>
        </w:numPr>
        <w:ind w:left="852"/>
      </w:pPr>
    </w:p>
    <w:tbl>
      <w:tblPr>
        <w:tblStyle w:val="Tabelstijlturquoiseabcnova"/>
        <w:tblW w:w="0" w:type="auto"/>
        <w:tblInd w:w="852" w:type="dxa"/>
        <w:tblBorders>
          <w:top w:val="single" w:sz="4" w:space="0" w:color="A47319"/>
          <w:left w:val="single" w:sz="4" w:space="0" w:color="A47319"/>
          <w:bottom w:val="single" w:sz="4" w:space="0" w:color="A47319"/>
          <w:right w:val="single" w:sz="4" w:space="0" w:color="A47319"/>
        </w:tblBorders>
        <w:tblLook w:val="04A0" w:firstRow="1" w:lastRow="0" w:firstColumn="1" w:lastColumn="0" w:noHBand="0" w:noVBand="1"/>
      </w:tblPr>
      <w:tblGrid>
        <w:gridCol w:w="6089"/>
      </w:tblGrid>
      <w:tr w:rsidR="00AE7340" w:rsidRPr="00113E54" w14:paraId="747E86B7" w14:textId="77777777" w:rsidTr="00A70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6089" w:type="dxa"/>
            <w:tcBorders>
              <w:bottom w:val="single" w:sz="4" w:space="0" w:color="A47319"/>
            </w:tcBorders>
            <w:shd w:val="clear" w:color="auto" w:fill="A47319"/>
          </w:tcPr>
          <w:p w14:paraId="0A478323" w14:textId="77777777" w:rsidR="00AE7340" w:rsidRPr="00113E54" w:rsidRDefault="00AE7340" w:rsidP="00BA1A5C">
            <w:pPr>
              <w:pStyle w:val="BodytextRYSE"/>
              <w:rPr>
                <w:b/>
                <w:bCs/>
              </w:rPr>
            </w:pPr>
            <w:r w:rsidRPr="00113E54">
              <w:rPr>
                <w:b/>
                <w:bCs/>
                <w:color w:val="FFFFFF" w:themeColor="background1"/>
              </w:rPr>
              <w:t>Solvabiliteit</w:t>
            </w:r>
          </w:p>
        </w:tc>
      </w:tr>
      <w:tr w:rsidR="00AE7340" w:rsidRPr="00113E54" w14:paraId="0EFFAD6B" w14:textId="77777777" w:rsidTr="0098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89" w:type="dxa"/>
            <w:tcBorders>
              <w:top w:val="single" w:sz="4" w:space="0" w:color="A47319"/>
              <w:bottom w:val="single" w:sz="4" w:space="0" w:color="A47319"/>
            </w:tcBorders>
            <w:shd w:val="clear" w:color="auto" w:fill="F6E5C7"/>
          </w:tcPr>
          <w:p w14:paraId="350312BE" w14:textId="77777777" w:rsidR="00AE7340" w:rsidRPr="00113E54" w:rsidRDefault="00AE7340" w:rsidP="00BA1A5C">
            <w:pPr>
              <w:pStyle w:val="BodytextRYSE"/>
            </w:pPr>
            <w:r w:rsidRPr="00113E54">
              <w:t xml:space="preserve">                                 totaal eigen vermogen </w:t>
            </w:r>
          </w:p>
          <w:p w14:paraId="51F2CB07" w14:textId="77777777" w:rsidR="00AE7340" w:rsidRPr="00113E54" w:rsidRDefault="00AE7340" w:rsidP="00BA1A5C">
            <w:pPr>
              <w:pStyle w:val="BodytextRYSE"/>
            </w:pPr>
            <w:r w:rsidRPr="00113E54">
              <w:t>Solvabiliteit   =   -------------------------------- x 100%</w:t>
            </w:r>
          </w:p>
          <w:p w14:paraId="6A63BABC" w14:textId="77777777" w:rsidR="00AE7340" w:rsidRPr="00113E54" w:rsidRDefault="00AE7340" w:rsidP="00BA1A5C">
            <w:pPr>
              <w:pStyle w:val="BodytextRYSE"/>
            </w:pPr>
            <w:r w:rsidRPr="00113E54">
              <w:t xml:space="preserve">                                         balanstotaal</w:t>
            </w:r>
          </w:p>
        </w:tc>
      </w:tr>
    </w:tbl>
    <w:p w14:paraId="01ACA3AA" w14:textId="77777777" w:rsidR="00AE7340" w:rsidRPr="00113E54" w:rsidRDefault="00AE7340" w:rsidP="00AE7340">
      <w:pPr>
        <w:pStyle w:val="Opsommingbolletje3eniveauabcnova"/>
        <w:numPr>
          <w:ilvl w:val="0"/>
          <w:numId w:val="0"/>
        </w:numPr>
      </w:pPr>
    </w:p>
    <w:p w14:paraId="5852A1B7" w14:textId="7552DD24" w:rsidR="005230A1" w:rsidRDefault="005230A1" w:rsidP="005230A1">
      <w:pPr>
        <w:spacing w:line="240" w:lineRule="auto"/>
        <w:textAlignment w:val="baseline"/>
        <w:rPr>
          <w:rFonts w:ascii="Montserrat" w:eastAsia="Times New Roman" w:hAnsi="Montserrat" w:cs="Segoe UI"/>
          <w:sz w:val="18"/>
          <w:szCs w:val="18"/>
          <w:lang w:eastAsia="nl-NL"/>
        </w:rPr>
      </w:pPr>
      <w:r w:rsidRPr="005230A1">
        <w:rPr>
          <w:rFonts w:ascii="Montserrat" w:eastAsia="Times New Roman" w:hAnsi="Montserrat" w:cs="Segoe UI"/>
          <w:sz w:val="18"/>
          <w:szCs w:val="18"/>
          <w:lang w:eastAsia="nl-NL"/>
        </w:rPr>
        <w:t> De Gegadigde heeft met betrekking tot de liquiditeit en solvabiliteit over de afgelopen drie boekjaren de onderstaande resultaten bereikt: </w:t>
      </w:r>
    </w:p>
    <w:p w14:paraId="3B3B5C35" w14:textId="77777777" w:rsidR="00A706F8" w:rsidRPr="005230A1" w:rsidRDefault="00A706F8" w:rsidP="005230A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W w:w="8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1800"/>
        <w:gridCol w:w="1695"/>
        <w:gridCol w:w="1845"/>
      </w:tblGrid>
      <w:tr w:rsidR="005230A1" w:rsidRPr="005230A1" w14:paraId="3D667222" w14:textId="77777777" w:rsidTr="00A706F8">
        <w:trPr>
          <w:trHeight w:val="340"/>
        </w:trPr>
        <w:tc>
          <w:tcPr>
            <w:tcW w:w="2715" w:type="dxa"/>
            <w:tcBorders>
              <w:top w:val="single" w:sz="6" w:space="0" w:color="A47319"/>
              <w:left w:val="single" w:sz="6" w:space="0" w:color="A47319"/>
              <w:bottom w:val="single" w:sz="6" w:space="0" w:color="A47319"/>
              <w:right w:val="nil"/>
            </w:tcBorders>
            <w:shd w:val="clear" w:color="auto" w:fill="A47319"/>
            <w:hideMark/>
          </w:tcPr>
          <w:p w14:paraId="7512C005" w14:textId="77777777" w:rsidR="005230A1" w:rsidRPr="005230A1" w:rsidRDefault="005230A1" w:rsidP="005230A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230A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00" w:type="dxa"/>
            <w:tcBorders>
              <w:top w:val="single" w:sz="6" w:space="0" w:color="A47319"/>
              <w:left w:val="nil"/>
              <w:bottom w:val="single" w:sz="6" w:space="0" w:color="A47319"/>
              <w:right w:val="nil"/>
            </w:tcBorders>
            <w:shd w:val="clear" w:color="auto" w:fill="A47319"/>
            <w:vAlign w:val="center"/>
            <w:hideMark/>
          </w:tcPr>
          <w:p w14:paraId="6B5D7826" w14:textId="49EF009A" w:rsidR="005230A1" w:rsidRPr="005230A1" w:rsidRDefault="005230A1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230A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202</w:t>
            </w:r>
            <w:r w:rsidR="00D05E34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5</w:t>
            </w:r>
            <w:r w:rsidR="000A04E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*</w:t>
            </w:r>
          </w:p>
        </w:tc>
        <w:tc>
          <w:tcPr>
            <w:tcW w:w="1695" w:type="dxa"/>
            <w:tcBorders>
              <w:top w:val="single" w:sz="6" w:space="0" w:color="A47319"/>
              <w:left w:val="nil"/>
              <w:bottom w:val="single" w:sz="6" w:space="0" w:color="A47319"/>
              <w:right w:val="nil"/>
            </w:tcBorders>
            <w:shd w:val="clear" w:color="auto" w:fill="A47319"/>
            <w:vAlign w:val="center"/>
            <w:hideMark/>
          </w:tcPr>
          <w:p w14:paraId="7BD73F37" w14:textId="70F6E431" w:rsidR="005230A1" w:rsidRPr="005230A1" w:rsidRDefault="005230A1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230A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202</w:t>
            </w:r>
            <w:r w:rsidR="00D05E34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4</w:t>
            </w:r>
            <w:r w:rsidR="000A04E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*</w:t>
            </w:r>
          </w:p>
        </w:tc>
        <w:tc>
          <w:tcPr>
            <w:tcW w:w="1845" w:type="dxa"/>
            <w:tcBorders>
              <w:top w:val="single" w:sz="6" w:space="0" w:color="A47319"/>
              <w:left w:val="nil"/>
              <w:bottom w:val="single" w:sz="6" w:space="0" w:color="A47319"/>
              <w:right w:val="single" w:sz="6" w:space="0" w:color="A47319"/>
            </w:tcBorders>
            <w:shd w:val="clear" w:color="auto" w:fill="A47319"/>
            <w:vAlign w:val="center"/>
            <w:hideMark/>
          </w:tcPr>
          <w:p w14:paraId="0BA1131A" w14:textId="4A9D1A3F" w:rsidR="005230A1" w:rsidRPr="005230A1" w:rsidRDefault="005230A1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230A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202</w:t>
            </w:r>
            <w:r w:rsidR="00D05E34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3</w:t>
            </w:r>
            <w:r w:rsidR="000A04E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*</w:t>
            </w:r>
          </w:p>
        </w:tc>
      </w:tr>
      <w:tr w:rsidR="00A706F8" w:rsidRPr="005230A1" w14:paraId="24F509C8" w14:textId="77777777" w:rsidTr="001A6709">
        <w:trPr>
          <w:trHeight w:val="454"/>
        </w:trPr>
        <w:tc>
          <w:tcPr>
            <w:tcW w:w="271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  <w:hideMark/>
          </w:tcPr>
          <w:p w14:paraId="04E9A22C" w14:textId="3406BA27" w:rsidR="00A706F8" w:rsidRPr="0054502D" w:rsidRDefault="006A26DB" w:rsidP="00A706F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  <w:t>Vlottende activa</w:t>
            </w:r>
            <w:r w:rsidR="00A706F8" w:rsidRPr="0054502D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11FF325A" w14:textId="18BF181E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063B5B4D" w14:textId="444150A1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4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2E2A39B8" w14:textId="5E4CD2D6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706F8" w:rsidRPr="005230A1" w14:paraId="32CF153D" w14:textId="77777777" w:rsidTr="006A26DB">
        <w:trPr>
          <w:trHeight w:val="454"/>
        </w:trPr>
        <w:tc>
          <w:tcPr>
            <w:tcW w:w="271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2858A6CE" w14:textId="07487069" w:rsidR="00A706F8" w:rsidRPr="0054502D" w:rsidRDefault="00A706F8" w:rsidP="00A706F8">
            <w:pPr>
              <w:spacing w:line="240" w:lineRule="auto"/>
              <w:textAlignment w:val="baseline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</w:pPr>
            <w:r w:rsidRPr="0054502D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  <w:t>Voorraad</w:t>
            </w:r>
          </w:p>
        </w:tc>
        <w:tc>
          <w:tcPr>
            <w:tcW w:w="1800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6C0400D4" w14:textId="640FB49F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70A0B69B" w14:textId="69BBC8B5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608A403C" w14:textId="760CF263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18"/>
                <w:szCs w:val="18"/>
                <w:lang w:eastAsia="nl-NL"/>
              </w:rPr>
            </w:pPr>
          </w:p>
        </w:tc>
      </w:tr>
      <w:tr w:rsidR="00A706F8" w:rsidRPr="005230A1" w14:paraId="359028CF" w14:textId="77777777" w:rsidTr="006A26DB">
        <w:trPr>
          <w:trHeight w:val="454"/>
        </w:trPr>
        <w:tc>
          <w:tcPr>
            <w:tcW w:w="271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  <w:hideMark/>
          </w:tcPr>
          <w:p w14:paraId="67851180" w14:textId="77777777" w:rsidR="00A706F8" w:rsidRPr="0054502D" w:rsidRDefault="00A706F8" w:rsidP="00A706F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4502D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  <w:t>Kort vreemd vermogen </w:t>
            </w:r>
          </w:p>
        </w:tc>
        <w:tc>
          <w:tcPr>
            <w:tcW w:w="1800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76FD3F27" w14:textId="614F5CB9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6C6CAB55" w14:textId="4E3BA5AA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4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1FF5D8F0" w14:textId="7FA3E957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706F8" w:rsidRPr="005230A1" w14:paraId="25D4BC9C" w14:textId="77777777" w:rsidTr="006A26DB">
        <w:trPr>
          <w:trHeight w:val="454"/>
        </w:trPr>
        <w:tc>
          <w:tcPr>
            <w:tcW w:w="271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  <w:hideMark/>
          </w:tcPr>
          <w:p w14:paraId="767A5AD2" w14:textId="77777777" w:rsidR="00A706F8" w:rsidRPr="0054502D" w:rsidRDefault="00A706F8" w:rsidP="00A706F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4502D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  <w:t>Totaal eigen vermogen </w:t>
            </w:r>
          </w:p>
        </w:tc>
        <w:tc>
          <w:tcPr>
            <w:tcW w:w="1800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4EFB3162" w14:textId="0668FBE2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15A269A0" w14:textId="226E8ECC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4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12BADD9E" w14:textId="3CA5099D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706F8" w:rsidRPr="005230A1" w14:paraId="08617A09" w14:textId="77777777" w:rsidTr="006A26DB">
        <w:trPr>
          <w:trHeight w:val="454"/>
        </w:trPr>
        <w:tc>
          <w:tcPr>
            <w:tcW w:w="271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  <w:hideMark/>
          </w:tcPr>
          <w:p w14:paraId="6D5467B7" w14:textId="77777777" w:rsidR="00A706F8" w:rsidRPr="0054502D" w:rsidRDefault="00A706F8" w:rsidP="00A706F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4502D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  <w:t>Balanstotaal  </w:t>
            </w:r>
          </w:p>
        </w:tc>
        <w:tc>
          <w:tcPr>
            <w:tcW w:w="1800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5A1BB66A" w14:textId="73E3BCEB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7431DFBD" w14:textId="33BCFA86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4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386150B1" w14:textId="0493C36E" w:rsidR="00A706F8" w:rsidRPr="0054502D" w:rsidRDefault="00A706F8" w:rsidP="001A670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1E9355AE" w14:textId="77777777" w:rsidR="005230A1" w:rsidRPr="005230A1" w:rsidRDefault="005230A1" w:rsidP="005230A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5230A1">
        <w:rPr>
          <w:rFonts w:ascii="Montserrat" w:eastAsia="Times New Roman" w:hAnsi="Montserrat" w:cs="Segoe UI"/>
          <w:sz w:val="18"/>
          <w:szCs w:val="18"/>
          <w:lang w:eastAsia="nl-NL"/>
        </w:rPr>
        <w:t> </w:t>
      </w:r>
    </w:p>
    <w:tbl>
      <w:tblPr>
        <w:tblW w:w="8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1800"/>
        <w:gridCol w:w="1695"/>
        <w:gridCol w:w="1845"/>
      </w:tblGrid>
      <w:tr w:rsidR="005230A1" w:rsidRPr="005230A1" w14:paraId="11DE3006" w14:textId="77777777" w:rsidTr="00A706F8">
        <w:trPr>
          <w:trHeight w:val="340"/>
        </w:trPr>
        <w:tc>
          <w:tcPr>
            <w:tcW w:w="2715" w:type="dxa"/>
            <w:tcBorders>
              <w:top w:val="single" w:sz="6" w:space="0" w:color="A47319"/>
              <w:left w:val="single" w:sz="6" w:space="0" w:color="A47319"/>
              <w:bottom w:val="single" w:sz="6" w:space="0" w:color="A47319"/>
              <w:right w:val="nil"/>
            </w:tcBorders>
            <w:shd w:val="clear" w:color="auto" w:fill="A47319"/>
            <w:hideMark/>
          </w:tcPr>
          <w:p w14:paraId="154AC6B6" w14:textId="77777777" w:rsidR="005230A1" w:rsidRPr="005230A1" w:rsidRDefault="005230A1" w:rsidP="005230A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230A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00" w:type="dxa"/>
            <w:tcBorders>
              <w:top w:val="single" w:sz="6" w:space="0" w:color="A47319"/>
              <w:left w:val="nil"/>
              <w:bottom w:val="single" w:sz="6" w:space="0" w:color="A47319"/>
              <w:right w:val="nil"/>
            </w:tcBorders>
            <w:shd w:val="clear" w:color="auto" w:fill="A47319"/>
            <w:vAlign w:val="center"/>
            <w:hideMark/>
          </w:tcPr>
          <w:p w14:paraId="70B5E711" w14:textId="0804B2D7" w:rsidR="005230A1" w:rsidRPr="005230A1" w:rsidRDefault="005230A1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230A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202</w:t>
            </w:r>
            <w:r w:rsidR="00D05E34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5</w:t>
            </w:r>
            <w:r w:rsidR="000A04E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*</w:t>
            </w:r>
          </w:p>
        </w:tc>
        <w:tc>
          <w:tcPr>
            <w:tcW w:w="1695" w:type="dxa"/>
            <w:tcBorders>
              <w:top w:val="single" w:sz="6" w:space="0" w:color="A47319"/>
              <w:left w:val="nil"/>
              <w:bottom w:val="single" w:sz="6" w:space="0" w:color="A47319"/>
              <w:right w:val="nil"/>
            </w:tcBorders>
            <w:shd w:val="clear" w:color="auto" w:fill="A47319"/>
            <w:vAlign w:val="center"/>
            <w:hideMark/>
          </w:tcPr>
          <w:p w14:paraId="0D6E64CD" w14:textId="374D8E50" w:rsidR="005230A1" w:rsidRPr="005230A1" w:rsidRDefault="005230A1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230A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202</w:t>
            </w:r>
            <w:r w:rsidR="00D05E34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4</w:t>
            </w:r>
            <w:r w:rsidR="000A04E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*</w:t>
            </w:r>
          </w:p>
        </w:tc>
        <w:tc>
          <w:tcPr>
            <w:tcW w:w="1845" w:type="dxa"/>
            <w:tcBorders>
              <w:top w:val="single" w:sz="6" w:space="0" w:color="A47319"/>
              <w:left w:val="nil"/>
              <w:bottom w:val="single" w:sz="6" w:space="0" w:color="A47319"/>
              <w:right w:val="single" w:sz="6" w:space="0" w:color="A47319"/>
            </w:tcBorders>
            <w:shd w:val="clear" w:color="auto" w:fill="A47319"/>
            <w:vAlign w:val="center"/>
            <w:hideMark/>
          </w:tcPr>
          <w:p w14:paraId="5F1DB60E" w14:textId="35597359" w:rsidR="005230A1" w:rsidRPr="005230A1" w:rsidRDefault="005230A1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230A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202</w:t>
            </w:r>
            <w:r w:rsidR="00D05E34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3</w:t>
            </w:r>
            <w:r w:rsidR="000A04E1">
              <w:rPr>
                <w:rFonts w:ascii="Montserrat" w:eastAsia="Times New Roman" w:hAnsi="Montserrat" w:cs="Times New Roman"/>
                <w:b/>
                <w:bCs/>
                <w:color w:val="FFFFFF"/>
                <w:sz w:val="18"/>
                <w:szCs w:val="18"/>
                <w:lang w:eastAsia="nl-NL"/>
              </w:rPr>
              <w:t>*</w:t>
            </w:r>
          </w:p>
        </w:tc>
      </w:tr>
      <w:tr w:rsidR="00A706F8" w:rsidRPr="005230A1" w14:paraId="083C2297" w14:textId="77777777" w:rsidTr="006A26DB">
        <w:trPr>
          <w:trHeight w:val="454"/>
        </w:trPr>
        <w:tc>
          <w:tcPr>
            <w:tcW w:w="271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  <w:hideMark/>
          </w:tcPr>
          <w:p w14:paraId="13E5101A" w14:textId="2873D336" w:rsidR="00A706F8" w:rsidRPr="0054502D" w:rsidRDefault="00A706F8" w:rsidP="00A706F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4502D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  <w:t>Liquiditeit (Current Ratio)</w:t>
            </w:r>
          </w:p>
        </w:tc>
        <w:tc>
          <w:tcPr>
            <w:tcW w:w="1800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55A77894" w14:textId="535D9C35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14C9BC61" w14:textId="07D00BB4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4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1A4C9D52" w14:textId="02D38633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706F8" w:rsidRPr="005230A1" w14:paraId="31FD8035" w14:textId="77777777" w:rsidTr="006315B8">
        <w:trPr>
          <w:trHeight w:val="454"/>
        </w:trPr>
        <w:tc>
          <w:tcPr>
            <w:tcW w:w="271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780BBDF0" w14:textId="124D0C5F" w:rsidR="00A706F8" w:rsidRPr="0054502D" w:rsidRDefault="00A706F8" w:rsidP="00A706F8">
            <w:pPr>
              <w:spacing w:line="240" w:lineRule="auto"/>
              <w:textAlignment w:val="baseline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</w:pPr>
            <w:r w:rsidRPr="0054502D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  <w:t>Liquiditeit (Quick Ratio)</w:t>
            </w:r>
          </w:p>
        </w:tc>
        <w:tc>
          <w:tcPr>
            <w:tcW w:w="1800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75828FAE" w14:textId="349AA7CE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18"/>
                <w:szCs w:val="18"/>
                <w:shd w:val="clear" w:color="auto" w:fill="E1E3E6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2CCEEAD7" w14:textId="7EDB0D50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18"/>
                <w:szCs w:val="18"/>
                <w:shd w:val="clear" w:color="auto" w:fill="E1E3E6"/>
                <w:lang w:eastAsia="nl-NL"/>
              </w:rPr>
            </w:pPr>
          </w:p>
        </w:tc>
        <w:tc>
          <w:tcPr>
            <w:tcW w:w="184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191411D9" w14:textId="493E8758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18"/>
                <w:szCs w:val="18"/>
                <w:shd w:val="clear" w:color="auto" w:fill="E1E3E6"/>
                <w:lang w:eastAsia="nl-NL"/>
              </w:rPr>
            </w:pPr>
          </w:p>
        </w:tc>
      </w:tr>
      <w:tr w:rsidR="00A706F8" w:rsidRPr="005230A1" w14:paraId="7EC43C55" w14:textId="77777777" w:rsidTr="001A6709">
        <w:trPr>
          <w:trHeight w:val="454"/>
        </w:trPr>
        <w:tc>
          <w:tcPr>
            <w:tcW w:w="271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  <w:hideMark/>
          </w:tcPr>
          <w:p w14:paraId="0607BF7E" w14:textId="77777777" w:rsidR="00A706F8" w:rsidRPr="0054502D" w:rsidRDefault="00A706F8" w:rsidP="00A706F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54502D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nl-NL"/>
              </w:rPr>
              <w:t>Solvabiliteit  </w:t>
            </w:r>
          </w:p>
        </w:tc>
        <w:tc>
          <w:tcPr>
            <w:tcW w:w="1800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724A06EF" w14:textId="0DD257B9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69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1CF8E794" w14:textId="5EDAE00E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45" w:type="dxa"/>
            <w:tcBorders>
              <w:top w:val="single" w:sz="6" w:space="0" w:color="E5B357"/>
              <w:left w:val="single" w:sz="6" w:space="0" w:color="E5B357"/>
              <w:bottom w:val="single" w:sz="6" w:space="0" w:color="E5B357"/>
              <w:right w:val="single" w:sz="6" w:space="0" w:color="E5B357"/>
            </w:tcBorders>
            <w:vAlign w:val="center"/>
          </w:tcPr>
          <w:p w14:paraId="13D8C9D9" w14:textId="4E383F22" w:rsidR="00A706F8" w:rsidRPr="0054502D" w:rsidRDefault="00A706F8" w:rsidP="00A706F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6DF3BB29" w14:textId="77777777" w:rsidR="005B5FB7" w:rsidRDefault="005B5FB7" w:rsidP="00A706F8">
      <w:pPr>
        <w:rPr>
          <w:rFonts w:ascii="Montserrat" w:hAnsi="Montserrat"/>
          <w:sz w:val="20"/>
          <w:szCs w:val="20"/>
        </w:rPr>
      </w:pPr>
    </w:p>
    <w:p w14:paraId="089E1AF6" w14:textId="0634134B" w:rsidR="001A6709" w:rsidRPr="000A04E1" w:rsidRDefault="000A04E1" w:rsidP="000A04E1">
      <w:pPr>
        <w:spacing w:line="240" w:lineRule="auto"/>
        <w:textAlignment w:val="baseline"/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</w:pPr>
      <w:r w:rsidRPr="000A04E1"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>*</w:t>
      </w:r>
      <w:proofErr w:type="gramStart"/>
      <w:r w:rsidRPr="000A04E1"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>Indien</w:t>
      </w:r>
      <w:proofErr w:type="gramEnd"/>
      <w:r w:rsidRPr="000A04E1"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 xml:space="preserve"> de gegevens over boekjaar 2025 ten tijde van de Aanmelding niet beschikbaar zijn, dan dient Gegadigde de gegevens over de jaren 2022-2024 over te leggen</w:t>
      </w:r>
      <w:r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 xml:space="preserve">. </w:t>
      </w:r>
      <w:proofErr w:type="gramStart"/>
      <w:r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>Indien</w:t>
      </w:r>
      <w:proofErr w:type="gramEnd"/>
      <w:r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 xml:space="preserve"> dit het geval is, </w:t>
      </w:r>
      <w:r w:rsidR="008554CD"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>dient Gegadigde</w:t>
      </w:r>
      <w:r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 xml:space="preserve"> de jaartallen </w:t>
      </w:r>
      <w:r w:rsidR="008554CD"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>aan te passen</w:t>
      </w:r>
      <w:r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 xml:space="preserve"> </w:t>
      </w:r>
      <w:r w:rsidR="00367124"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>naar</w:t>
      </w:r>
      <w:r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 xml:space="preserve"> </w:t>
      </w:r>
      <w:r w:rsidR="00E77F31">
        <w:rPr>
          <w:rFonts w:ascii="Montserrat" w:eastAsia="Times New Roman" w:hAnsi="Montserrat" w:cs="Segoe UI"/>
          <w:i/>
          <w:iCs/>
          <w:sz w:val="18"/>
          <w:szCs w:val="18"/>
          <w:lang w:eastAsia="nl-NL"/>
        </w:rPr>
        <w:t>2024, 2023 en 2022.</w:t>
      </w:r>
    </w:p>
    <w:sectPr w:rsidR="001A6709" w:rsidRPr="000A04E1" w:rsidSect="00444770">
      <w:headerReference w:type="default" r:id="rId12"/>
      <w:footerReference w:type="defaul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6B9E" w14:textId="77777777" w:rsidR="00BD7C44" w:rsidRDefault="00BD7C44" w:rsidP="004547CB">
      <w:pPr>
        <w:spacing w:line="240" w:lineRule="auto"/>
      </w:pPr>
      <w:r>
        <w:separator/>
      </w:r>
    </w:p>
  </w:endnote>
  <w:endnote w:type="continuationSeparator" w:id="0">
    <w:p w14:paraId="07C18DDA" w14:textId="77777777" w:rsidR="00BD7C44" w:rsidRDefault="00BD7C44" w:rsidP="00454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6CD7" w14:textId="502086E1" w:rsidR="00CE70A3" w:rsidRDefault="00CE70A3" w:rsidP="00CE70A3">
    <w:pPr>
      <w:pStyle w:val="Koptekst"/>
      <w:rPr>
        <w:sz w:val="18"/>
        <w:szCs w:val="18"/>
      </w:rPr>
    </w:pPr>
  </w:p>
  <w:sdt>
    <w:sdtPr>
      <w:rPr>
        <w:rFonts w:cs="Arial"/>
      </w:rPr>
      <w:id w:val="557360887"/>
      <w:docPartObj>
        <w:docPartGallery w:val="Page Numbers (Top of Page)"/>
        <w:docPartUnique/>
      </w:docPartObj>
    </w:sdtPr>
    <w:sdtContent>
      <w:p w14:paraId="709844AB" w14:textId="5BFEF8C4" w:rsidR="0037666C" w:rsidRDefault="0037666C" w:rsidP="00CE70A3">
        <w:pPr>
          <w:pStyle w:val="Koptekst"/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</w:pPr>
      </w:p>
      <w:p w14:paraId="1C8F3E26" w14:textId="77777777" w:rsidR="00444770" w:rsidRPr="00444770" w:rsidRDefault="00444770" w:rsidP="00444770">
        <w:pPr>
          <w:pStyle w:val="Koptekst"/>
          <w:jc w:val="center"/>
          <w:rPr>
            <w:rFonts w:cs="Arial"/>
          </w:rPr>
        </w:pP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t xml:space="preserve">Pagina </w: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begin"/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instrText>PAGE</w:instrTex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separate"/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t>2</w: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end"/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t xml:space="preserve"> van </w: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begin"/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instrText>NUMPAGES</w:instrTex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separate"/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t>24</w: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5AF1" w14:textId="77777777" w:rsidR="00BD7C44" w:rsidRDefault="00BD7C44" w:rsidP="004547CB">
      <w:pPr>
        <w:spacing w:line="240" w:lineRule="auto"/>
      </w:pPr>
      <w:r>
        <w:separator/>
      </w:r>
    </w:p>
  </w:footnote>
  <w:footnote w:type="continuationSeparator" w:id="0">
    <w:p w14:paraId="785B9566" w14:textId="77777777" w:rsidR="00BD7C44" w:rsidRDefault="00BD7C44" w:rsidP="00454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99DD" w14:textId="32D938BE" w:rsidR="004547CB" w:rsidRPr="001F2418" w:rsidRDefault="004547CB" w:rsidP="004547CB">
    <w:pPr>
      <w:pStyle w:val="Koptekst"/>
      <w:rPr>
        <w:rFonts w:ascii="Montserrat" w:hAnsi="Montserrat"/>
        <w:i/>
        <w:iCs/>
        <w:sz w:val="18"/>
        <w:szCs w:val="18"/>
      </w:rPr>
    </w:pPr>
    <w:r w:rsidRPr="001F2418">
      <w:rPr>
        <w:rFonts w:ascii="Montserrat" w:eastAsia="Times New Roman" w:hAnsi="Montserrat" w:cs="Times New Roman"/>
        <w:i/>
        <w:iCs/>
        <w:sz w:val="18"/>
        <w:szCs w:val="20"/>
        <w:lang w:eastAsia="nl-NL"/>
      </w:rPr>
      <w:t xml:space="preserve">Bijlage </w:t>
    </w:r>
    <w:r w:rsidR="005B5FB4">
      <w:rPr>
        <w:rFonts w:ascii="Montserrat" w:eastAsia="Times New Roman" w:hAnsi="Montserrat" w:cs="Times New Roman"/>
        <w:i/>
        <w:iCs/>
        <w:sz w:val="18"/>
        <w:szCs w:val="20"/>
        <w:lang w:eastAsia="nl-NL"/>
      </w:rPr>
      <w:t>C</w:t>
    </w:r>
    <w:r w:rsidRPr="001F2418">
      <w:rPr>
        <w:rFonts w:ascii="Montserrat" w:eastAsia="Times New Roman" w:hAnsi="Montserrat" w:cs="Times New Roman"/>
        <w:i/>
        <w:iCs/>
        <w:sz w:val="18"/>
        <w:szCs w:val="20"/>
        <w:lang w:eastAsia="nl-NL"/>
      </w:rPr>
      <w:t xml:space="preserve"> van selectieleidraad: </w:t>
    </w:r>
    <w:r w:rsidR="00CE70A3" w:rsidRPr="001F2418">
      <w:rPr>
        <w:rFonts w:ascii="Montserrat" w:hAnsi="Montserrat"/>
        <w:i/>
        <w:iCs/>
        <w:sz w:val="18"/>
        <w:szCs w:val="18"/>
      </w:rPr>
      <w:t>Nieuwbouw gemeentehuis De Ronde Venen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A3D"/>
    <w:multiLevelType w:val="multilevel"/>
    <w:tmpl w:val="9E50E438"/>
    <w:styleLink w:val="Opsommingbolletjeabcnova"/>
    <w:lvl w:ilvl="0">
      <w:start w:val="1"/>
      <w:numFmt w:val="bullet"/>
      <w:pStyle w:val="Opsommingbolletje1eniveauabcnova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abcnova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abcnova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06639BC"/>
    <w:multiLevelType w:val="multilevel"/>
    <w:tmpl w:val="5A14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D3363B"/>
    <w:multiLevelType w:val="multilevel"/>
    <w:tmpl w:val="4A1E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D570C1"/>
    <w:multiLevelType w:val="hybridMultilevel"/>
    <w:tmpl w:val="48205B92"/>
    <w:lvl w:ilvl="0" w:tplc="59F453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644DD"/>
    <w:multiLevelType w:val="multilevel"/>
    <w:tmpl w:val="9E50E438"/>
    <w:numStyleLink w:val="Opsommingbolletjeabcnova"/>
  </w:abstractNum>
  <w:num w:numId="1" w16cid:durableId="1698388489">
    <w:abstractNumId w:val="3"/>
  </w:num>
  <w:num w:numId="2" w16cid:durableId="46144495">
    <w:abstractNumId w:val="1"/>
  </w:num>
  <w:num w:numId="3" w16cid:durableId="304090649">
    <w:abstractNumId w:val="2"/>
  </w:num>
  <w:num w:numId="4" w16cid:durableId="1792045705">
    <w:abstractNumId w:val="0"/>
  </w:num>
  <w:num w:numId="5" w16cid:durableId="918248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f7f6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CB"/>
    <w:rsid w:val="000A04E1"/>
    <w:rsid w:val="00126363"/>
    <w:rsid w:val="00192616"/>
    <w:rsid w:val="001A6709"/>
    <w:rsid w:val="001B5DFB"/>
    <w:rsid w:val="001E1CBA"/>
    <w:rsid w:val="001F2418"/>
    <w:rsid w:val="001F7703"/>
    <w:rsid w:val="0020245D"/>
    <w:rsid w:val="002B2B48"/>
    <w:rsid w:val="00367124"/>
    <w:rsid w:val="0037666C"/>
    <w:rsid w:val="003E2DF4"/>
    <w:rsid w:val="00444770"/>
    <w:rsid w:val="004547CB"/>
    <w:rsid w:val="00456D58"/>
    <w:rsid w:val="00473F8E"/>
    <w:rsid w:val="004750BD"/>
    <w:rsid w:val="004A7CF6"/>
    <w:rsid w:val="004E4C1A"/>
    <w:rsid w:val="005230A1"/>
    <w:rsid w:val="0054502D"/>
    <w:rsid w:val="00584670"/>
    <w:rsid w:val="0059222D"/>
    <w:rsid w:val="00597CDF"/>
    <w:rsid w:val="005B032B"/>
    <w:rsid w:val="005B5FB4"/>
    <w:rsid w:val="005B5FB7"/>
    <w:rsid w:val="005E5EE0"/>
    <w:rsid w:val="00601956"/>
    <w:rsid w:val="006315B8"/>
    <w:rsid w:val="006A26DB"/>
    <w:rsid w:val="006C708B"/>
    <w:rsid w:val="006D7B3F"/>
    <w:rsid w:val="006E621F"/>
    <w:rsid w:val="00704364"/>
    <w:rsid w:val="00742D01"/>
    <w:rsid w:val="00762DDF"/>
    <w:rsid w:val="00793D8C"/>
    <w:rsid w:val="007C684B"/>
    <w:rsid w:val="007E613B"/>
    <w:rsid w:val="008554CD"/>
    <w:rsid w:val="00885443"/>
    <w:rsid w:val="00886876"/>
    <w:rsid w:val="008F73DD"/>
    <w:rsid w:val="00905CCC"/>
    <w:rsid w:val="0096723D"/>
    <w:rsid w:val="0098081A"/>
    <w:rsid w:val="009B6F9A"/>
    <w:rsid w:val="00A211D0"/>
    <w:rsid w:val="00A54555"/>
    <w:rsid w:val="00A706F8"/>
    <w:rsid w:val="00AE72AF"/>
    <w:rsid w:val="00AE7340"/>
    <w:rsid w:val="00B34330"/>
    <w:rsid w:val="00B53692"/>
    <w:rsid w:val="00B83C49"/>
    <w:rsid w:val="00B848D0"/>
    <w:rsid w:val="00B92781"/>
    <w:rsid w:val="00BA0081"/>
    <w:rsid w:val="00BD7C44"/>
    <w:rsid w:val="00C21365"/>
    <w:rsid w:val="00CE70A3"/>
    <w:rsid w:val="00CF00A0"/>
    <w:rsid w:val="00D05E34"/>
    <w:rsid w:val="00D36C6F"/>
    <w:rsid w:val="00D84AC8"/>
    <w:rsid w:val="00DD63FC"/>
    <w:rsid w:val="00E76B8B"/>
    <w:rsid w:val="00E77F31"/>
    <w:rsid w:val="00ED4132"/>
    <w:rsid w:val="00ED520C"/>
    <w:rsid w:val="00EE544B"/>
    <w:rsid w:val="00F96242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f6fb"/>
    </o:shapedefaults>
    <o:shapelayout v:ext="edit">
      <o:idmap v:ext="edit" data="2"/>
    </o:shapelayout>
  </w:shapeDefaults>
  <w:decimalSymbol w:val=","/>
  <w:listSeparator w:val=";"/>
  <w14:docId w14:val="55DCC99D"/>
  <w15:chartTrackingRefBased/>
  <w15:docId w15:val="{DDE221AB-2457-409A-8BFE-FCA5E389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47CB"/>
    <w:pPr>
      <w:spacing w:after="0" w:line="276" w:lineRule="auto"/>
    </w:pPr>
  </w:style>
  <w:style w:type="paragraph" w:styleId="Kop2">
    <w:name w:val="heading 2"/>
    <w:aliases w:val="Heading 2 RYSE,Kop 2 abcnova"/>
    <w:basedOn w:val="Standaard"/>
    <w:next w:val="Standaard"/>
    <w:link w:val="Kop2Char"/>
    <w:uiPriority w:val="4"/>
    <w:qFormat/>
    <w:rsid w:val="00AE72AF"/>
    <w:pPr>
      <w:keepNext/>
      <w:keepLines/>
      <w:tabs>
        <w:tab w:val="num" w:pos="1440"/>
      </w:tabs>
      <w:spacing w:before="620" w:line="380" w:lineRule="exact"/>
      <w:ind w:left="1440" w:hanging="720"/>
      <w:outlineLvl w:val="1"/>
    </w:pPr>
    <w:rPr>
      <w:rFonts w:ascii="Oswald Medium" w:eastAsia="Times New Roman" w:hAnsi="Oswald Medium" w:cs="Maiandra GD"/>
      <w:bCs/>
      <w:iCs/>
      <w:caps/>
      <w:noProof/>
      <w:color w:val="A47319"/>
      <w:sz w:val="36"/>
      <w:szCs w:val="28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4547CB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4547CB"/>
  </w:style>
  <w:style w:type="paragraph" w:styleId="Koptekst">
    <w:name w:val="header"/>
    <w:basedOn w:val="Standaard"/>
    <w:link w:val="KoptekstChar"/>
    <w:uiPriority w:val="99"/>
    <w:unhideWhenUsed/>
    <w:rsid w:val="004547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47CB"/>
  </w:style>
  <w:style w:type="paragraph" w:styleId="Voettekst">
    <w:name w:val="footer"/>
    <w:basedOn w:val="Standaard"/>
    <w:link w:val="VoettekstChar"/>
    <w:uiPriority w:val="99"/>
    <w:unhideWhenUsed/>
    <w:rsid w:val="004547C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47CB"/>
  </w:style>
  <w:style w:type="character" w:customStyle="1" w:styleId="Kop2Char">
    <w:name w:val="Kop 2 Char"/>
    <w:aliases w:val="Heading 2 RYSE Char,Kop 2 abcnova Char"/>
    <w:basedOn w:val="Standaardalinea-lettertype"/>
    <w:link w:val="Kop2"/>
    <w:uiPriority w:val="4"/>
    <w:rsid w:val="00AE72AF"/>
    <w:rPr>
      <w:rFonts w:ascii="Oswald Medium" w:eastAsia="Times New Roman" w:hAnsi="Oswald Medium" w:cs="Maiandra GD"/>
      <w:bCs/>
      <w:iCs/>
      <w:caps/>
      <w:noProof/>
      <w:color w:val="A47319"/>
      <w:sz w:val="36"/>
      <w:szCs w:val="28"/>
      <w:lang w:eastAsia="nl-NL" w:bidi="nl-NL"/>
    </w:rPr>
  </w:style>
  <w:style w:type="paragraph" w:styleId="Lijstalinea">
    <w:name w:val="List Paragraph"/>
    <w:basedOn w:val="Standaard"/>
    <w:uiPriority w:val="34"/>
    <w:qFormat/>
    <w:rsid w:val="0012636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93D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3D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3D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3D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3D8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4E4C1A"/>
    <w:pPr>
      <w:spacing w:after="0" w:line="240" w:lineRule="auto"/>
    </w:pPr>
  </w:style>
  <w:style w:type="paragraph" w:customStyle="1" w:styleId="paragraph">
    <w:name w:val="paragraph"/>
    <w:basedOn w:val="Standaard"/>
    <w:rsid w:val="0052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230A1"/>
  </w:style>
  <w:style w:type="character" w:customStyle="1" w:styleId="eop">
    <w:name w:val="eop"/>
    <w:basedOn w:val="Standaardalinea-lettertype"/>
    <w:rsid w:val="005230A1"/>
  </w:style>
  <w:style w:type="paragraph" w:customStyle="1" w:styleId="BodytextRYSE">
    <w:name w:val="Body text RYSE"/>
    <w:basedOn w:val="Standaard"/>
    <w:qFormat/>
    <w:rsid w:val="00AE7340"/>
    <w:pPr>
      <w:spacing w:line="320" w:lineRule="atLeast"/>
    </w:pPr>
    <w:rPr>
      <w:rFonts w:ascii="Montserrat" w:eastAsia="Times New Roman" w:hAnsi="Montserrat" w:cs="Maiandra GD"/>
      <w:color w:val="110E17"/>
      <w:lang w:eastAsia="nl-NL" w:bidi="nl-NL"/>
    </w:rPr>
  </w:style>
  <w:style w:type="paragraph" w:customStyle="1" w:styleId="Opsommingbolletje1eniveauabcnova">
    <w:name w:val="Opsomming bolletje 1e niveau abcnova"/>
    <w:basedOn w:val="Standaard"/>
    <w:uiPriority w:val="4"/>
    <w:qFormat/>
    <w:rsid w:val="00AE7340"/>
    <w:pPr>
      <w:numPr>
        <w:numId w:val="5"/>
      </w:numPr>
      <w:spacing w:line="300" w:lineRule="atLeast"/>
    </w:pPr>
    <w:rPr>
      <w:rFonts w:ascii="Myriad Pro" w:eastAsia="Times New Roman" w:hAnsi="Myriad Pro" w:cs="Maiandra GD"/>
      <w:sz w:val="18"/>
      <w:szCs w:val="18"/>
      <w:lang w:eastAsia="nl-NL"/>
    </w:rPr>
  </w:style>
  <w:style w:type="paragraph" w:customStyle="1" w:styleId="Opsommingbolletje2eniveauabcnova">
    <w:name w:val="Opsomming bolletje 2e niveau abcnova"/>
    <w:basedOn w:val="Standaard"/>
    <w:uiPriority w:val="4"/>
    <w:qFormat/>
    <w:rsid w:val="00AE7340"/>
    <w:pPr>
      <w:numPr>
        <w:ilvl w:val="1"/>
        <w:numId w:val="5"/>
      </w:numPr>
      <w:spacing w:line="300" w:lineRule="atLeast"/>
    </w:pPr>
    <w:rPr>
      <w:rFonts w:ascii="Myriad Pro" w:eastAsia="Times New Roman" w:hAnsi="Myriad Pro" w:cs="Maiandra GD"/>
      <w:sz w:val="18"/>
      <w:szCs w:val="18"/>
      <w:lang w:eastAsia="nl-NL"/>
    </w:rPr>
  </w:style>
  <w:style w:type="paragraph" w:customStyle="1" w:styleId="Opsommingbolletje3eniveauabcnova">
    <w:name w:val="Opsomming bolletje 3e niveau abcnova"/>
    <w:basedOn w:val="Standaard"/>
    <w:uiPriority w:val="4"/>
    <w:qFormat/>
    <w:rsid w:val="00AE7340"/>
    <w:pPr>
      <w:numPr>
        <w:ilvl w:val="2"/>
        <w:numId w:val="5"/>
      </w:numPr>
      <w:spacing w:line="300" w:lineRule="atLeast"/>
    </w:pPr>
    <w:rPr>
      <w:rFonts w:ascii="Myriad Pro" w:eastAsia="Times New Roman" w:hAnsi="Myriad Pro" w:cs="Maiandra GD"/>
      <w:sz w:val="18"/>
      <w:szCs w:val="18"/>
      <w:lang w:eastAsia="nl-NL"/>
    </w:rPr>
  </w:style>
  <w:style w:type="numbering" w:customStyle="1" w:styleId="Opsommingbolletjeabcnova">
    <w:name w:val="Opsomming bolletje abcnova"/>
    <w:uiPriority w:val="4"/>
    <w:semiHidden/>
    <w:rsid w:val="00AE7340"/>
    <w:pPr>
      <w:numPr>
        <w:numId w:val="4"/>
      </w:numPr>
    </w:pPr>
  </w:style>
  <w:style w:type="table" w:customStyle="1" w:styleId="Tabelstijlturquoiseabcnova">
    <w:name w:val="Tabelstijl turquoise abcnova"/>
    <w:basedOn w:val="Standaardtabel"/>
    <w:uiPriority w:val="99"/>
    <w:rsid w:val="00AE7340"/>
    <w:pPr>
      <w:spacing w:after="0" w:line="240" w:lineRule="auto"/>
    </w:pPr>
    <w:rPr>
      <w:rFonts w:eastAsia="Times New Roman" w:cs="Times New Roman"/>
      <w:sz w:val="20"/>
      <w:szCs w:val="20"/>
      <w:lang w:eastAsia="nl-NL"/>
    </w:rPr>
    <w:tblPr>
      <w:tblStyleRow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cPr>
      <w:shd w:val="clear" w:color="auto" w:fill="auto"/>
    </w:tcPr>
    <w:tblStylePr w:type="firstRow">
      <w:tblPr/>
      <w:tcPr>
        <w:shd w:val="clear" w:color="auto" w:fill="5B9BD5" w:themeFill="accent1"/>
      </w:tcPr>
    </w:tblStylePr>
    <w:tblStylePr w:type="band1Horz">
      <w:tblPr/>
      <w:tcPr>
        <w:shd w:val="clear" w:color="auto" w:fill="A5A5A5" w:themeFill="accent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742D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kesCount xmlns="http://schemas.microsoft.com/sharepoint/v3" xsi:nil="true"/>
    <TaxCatchAll xmlns="921a863f-2158-4960-a699-56acc36deae6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004c5db0-6f47-456e-af84-a6f8b68469f5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  <_dlc_DocId xmlns="921a863f-2158-4960-a699-56acc36deae6">HRSSK3YWNC4Z-862701752-180830</_dlc_DocId>
    <_dlc_DocIdUrl xmlns="921a863f-2158-4960-a699-56acc36deae6">
      <Url>https://rysebv.sharepoint.com/sites/BU/_layouts/15/DocIdRedir.aspx?ID=HRSSK3YWNC4Z-862701752-180830</Url>
      <Description>HRSSK3YWNC4Z-862701752-180830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7B1F71DA4B8E455328E1FC4112" ma:contentTypeVersion="24" ma:contentTypeDescription="Een nieuw document maken." ma:contentTypeScope="" ma:versionID="a2c55ae319cb59dc2d69a1025de0bf1b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004c5db0-6f47-456e-af84-a6f8b68469f5" targetNamespace="http://schemas.microsoft.com/office/2006/metadata/properties" ma:root="true" ma:fieldsID="d18b74d5f90a810e7c15eba90705e593" ns1:_="" ns2:_="" ns3:_="">
    <xsd:import namespace="http://schemas.microsoft.com/sharepoint/v3"/>
    <xsd:import namespace="921a863f-2158-4960-a699-56acc36deae6"/>
    <xsd:import namespace="004c5db0-6f47-456e-af84-a6f8b68469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  <xsd:element name="AverageRating" ma:index="29" nillable="true" ma:displayName="Classificatie (0-5)" ma:decimals="2" ma:description="Gemiddelde waarde van alle classificaties die zijn ingediend" ma:internalName="AverageRating" ma:readOnly="true">
      <xsd:simpleType>
        <xsd:restriction base="dms:Number"/>
      </xsd:simpleType>
    </xsd:element>
    <xsd:element name="RatingCount" ma:index="30" nillable="true" ma:displayName="Aantal classificaties" ma:decimals="0" ma:description="Aantal ingediende classificaties" ma:internalName="RatingCount" ma:readOnly="true">
      <xsd:simpleType>
        <xsd:restriction base="dms:Number"/>
      </xsd:simpleType>
    </xsd:element>
    <xsd:element name="RatedBy" ma:index="31" nillable="true" ma:displayName="Beoordeeld door" ma:description="Gebruikers hebben het item beoordeeld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2" nillable="true" ma:displayName="Gebruikersbeoordelingen" ma:description="Gebruikersbeoordelingen voor het item" ma:hidden="true" ma:internalName="Ratings">
      <xsd:simpleType>
        <xsd:restriction base="dms:Note"/>
      </xsd:simpleType>
    </xsd:element>
    <xsd:element name="LikesCount" ma:index="33" nillable="true" ma:displayName="Aantal Leuk" ma:internalName="LikesCount">
      <xsd:simpleType>
        <xsd:restriction base="dms:Unknown"/>
      </xsd:simpleType>
    </xsd:element>
    <xsd:element name="LikedBy" ma:index="34" nillable="true" ma:displayName="Leuk gevonden do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5db0-6f47-456e-af84-a6f8b684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3113F-0F0D-418A-9707-1BBE1B8FC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C1159-A252-42E7-9A62-ECE7AE3A4D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1a863f-2158-4960-a699-56acc36deae6"/>
    <ds:schemaRef ds:uri="004c5db0-6f47-456e-af84-a6f8b68469f5"/>
  </ds:schemaRefs>
</ds:datastoreItem>
</file>

<file path=customXml/itemProps3.xml><?xml version="1.0" encoding="utf-8"?>
<ds:datastoreItem xmlns:ds="http://schemas.openxmlformats.org/officeDocument/2006/customXml" ds:itemID="{009E6AD5-25DE-451F-8DAD-54A8181A0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5900A-C20D-42E4-BC3C-79F3BC8823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BE3EFC-4251-464B-9C19-C543D5B0B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004c5db0-6f47-456e-af84-a6f8b6846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B</vt:lpstr>
    </vt:vector>
  </TitlesOfParts>
  <Company>IBMN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</dc:title>
  <dc:subject/>
  <dc:creator>Ralph Rheiter</dc:creator>
  <cp:keywords/>
  <dc:description/>
  <cp:lastModifiedBy>Esther Penders | RYSE</cp:lastModifiedBy>
  <cp:revision>25</cp:revision>
  <dcterms:created xsi:type="dcterms:W3CDTF">2026-01-08T15:18:00Z</dcterms:created>
  <dcterms:modified xsi:type="dcterms:W3CDTF">2026-02-17T15:02:00Z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0x01010038129A7B1F71DA4B8E455328E1FC4112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_dlc_DocIdItemGuid">
    <vt:lpwstr>d522ea39-7f88-4d6d-ab0a-a20ae144dd14</vt:lpwstr>
  </property>
</Properties>
</file>