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8A64" w14:textId="00AC2D2F" w:rsidR="00B1099E" w:rsidRPr="00B1099E" w:rsidRDefault="00B1099E" w:rsidP="00B1099E">
      <w:pPr>
        <w:pStyle w:val="Heading1"/>
        <w:rPr>
          <w:sz w:val="32"/>
          <w:szCs w:val="32"/>
        </w:rPr>
      </w:pPr>
      <w:r w:rsidRPr="00B1099E">
        <w:rPr>
          <w:sz w:val="32"/>
          <w:szCs w:val="32"/>
        </w:rPr>
        <w:t>Instructie uitzonderingsregel referentie Eis KC1</w:t>
      </w:r>
    </w:p>
    <w:p w14:paraId="740E9F6E" w14:textId="140B719F" w:rsidR="00B1099E" w:rsidRPr="00E134EA" w:rsidRDefault="3318739C" w:rsidP="00A553EF">
      <w:pPr>
        <w:pStyle w:val="NoSpacing"/>
        <w:spacing w:line="276" w:lineRule="auto"/>
        <w:rPr>
          <w:rFonts w:ascii="Tahoma" w:hAnsi="Tahoma" w:cs="Tahoma"/>
          <w:sz w:val="18"/>
          <w:szCs w:val="18"/>
        </w:rPr>
      </w:pPr>
      <w:r w:rsidRPr="00E134EA">
        <w:rPr>
          <w:rFonts w:ascii="Tahoma" w:eastAsia="Times New Roman" w:hAnsi="Tahoma" w:cs="Tahoma"/>
          <w:kern w:val="0"/>
          <w:sz w:val="18"/>
          <w:szCs w:val="18"/>
          <w:lang w:eastAsia="nl-NL"/>
          <w14:ligatures w14:val="none"/>
        </w:rPr>
        <w:t>Opdrachtgever</w:t>
      </w:r>
      <w:r w:rsidRPr="00E134EA">
        <w:rPr>
          <w:rFonts w:ascii="Tahoma" w:hAnsi="Tahoma" w:cs="Tahoma"/>
          <w:sz w:val="18"/>
          <w:szCs w:val="18"/>
        </w:rPr>
        <w:t xml:space="preserve"> onderkent dat het aantal marktpartijen met aantoonbare referenties op het gebied van luchtvaartgeluidmeetpostennetwerken beperkt is. Om toetreding van geschikte, maar minder ervaren partijen mogelijk te maken, kan Inschrijver indien niet volledig </w:t>
      </w:r>
      <w:r w:rsidR="00DD15F8">
        <w:rPr>
          <w:rFonts w:ascii="Tahoma" w:hAnsi="Tahoma" w:cs="Tahoma"/>
          <w:sz w:val="18"/>
          <w:szCs w:val="18"/>
        </w:rPr>
        <w:t>wor</w:t>
      </w:r>
      <w:r w:rsidR="00645F64">
        <w:rPr>
          <w:rFonts w:ascii="Tahoma" w:hAnsi="Tahoma" w:cs="Tahoma"/>
          <w:sz w:val="18"/>
          <w:szCs w:val="18"/>
        </w:rPr>
        <w:t>dt</w:t>
      </w:r>
      <w:r w:rsidRPr="00E134EA">
        <w:rPr>
          <w:rFonts w:ascii="Tahoma" w:hAnsi="Tahoma" w:cs="Tahoma"/>
          <w:sz w:val="18"/>
          <w:szCs w:val="18"/>
        </w:rPr>
        <w:t xml:space="preserve"> voldaan aan Eis KC1</w:t>
      </w:r>
      <w:r w:rsidR="00701036">
        <w:rPr>
          <w:rFonts w:ascii="Tahoma" w:hAnsi="Tahoma" w:cs="Tahoma"/>
          <w:sz w:val="18"/>
          <w:szCs w:val="18"/>
        </w:rPr>
        <w:t>,</w:t>
      </w:r>
      <w:r w:rsidRPr="00E134EA">
        <w:rPr>
          <w:rFonts w:ascii="Tahoma" w:hAnsi="Tahoma" w:cs="Tahoma"/>
          <w:sz w:val="18"/>
          <w:szCs w:val="18"/>
        </w:rPr>
        <w:t xml:space="preserve"> gebruikmaken van de uitzonderingsregel door het overleggen van een garantieverklaring in combinatie met een aanvullend plan van aanpak.</w:t>
      </w:r>
    </w:p>
    <w:p w14:paraId="76F5D44A" w14:textId="77777777" w:rsidR="00DB3231" w:rsidRDefault="00DB3231" w:rsidP="00A553EF">
      <w:pPr>
        <w:pStyle w:val="NoSpacing"/>
        <w:spacing w:line="276" w:lineRule="auto"/>
        <w:rPr>
          <w:rFonts w:ascii="Tahoma" w:hAnsi="Tahoma" w:cs="Tahoma"/>
          <w:sz w:val="18"/>
          <w:szCs w:val="18"/>
        </w:rPr>
      </w:pPr>
    </w:p>
    <w:p w14:paraId="567140EF" w14:textId="2D85896D"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Met deze documenten dient Inschrijver aan te tonen dat hij, ondanks het ontbreken van een passende referentie, beschikt over voldoende technische en organisatorische borging om de opdracht kwalitatief uit te voeren.</w:t>
      </w:r>
    </w:p>
    <w:p w14:paraId="1D1054FB" w14:textId="77777777" w:rsidR="0012635C" w:rsidRDefault="0012635C" w:rsidP="00A553EF">
      <w:pPr>
        <w:pStyle w:val="NoSpacing"/>
        <w:spacing w:line="276" w:lineRule="auto"/>
        <w:rPr>
          <w:rFonts w:ascii="Tahoma" w:hAnsi="Tahoma" w:cs="Tahoma"/>
          <w:sz w:val="18"/>
          <w:szCs w:val="18"/>
        </w:rPr>
      </w:pPr>
    </w:p>
    <w:p w14:paraId="32564C82" w14:textId="0C9A7893" w:rsidR="00B1099E" w:rsidRPr="00090A37" w:rsidRDefault="3318739C" w:rsidP="00A553EF">
      <w:pPr>
        <w:pStyle w:val="NoSpacing"/>
        <w:spacing w:line="276" w:lineRule="auto"/>
        <w:rPr>
          <w:rFonts w:ascii="Tahoma" w:hAnsi="Tahoma" w:cs="Tahoma"/>
          <w:b/>
          <w:bCs/>
          <w:sz w:val="18"/>
          <w:szCs w:val="18"/>
        </w:rPr>
      </w:pPr>
      <w:r w:rsidRPr="00090A37">
        <w:rPr>
          <w:rFonts w:ascii="Tahoma" w:hAnsi="Tahoma" w:cs="Tahoma"/>
          <w:b/>
          <w:bCs/>
          <w:sz w:val="18"/>
          <w:szCs w:val="18"/>
        </w:rPr>
        <w:t>Garantieverklaring</w:t>
      </w:r>
    </w:p>
    <w:p w14:paraId="3BEB7E0D" w14:textId="6D083A66"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De garantieverklaring heeft een ondersteunend en borgend karakter en is nadrukkelijk niet uitsluitend bedoeld als bewijs van eerdere uitvoeringservaring.</w:t>
      </w:r>
    </w:p>
    <w:p w14:paraId="349EDE45" w14:textId="77777777" w:rsidR="007216EB" w:rsidRDefault="007216EB" w:rsidP="00A553EF">
      <w:pPr>
        <w:pStyle w:val="NoSpacing"/>
        <w:spacing w:line="276" w:lineRule="auto"/>
        <w:rPr>
          <w:rFonts w:ascii="Tahoma" w:hAnsi="Tahoma" w:cs="Tahoma"/>
          <w:sz w:val="18"/>
          <w:szCs w:val="18"/>
        </w:rPr>
      </w:pPr>
    </w:p>
    <w:p w14:paraId="114DD406" w14:textId="751152B5"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De garantieverklaring dient:</w:t>
      </w:r>
    </w:p>
    <w:p w14:paraId="1ED44DDE" w14:textId="76BA1868" w:rsidR="00B1099E" w:rsidRPr="00E134EA" w:rsidRDefault="3318739C" w:rsidP="00810204">
      <w:pPr>
        <w:pStyle w:val="NoSpacing"/>
        <w:numPr>
          <w:ilvl w:val="0"/>
          <w:numId w:val="2"/>
        </w:numPr>
        <w:spacing w:line="276" w:lineRule="auto"/>
        <w:rPr>
          <w:rFonts w:ascii="Tahoma" w:hAnsi="Tahoma" w:cs="Tahoma"/>
          <w:sz w:val="18"/>
          <w:szCs w:val="18"/>
        </w:rPr>
      </w:pPr>
      <w:r w:rsidRPr="00E134EA">
        <w:rPr>
          <w:rFonts w:ascii="Tahoma" w:hAnsi="Tahoma" w:cs="Tahoma"/>
          <w:sz w:val="18"/>
          <w:szCs w:val="18"/>
        </w:rPr>
        <w:t>schriftelijk te zijn opgesteld;</w:t>
      </w:r>
    </w:p>
    <w:p w14:paraId="24901AF9" w14:textId="1C5B5986" w:rsidR="00B1099E" w:rsidRPr="00E134EA" w:rsidRDefault="3318739C" w:rsidP="00810204">
      <w:pPr>
        <w:pStyle w:val="NoSpacing"/>
        <w:numPr>
          <w:ilvl w:val="0"/>
          <w:numId w:val="2"/>
        </w:numPr>
        <w:spacing w:line="276" w:lineRule="auto"/>
        <w:rPr>
          <w:rFonts w:ascii="Tahoma" w:hAnsi="Tahoma" w:cs="Tahoma"/>
          <w:sz w:val="18"/>
          <w:szCs w:val="18"/>
        </w:rPr>
      </w:pPr>
      <w:r w:rsidRPr="00E134EA">
        <w:rPr>
          <w:rFonts w:ascii="Tahoma" w:hAnsi="Tahoma" w:cs="Tahoma"/>
          <w:sz w:val="18"/>
          <w:szCs w:val="18"/>
        </w:rPr>
        <w:t>inzicht te geven in de wijze waarop Inschrijver kan beschikken over aanvullende kennis, expertise of ondersteuning indien dit noodzakelijk blijkt;</w:t>
      </w:r>
    </w:p>
    <w:p w14:paraId="660AFE70" w14:textId="62B39E5E" w:rsidR="00B1099E" w:rsidRPr="00E134EA" w:rsidRDefault="3318739C" w:rsidP="00810204">
      <w:pPr>
        <w:pStyle w:val="NoSpacing"/>
        <w:numPr>
          <w:ilvl w:val="0"/>
          <w:numId w:val="2"/>
        </w:numPr>
        <w:spacing w:line="276" w:lineRule="auto"/>
        <w:rPr>
          <w:rFonts w:ascii="Tahoma" w:hAnsi="Tahoma" w:cs="Tahoma"/>
          <w:sz w:val="18"/>
          <w:szCs w:val="18"/>
        </w:rPr>
      </w:pPr>
      <w:r w:rsidRPr="00E134EA">
        <w:rPr>
          <w:rFonts w:ascii="Tahoma" w:hAnsi="Tahoma" w:cs="Tahoma"/>
          <w:sz w:val="18"/>
          <w:szCs w:val="18"/>
        </w:rPr>
        <w:t>betrekking te hebben op (delen van) de scope van de opdracht, zoals levering, implementatie, beheer en/of continuïteit van het meetsysteem.</w:t>
      </w:r>
    </w:p>
    <w:p w14:paraId="1C950619" w14:textId="6379E4C7" w:rsidR="00B1099E" w:rsidRPr="00E134EA" w:rsidRDefault="3318739C" w:rsidP="00810204">
      <w:pPr>
        <w:pStyle w:val="NoSpacing"/>
        <w:numPr>
          <w:ilvl w:val="0"/>
          <w:numId w:val="2"/>
        </w:numPr>
        <w:spacing w:line="276" w:lineRule="auto"/>
        <w:rPr>
          <w:rFonts w:ascii="Tahoma" w:hAnsi="Tahoma" w:cs="Tahoma"/>
          <w:sz w:val="18"/>
          <w:szCs w:val="18"/>
        </w:rPr>
      </w:pPr>
      <w:r w:rsidRPr="00E134EA">
        <w:rPr>
          <w:rFonts w:ascii="Tahoma" w:hAnsi="Tahoma" w:cs="Tahoma"/>
          <w:sz w:val="18"/>
          <w:szCs w:val="18"/>
        </w:rPr>
        <w:t>De garantie kan worden afgegeven door één of meerdere partijen (bijvoorbeeld fabrikant, technologiepartner, adviseur of andere deskundige partij). De nadruk ligt op de praktische beschikbaarheid van ondersteuning, niet op formele aansprakelijkheid.</w:t>
      </w:r>
    </w:p>
    <w:p w14:paraId="585459A8" w14:textId="77777777" w:rsidR="009D3429" w:rsidRDefault="009D3429" w:rsidP="00A553EF">
      <w:pPr>
        <w:pStyle w:val="NoSpacing"/>
        <w:spacing w:line="276" w:lineRule="auto"/>
        <w:rPr>
          <w:rFonts w:ascii="Tahoma" w:hAnsi="Tahoma" w:cs="Tahoma"/>
          <w:sz w:val="18"/>
          <w:szCs w:val="18"/>
        </w:rPr>
      </w:pPr>
    </w:p>
    <w:p w14:paraId="53830B91" w14:textId="0289BF83" w:rsidR="00B1099E" w:rsidRPr="008373BD" w:rsidRDefault="3318739C" w:rsidP="00A553EF">
      <w:pPr>
        <w:pStyle w:val="NoSpacing"/>
        <w:spacing w:line="276" w:lineRule="auto"/>
        <w:rPr>
          <w:rFonts w:ascii="Tahoma" w:hAnsi="Tahoma" w:cs="Tahoma"/>
          <w:b/>
          <w:bCs/>
          <w:sz w:val="18"/>
          <w:szCs w:val="18"/>
        </w:rPr>
      </w:pPr>
      <w:r w:rsidRPr="008373BD">
        <w:rPr>
          <w:rFonts w:ascii="Tahoma" w:hAnsi="Tahoma" w:cs="Tahoma"/>
          <w:b/>
          <w:bCs/>
          <w:sz w:val="18"/>
          <w:szCs w:val="18"/>
        </w:rPr>
        <w:t>Aanvullend Plan van Aanpak</w:t>
      </w:r>
    </w:p>
    <w:p w14:paraId="2CBC8CB5" w14:textId="115A8D00"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Naast het Plan van Aanpak dat wordt ingediend in het kader van de gunningscriteria, dient Inschrijver een aanvullend plan van aanpak aan te leveren dat specifiek gericht is op borging van geschiktheid.</w:t>
      </w:r>
      <w:r w:rsidR="000D5A99">
        <w:rPr>
          <w:rFonts w:ascii="Tahoma" w:hAnsi="Tahoma" w:cs="Tahoma"/>
          <w:sz w:val="18"/>
          <w:szCs w:val="18"/>
        </w:rPr>
        <w:t xml:space="preserve"> </w:t>
      </w:r>
      <w:r w:rsidRPr="00E134EA">
        <w:rPr>
          <w:rFonts w:ascii="Tahoma" w:hAnsi="Tahoma" w:cs="Tahoma"/>
          <w:sz w:val="18"/>
          <w:szCs w:val="18"/>
        </w:rPr>
        <w:t>Dit aanvullende plan onderscheidt zich van het gunnings-PvA en richt zich niet op oplossingskwaliteit, maar op het omgaan met onzekerheden en beperkte ervaring. Het aanvullende plan wordt getoetst op geschiktheid (go/no-go)</w:t>
      </w:r>
      <w:r w:rsidR="00970CFA">
        <w:rPr>
          <w:rFonts w:ascii="Tahoma" w:hAnsi="Tahoma" w:cs="Tahoma"/>
          <w:sz w:val="18"/>
          <w:szCs w:val="18"/>
        </w:rPr>
        <w:t>.</w:t>
      </w:r>
    </w:p>
    <w:p w14:paraId="09C3C637" w14:textId="77777777" w:rsidR="009D68A7" w:rsidRDefault="009D68A7" w:rsidP="00A553EF">
      <w:pPr>
        <w:pStyle w:val="NoSpacing"/>
        <w:spacing w:line="276" w:lineRule="auto"/>
        <w:rPr>
          <w:rFonts w:ascii="Tahoma" w:hAnsi="Tahoma" w:cs="Tahoma"/>
          <w:sz w:val="18"/>
          <w:szCs w:val="18"/>
        </w:rPr>
      </w:pPr>
    </w:p>
    <w:p w14:paraId="6941DF15" w14:textId="2235ECA2"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Het aanvullende plan beschrijft ten minste:</w:t>
      </w:r>
    </w:p>
    <w:p w14:paraId="0E8F5D03" w14:textId="6C7EC0AC" w:rsidR="00B1099E" w:rsidRPr="00E134EA" w:rsidRDefault="3318739C" w:rsidP="00DF2929">
      <w:pPr>
        <w:pStyle w:val="NoSpacing"/>
        <w:numPr>
          <w:ilvl w:val="0"/>
          <w:numId w:val="8"/>
        </w:numPr>
        <w:spacing w:line="276" w:lineRule="auto"/>
        <w:rPr>
          <w:rFonts w:ascii="Tahoma" w:hAnsi="Tahoma" w:cs="Tahoma"/>
          <w:sz w:val="18"/>
          <w:szCs w:val="18"/>
        </w:rPr>
      </w:pPr>
      <w:r w:rsidRPr="002B0FCD">
        <w:rPr>
          <w:rFonts w:ascii="Tahoma" w:hAnsi="Tahoma" w:cs="Tahoma"/>
          <w:i/>
          <w:iCs/>
          <w:sz w:val="18"/>
          <w:szCs w:val="18"/>
        </w:rPr>
        <w:t>Vangnet en kennisborging</w:t>
      </w:r>
      <w:r w:rsidR="00B1099E" w:rsidRPr="00E134EA">
        <w:rPr>
          <w:rFonts w:ascii="Tahoma" w:hAnsi="Tahoma" w:cs="Tahoma"/>
          <w:sz w:val="18"/>
          <w:szCs w:val="18"/>
        </w:rPr>
        <w:br/>
      </w:r>
      <w:r w:rsidRPr="00E134EA">
        <w:rPr>
          <w:rFonts w:ascii="Tahoma" w:hAnsi="Tahoma" w:cs="Tahoma"/>
          <w:sz w:val="18"/>
          <w:szCs w:val="18"/>
        </w:rPr>
        <w:t xml:space="preserve"> Op welke wijze Inschrijver ontbrekende ervaring of kennis compenseert en welke partijen hierbij kunnen worden geraadpleegd of ingezet.</w:t>
      </w:r>
    </w:p>
    <w:p w14:paraId="05C022AD" w14:textId="5F79B4B2" w:rsidR="00B1099E" w:rsidRPr="00E134EA" w:rsidRDefault="3318739C" w:rsidP="00DF2929">
      <w:pPr>
        <w:pStyle w:val="NoSpacing"/>
        <w:numPr>
          <w:ilvl w:val="0"/>
          <w:numId w:val="8"/>
        </w:numPr>
        <w:spacing w:line="276" w:lineRule="auto"/>
        <w:rPr>
          <w:rFonts w:ascii="Tahoma" w:hAnsi="Tahoma" w:cs="Tahoma"/>
          <w:sz w:val="18"/>
          <w:szCs w:val="18"/>
        </w:rPr>
      </w:pPr>
      <w:r w:rsidRPr="00794471">
        <w:rPr>
          <w:rFonts w:ascii="Tahoma" w:hAnsi="Tahoma" w:cs="Tahoma"/>
          <w:i/>
          <w:iCs/>
          <w:sz w:val="18"/>
          <w:szCs w:val="18"/>
        </w:rPr>
        <w:t>Ondersteunings- en escalatiestructuur</w:t>
      </w:r>
      <w:r w:rsidR="00B1099E" w:rsidRPr="00E134EA">
        <w:rPr>
          <w:rFonts w:ascii="Tahoma" w:hAnsi="Tahoma" w:cs="Tahoma"/>
          <w:sz w:val="18"/>
          <w:szCs w:val="18"/>
        </w:rPr>
        <w:br/>
      </w:r>
      <w:r w:rsidRPr="00E134EA">
        <w:rPr>
          <w:rFonts w:ascii="Tahoma" w:hAnsi="Tahoma" w:cs="Tahoma"/>
          <w:sz w:val="18"/>
          <w:szCs w:val="18"/>
        </w:rPr>
        <w:t xml:space="preserve"> Hoe wordt gehandeld indien zich technische, operationele of organisatorische situaties voordoen waarin aanvullende expertise noodzakelijk is.</w:t>
      </w:r>
    </w:p>
    <w:p w14:paraId="35F8B0F9" w14:textId="16EA4277" w:rsidR="00B1099E" w:rsidRPr="00E134EA" w:rsidRDefault="3318739C" w:rsidP="00DF2929">
      <w:pPr>
        <w:pStyle w:val="NoSpacing"/>
        <w:numPr>
          <w:ilvl w:val="0"/>
          <w:numId w:val="8"/>
        </w:numPr>
        <w:spacing w:line="276" w:lineRule="auto"/>
        <w:rPr>
          <w:rFonts w:ascii="Tahoma" w:hAnsi="Tahoma" w:cs="Tahoma"/>
          <w:sz w:val="18"/>
          <w:szCs w:val="18"/>
        </w:rPr>
      </w:pPr>
      <w:r w:rsidRPr="0081511C">
        <w:rPr>
          <w:rFonts w:ascii="Tahoma" w:hAnsi="Tahoma" w:cs="Tahoma"/>
          <w:i/>
          <w:iCs/>
          <w:sz w:val="18"/>
          <w:szCs w:val="18"/>
        </w:rPr>
        <w:t>Omgaan met onvoorziene omstandigheden</w:t>
      </w:r>
      <w:r w:rsidR="00B1099E" w:rsidRPr="00E134EA">
        <w:rPr>
          <w:rFonts w:ascii="Tahoma" w:hAnsi="Tahoma" w:cs="Tahoma"/>
          <w:sz w:val="18"/>
          <w:szCs w:val="18"/>
        </w:rPr>
        <w:br/>
      </w:r>
      <w:r w:rsidRPr="00E134EA">
        <w:rPr>
          <w:rFonts w:ascii="Tahoma" w:hAnsi="Tahoma" w:cs="Tahoma"/>
          <w:sz w:val="18"/>
          <w:szCs w:val="18"/>
        </w:rPr>
        <w:t xml:space="preserve"> Hoe Inschrijver inspeelt op onverwachte gebeurtenissen gedurende implementatie en looptijd (bijvoorbeeld wijzigingen in vliegroutes, technische tegenvallers of dataverstoringen).</w:t>
      </w:r>
    </w:p>
    <w:p w14:paraId="0C88FA6B" w14:textId="09591922" w:rsidR="00B1099E" w:rsidRPr="00E134EA" w:rsidRDefault="3318739C" w:rsidP="00DF2929">
      <w:pPr>
        <w:pStyle w:val="NoSpacing"/>
        <w:numPr>
          <w:ilvl w:val="0"/>
          <w:numId w:val="8"/>
        </w:numPr>
        <w:spacing w:line="276" w:lineRule="auto"/>
        <w:rPr>
          <w:rFonts w:ascii="Tahoma" w:hAnsi="Tahoma" w:cs="Tahoma"/>
          <w:sz w:val="18"/>
          <w:szCs w:val="18"/>
        </w:rPr>
      </w:pPr>
      <w:r w:rsidRPr="002776BD">
        <w:rPr>
          <w:rFonts w:ascii="Tahoma" w:hAnsi="Tahoma" w:cs="Tahoma"/>
          <w:i/>
          <w:iCs/>
          <w:sz w:val="18"/>
          <w:szCs w:val="18"/>
        </w:rPr>
        <w:t>Continuïteit en leervermogen</w:t>
      </w:r>
      <w:r w:rsidR="00B1099E" w:rsidRPr="00E134EA">
        <w:rPr>
          <w:rFonts w:ascii="Tahoma" w:hAnsi="Tahoma" w:cs="Tahoma"/>
          <w:sz w:val="18"/>
          <w:szCs w:val="18"/>
        </w:rPr>
        <w:br/>
      </w:r>
      <w:r w:rsidRPr="00E134EA">
        <w:rPr>
          <w:rFonts w:ascii="Tahoma" w:hAnsi="Tahoma" w:cs="Tahoma"/>
          <w:sz w:val="18"/>
          <w:szCs w:val="18"/>
        </w:rPr>
        <w:t xml:space="preserve"> Hoe wordt geborgd dat het meetsysteem blijvend voldoet aan de eisen en hoe ervaringen uit de praktijk worden benut voor verbetering.</w:t>
      </w:r>
    </w:p>
    <w:p w14:paraId="5BDE7366" w14:textId="77777777" w:rsidR="00385C0A" w:rsidRPr="00DF7F61" w:rsidRDefault="00385C0A" w:rsidP="00A553EF">
      <w:pPr>
        <w:pStyle w:val="NoSpacing"/>
        <w:spacing w:line="276" w:lineRule="auto"/>
        <w:rPr>
          <w:rFonts w:ascii="Tahoma" w:hAnsi="Tahoma" w:cs="Tahoma"/>
          <w:b/>
          <w:bCs/>
          <w:sz w:val="18"/>
          <w:szCs w:val="18"/>
        </w:rPr>
      </w:pPr>
    </w:p>
    <w:p w14:paraId="62165FA6" w14:textId="0FBCDFB2" w:rsidR="00B1099E" w:rsidRPr="00DF7F61" w:rsidRDefault="3318739C" w:rsidP="00A553EF">
      <w:pPr>
        <w:pStyle w:val="NoSpacing"/>
        <w:spacing w:line="276" w:lineRule="auto"/>
        <w:rPr>
          <w:rFonts w:ascii="Tahoma" w:hAnsi="Tahoma" w:cs="Tahoma"/>
          <w:b/>
          <w:bCs/>
          <w:sz w:val="18"/>
          <w:szCs w:val="18"/>
        </w:rPr>
      </w:pPr>
      <w:r w:rsidRPr="00DF7F61">
        <w:rPr>
          <w:rFonts w:ascii="Tahoma" w:hAnsi="Tahoma" w:cs="Tahoma"/>
          <w:b/>
          <w:bCs/>
          <w:sz w:val="18"/>
          <w:szCs w:val="18"/>
        </w:rPr>
        <w:t>Beoordeling</w:t>
      </w:r>
    </w:p>
    <w:p w14:paraId="2EAA749A" w14:textId="23ACFBE7" w:rsidR="00B1099E" w:rsidRPr="00E134EA" w:rsidRDefault="3318739C" w:rsidP="00A553EF">
      <w:pPr>
        <w:pStyle w:val="NoSpacing"/>
        <w:spacing w:line="276" w:lineRule="auto"/>
        <w:rPr>
          <w:rFonts w:ascii="Tahoma" w:hAnsi="Tahoma" w:cs="Tahoma"/>
          <w:sz w:val="18"/>
          <w:szCs w:val="18"/>
        </w:rPr>
      </w:pPr>
      <w:r w:rsidRPr="00E134EA">
        <w:rPr>
          <w:rFonts w:ascii="Tahoma" w:hAnsi="Tahoma" w:cs="Tahoma"/>
          <w:sz w:val="18"/>
          <w:szCs w:val="18"/>
        </w:rPr>
        <w:t>Opdrachtgever beoordeelt of de combinatie van de garantieverklaring en het aanvullende plan van aanpak voldoende vertrouwen biedt dat Inschrijver beschikt over een gelijkwaardig niveau van geschiktheid als bedoeld met Eis KC1. Indien dit niet het geval is, kan de inschrijving ongeldig worden verklaard.</w:t>
      </w:r>
    </w:p>
    <w:p w14:paraId="74089E34" w14:textId="03FEED27" w:rsidR="00B1099E" w:rsidRPr="00E134EA" w:rsidRDefault="00B1099E" w:rsidP="00A553EF">
      <w:pPr>
        <w:pStyle w:val="NoSpacing"/>
        <w:spacing w:line="276" w:lineRule="auto"/>
        <w:rPr>
          <w:rFonts w:ascii="Tahoma" w:hAnsi="Tahoma" w:cs="Tahoma"/>
          <w:sz w:val="18"/>
          <w:szCs w:val="18"/>
        </w:rPr>
      </w:pPr>
    </w:p>
    <w:sectPr w:rsidR="00B1099E" w:rsidRPr="00E134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44BC8"/>
    <w:multiLevelType w:val="multilevel"/>
    <w:tmpl w:val="0520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59A6E"/>
    <w:multiLevelType w:val="hybridMultilevel"/>
    <w:tmpl w:val="FFFFFFFF"/>
    <w:lvl w:ilvl="0" w:tplc="2A706138">
      <w:start w:val="1"/>
      <w:numFmt w:val="bullet"/>
      <w:lvlText w:val=""/>
      <w:lvlJc w:val="left"/>
      <w:pPr>
        <w:ind w:left="720" w:hanging="360"/>
      </w:pPr>
      <w:rPr>
        <w:rFonts w:ascii="Symbol" w:hAnsi="Symbol" w:hint="default"/>
      </w:rPr>
    </w:lvl>
    <w:lvl w:ilvl="1" w:tplc="0BB0D4CA">
      <w:start w:val="1"/>
      <w:numFmt w:val="bullet"/>
      <w:lvlText w:val="o"/>
      <w:lvlJc w:val="left"/>
      <w:pPr>
        <w:ind w:left="1440" w:hanging="360"/>
      </w:pPr>
      <w:rPr>
        <w:rFonts w:ascii="Courier New" w:hAnsi="Courier New" w:hint="default"/>
      </w:rPr>
    </w:lvl>
    <w:lvl w:ilvl="2" w:tplc="D1CC1FCC">
      <w:start w:val="1"/>
      <w:numFmt w:val="bullet"/>
      <w:lvlText w:val=""/>
      <w:lvlJc w:val="left"/>
      <w:pPr>
        <w:ind w:left="2160" w:hanging="360"/>
      </w:pPr>
      <w:rPr>
        <w:rFonts w:ascii="Wingdings" w:hAnsi="Wingdings" w:hint="default"/>
      </w:rPr>
    </w:lvl>
    <w:lvl w:ilvl="3" w:tplc="31D63A6C">
      <w:start w:val="1"/>
      <w:numFmt w:val="bullet"/>
      <w:lvlText w:val=""/>
      <w:lvlJc w:val="left"/>
      <w:pPr>
        <w:ind w:left="2880" w:hanging="360"/>
      </w:pPr>
      <w:rPr>
        <w:rFonts w:ascii="Symbol" w:hAnsi="Symbol" w:hint="default"/>
      </w:rPr>
    </w:lvl>
    <w:lvl w:ilvl="4" w:tplc="A330DEE4">
      <w:start w:val="1"/>
      <w:numFmt w:val="bullet"/>
      <w:lvlText w:val="o"/>
      <w:lvlJc w:val="left"/>
      <w:pPr>
        <w:ind w:left="3600" w:hanging="360"/>
      </w:pPr>
      <w:rPr>
        <w:rFonts w:ascii="Courier New" w:hAnsi="Courier New" w:hint="default"/>
      </w:rPr>
    </w:lvl>
    <w:lvl w:ilvl="5" w:tplc="55D41A9A">
      <w:start w:val="1"/>
      <w:numFmt w:val="bullet"/>
      <w:lvlText w:val=""/>
      <w:lvlJc w:val="left"/>
      <w:pPr>
        <w:ind w:left="4320" w:hanging="360"/>
      </w:pPr>
      <w:rPr>
        <w:rFonts w:ascii="Wingdings" w:hAnsi="Wingdings" w:hint="default"/>
      </w:rPr>
    </w:lvl>
    <w:lvl w:ilvl="6" w:tplc="093A6E9C">
      <w:start w:val="1"/>
      <w:numFmt w:val="bullet"/>
      <w:lvlText w:val=""/>
      <w:lvlJc w:val="left"/>
      <w:pPr>
        <w:ind w:left="5040" w:hanging="360"/>
      </w:pPr>
      <w:rPr>
        <w:rFonts w:ascii="Symbol" w:hAnsi="Symbol" w:hint="default"/>
      </w:rPr>
    </w:lvl>
    <w:lvl w:ilvl="7" w:tplc="E3E2DAE8">
      <w:start w:val="1"/>
      <w:numFmt w:val="bullet"/>
      <w:lvlText w:val="o"/>
      <w:lvlJc w:val="left"/>
      <w:pPr>
        <w:ind w:left="5760" w:hanging="360"/>
      </w:pPr>
      <w:rPr>
        <w:rFonts w:ascii="Courier New" w:hAnsi="Courier New" w:hint="default"/>
      </w:rPr>
    </w:lvl>
    <w:lvl w:ilvl="8" w:tplc="BA140662">
      <w:start w:val="1"/>
      <w:numFmt w:val="bullet"/>
      <w:lvlText w:val=""/>
      <w:lvlJc w:val="left"/>
      <w:pPr>
        <w:ind w:left="6480" w:hanging="360"/>
      </w:pPr>
      <w:rPr>
        <w:rFonts w:ascii="Wingdings" w:hAnsi="Wingdings" w:hint="default"/>
      </w:rPr>
    </w:lvl>
  </w:abstractNum>
  <w:abstractNum w:abstractNumId="2" w15:restartNumberingAfterBreak="0">
    <w:nsid w:val="43CD4F33"/>
    <w:multiLevelType w:val="hybridMultilevel"/>
    <w:tmpl w:val="4B600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063563"/>
    <w:multiLevelType w:val="hybridMultilevel"/>
    <w:tmpl w:val="C7FED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12174D"/>
    <w:multiLevelType w:val="multilevel"/>
    <w:tmpl w:val="2D8E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B5E7A"/>
    <w:multiLevelType w:val="hybridMultilevel"/>
    <w:tmpl w:val="544E8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060114"/>
    <w:multiLevelType w:val="hybridMultilevel"/>
    <w:tmpl w:val="380C9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8D36DB"/>
    <w:multiLevelType w:val="multilevel"/>
    <w:tmpl w:val="49A4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B62E8"/>
    <w:multiLevelType w:val="multilevel"/>
    <w:tmpl w:val="30DE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F8812"/>
    <w:multiLevelType w:val="hybridMultilevel"/>
    <w:tmpl w:val="FFFFFFFF"/>
    <w:lvl w:ilvl="0" w:tplc="60D2F778">
      <w:start w:val="1"/>
      <w:numFmt w:val="bullet"/>
      <w:lvlText w:val=""/>
      <w:lvlJc w:val="left"/>
      <w:pPr>
        <w:ind w:left="720" w:hanging="360"/>
      </w:pPr>
      <w:rPr>
        <w:rFonts w:ascii="Symbol" w:hAnsi="Symbol" w:hint="default"/>
      </w:rPr>
    </w:lvl>
    <w:lvl w:ilvl="1" w:tplc="45A4F5F8">
      <w:start w:val="1"/>
      <w:numFmt w:val="bullet"/>
      <w:lvlText w:val="o"/>
      <w:lvlJc w:val="left"/>
      <w:pPr>
        <w:ind w:left="1440" w:hanging="360"/>
      </w:pPr>
      <w:rPr>
        <w:rFonts w:ascii="Courier New" w:hAnsi="Courier New" w:hint="default"/>
      </w:rPr>
    </w:lvl>
    <w:lvl w:ilvl="2" w:tplc="D786DCA2">
      <w:start w:val="1"/>
      <w:numFmt w:val="bullet"/>
      <w:lvlText w:val=""/>
      <w:lvlJc w:val="left"/>
      <w:pPr>
        <w:ind w:left="2160" w:hanging="360"/>
      </w:pPr>
      <w:rPr>
        <w:rFonts w:ascii="Wingdings" w:hAnsi="Wingdings" w:hint="default"/>
      </w:rPr>
    </w:lvl>
    <w:lvl w:ilvl="3" w:tplc="C062F884">
      <w:start w:val="1"/>
      <w:numFmt w:val="bullet"/>
      <w:lvlText w:val=""/>
      <w:lvlJc w:val="left"/>
      <w:pPr>
        <w:ind w:left="2880" w:hanging="360"/>
      </w:pPr>
      <w:rPr>
        <w:rFonts w:ascii="Symbol" w:hAnsi="Symbol" w:hint="default"/>
      </w:rPr>
    </w:lvl>
    <w:lvl w:ilvl="4" w:tplc="939A100A">
      <w:start w:val="1"/>
      <w:numFmt w:val="bullet"/>
      <w:lvlText w:val="o"/>
      <w:lvlJc w:val="left"/>
      <w:pPr>
        <w:ind w:left="3600" w:hanging="360"/>
      </w:pPr>
      <w:rPr>
        <w:rFonts w:ascii="Courier New" w:hAnsi="Courier New" w:hint="default"/>
      </w:rPr>
    </w:lvl>
    <w:lvl w:ilvl="5" w:tplc="A11AEE78">
      <w:start w:val="1"/>
      <w:numFmt w:val="bullet"/>
      <w:lvlText w:val=""/>
      <w:lvlJc w:val="left"/>
      <w:pPr>
        <w:ind w:left="4320" w:hanging="360"/>
      </w:pPr>
      <w:rPr>
        <w:rFonts w:ascii="Wingdings" w:hAnsi="Wingdings" w:hint="default"/>
      </w:rPr>
    </w:lvl>
    <w:lvl w:ilvl="6" w:tplc="25C42EFE">
      <w:start w:val="1"/>
      <w:numFmt w:val="bullet"/>
      <w:lvlText w:val=""/>
      <w:lvlJc w:val="left"/>
      <w:pPr>
        <w:ind w:left="5040" w:hanging="360"/>
      </w:pPr>
      <w:rPr>
        <w:rFonts w:ascii="Symbol" w:hAnsi="Symbol" w:hint="default"/>
      </w:rPr>
    </w:lvl>
    <w:lvl w:ilvl="7" w:tplc="0AA81CC2">
      <w:start w:val="1"/>
      <w:numFmt w:val="bullet"/>
      <w:lvlText w:val="o"/>
      <w:lvlJc w:val="left"/>
      <w:pPr>
        <w:ind w:left="5760" w:hanging="360"/>
      </w:pPr>
      <w:rPr>
        <w:rFonts w:ascii="Courier New" w:hAnsi="Courier New" w:hint="default"/>
      </w:rPr>
    </w:lvl>
    <w:lvl w:ilvl="8" w:tplc="A19A0F2C">
      <w:start w:val="1"/>
      <w:numFmt w:val="bullet"/>
      <w:lvlText w:val=""/>
      <w:lvlJc w:val="left"/>
      <w:pPr>
        <w:ind w:left="6480" w:hanging="360"/>
      </w:pPr>
      <w:rPr>
        <w:rFonts w:ascii="Wingdings" w:hAnsi="Wingdings" w:hint="default"/>
      </w:rPr>
    </w:lvl>
  </w:abstractNum>
  <w:abstractNum w:abstractNumId="10" w15:restartNumberingAfterBreak="0">
    <w:nsid w:val="6A5C2067"/>
    <w:multiLevelType w:val="hybridMultilevel"/>
    <w:tmpl w:val="9FBED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F304AC"/>
    <w:multiLevelType w:val="hybridMultilevel"/>
    <w:tmpl w:val="D1CC2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BA5FD5"/>
    <w:multiLevelType w:val="hybridMultilevel"/>
    <w:tmpl w:val="7CDEC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060974">
    <w:abstractNumId w:val="11"/>
  </w:num>
  <w:num w:numId="2" w16cid:durableId="1303580645">
    <w:abstractNumId w:val="12"/>
  </w:num>
  <w:num w:numId="3" w16cid:durableId="1470856647">
    <w:abstractNumId w:val="1"/>
  </w:num>
  <w:num w:numId="4" w16cid:durableId="1591085716">
    <w:abstractNumId w:val="4"/>
  </w:num>
  <w:num w:numId="5" w16cid:durableId="1636373289">
    <w:abstractNumId w:val="6"/>
  </w:num>
  <w:num w:numId="6" w16cid:durableId="2003000477">
    <w:abstractNumId w:val="5"/>
  </w:num>
  <w:num w:numId="7" w16cid:durableId="319962027">
    <w:abstractNumId w:val="2"/>
  </w:num>
  <w:num w:numId="8" w16cid:durableId="329722573">
    <w:abstractNumId w:val="3"/>
  </w:num>
  <w:num w:numId="9" w16cid:durableId="383873587">
    <w:abstractNumId w:val="10"/>
  </w:num>
  <w:num w:numId="10" w16cid:durableId="476454007">
    <w:abstractNumId w:val="7"/>
  </w:num>
  <w:num w:numId="11" w16cid:durableId="731804908">
    <w:abstractNumId w:val="8"/>
  </w:num>
  <w:num w:numId="12" w16cid:durableId="795179448">
    <w:abstractNumId w:val="0"/>
  </w:num>
  <w:num w:numId="13" w16cid:durableId="8027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9E"/>
    <w:rsid w:val="00063323"/>
    <w:rsid w:val="000724FD"/>
    <w:rsid w:val="00090A37"/>
    <w:rsid w:val="000A34B0"/>
    <w:rsid w:val="000D5A99"/>
    <w:rsid w:val="00100128"/>
    <w:rsid w:val="0012635C"/>
    <w:rsid w:val="00130676"/>
    <w:rsid w:val="00190847"/>
    <w:rsid w:val="001A6B13"/>
    <w:rsid w:val="001D03E3"/>
    <w:rsid w:val="0026435F"/>
    <w:rsid w:val="002776BD"/>
    <w:rsid w:val="002B0FCD"/>
    <w:rsid w:val="00385C0A"/>
    <w:rsid w:val="003A4558"/>
    <w:rsid w:val="003F3298"/>
    <w:rsid w:val="003F795F"/>
    <w:rsid w:val="004C7B68"/>
    <w:rsid w:val="004E4D8C"/>
    <w:rsid w:val="00550FA2"/>
    <w:rsid w:val="00615F4E"/>
    <w:rsid w:val="00616D63"/>
    <w:rsid w:val="00637C81"/>
    <w:rsid w:val="00645F64"/>
    <w:rsid w:val="00660CB4"/>
    <w:rsid w:val="00701036"/>
    <w:rsid w:val="007216EB"/>
    <w:rsid w:val="00751936"/>
    <w:rsid w:val="00794471"/>
    <w:rsid w:val="007C2A75"/>
    <w:rsid w:val="00810204"/>
    <w:rsid w:val="0081511C"/>
    <w:rsid w:val="008373BD"/>
    <w:rsid w:val="00850FD3"/>
    <w:rsid w:val="00881681"/>
    <w:rsid w:val="008F593D"/>
    <w:rsid w:val="00942230"/>
    <w:rsid w:val="00970CFA"/>
    <w:rsid w:val="00977D15"/>
    <w:rsid w:val="00987F67"/>
    <w:rsid w:val="009C441E"/>
    <w:rsid w:val="009D3429"/>
    <w:rsid w:val="009D68A7"/>
    <w:rsid w:val="00A553EF"/>
    <w:rsid w:val="00AF2C85"/>
    <w:rsid w:val="00B1099E"/>
    <w:rsid w:val="00B907F1"/>
    <w:rsid w:val="00BA5C18"/>
    <w:rsid w:val="00C11D39"/>
    <w:rsid w:val="00C20D46"/>
    <w:rsid w:val="00C26C2B"/>
    <w:rsid w:val="00C53FC0"/>
    <w:rsid w:val="00CE2AAD"/>
    <w:rsid w:val="00D33F1C"/>
    <w:rsid w:val="00DB3231"/>
    <w:rsid w:val="00DD15F8"/>
    <w:rsid w:val="00DE5A4A"/>
    <w:rsid w:val="00DF2929"/>
    <w:rsid w:val="00DF7F61"/>
    <w:rsid w:val="00E134EA"/>
    <w:rsid w:val="00E21CA6"/>
    <w:rsid w:val="00F01DFA"/>
    <w:rsid w:val="00F02910"/>
    <w:rsid w:val="00F6122A"/>
    <w:rsid w:val="00FA0751"/>
    <w:rsid w:val="00FA3A86"/>
    <w:rsid w:val="00FB2D66"/>
    <w:rsid w:val="00FB60BA"/>
    <w:rsid w:val="00FC4C2D"/>
    <w:rsid w:val="00FD4C71"/>
    <w:rsid w:val="00FF2640"/>
    <w:rsid w:val="0DDBE8D8"/>
    <w:rsid w:val="1C9575CE"/>
    <w:rsid w:val="23DD1EE2"/>
    <w:rsid w:val="3318739C"/>
    <w:rsid w:val="4523E51B"/>
    <w:rsid w:val="4CC16DD9"/>
    <w:rsid w:val="59BDEA3B"/>
    <w:rsid w:val="739E4A14"/>
    <w:rsid w:val="74FC8B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77AA54"/>
  <w15:chartTrackingRefBased/>
  <w15:docId w15:val="{8991EB2C-F664-41A4-982D-C56D8CF9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9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9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9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9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9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9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9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99E"/>
    <w:rPr>
      <w:rFonts w:eastAsiaTheme="majorEastAsia" w:cstheme="majorBidi"/>
      <w:color w:val="272727" w:themeColor="text1" w:themeTint="D8"/>
    </w:rPr>
  </w:style>
  <w:style w:type="paragraph" w:styleId="Title">
    <w:name w:val="Title"/>
    <w:basedOn w:val="Normal"/>
    <w:next w:val="Normal"/>
    <w:link w:val="TitleChar"/>
    <w:uiPriority w:val="10"/>
    <w:qFormat/>
    <w:rsid w:val="00B10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99E"/>
    <w:pPr>
      <w:spacing w:before="160"/>
      <w:jc w:val="center"/>
    </w:pPr>
    <w:rPr>
      <w:i/>
      <w:iCs/>
      <w:color w:val="404040" w:themeColor="text1" w:themeTint="BF"/>
    </w:rPr>
  </w:style>
  <w:style w:type="character" w:customStyle="1" w:styleId="QuoteChar">
    <w:name w:val="Quote Char"/>
    <w:basedOn w:val="DefaultParagraphFont"/>
    <w:link w:val="Quote"/>
    <w:uiPriority w:val="29"/>
    <w:rsid w:val="00B1099E"/>
    <w:rPr>
      <w:i/>
      <w:iCs/>
      <w:color w:val="404040" w:themeColor="text1" w:themeTint="BF"/>
    </w:rPr>
  </w:style>
  <w:style w:type="paragraph" w:styleId="ListParagraph">
    <w:name w:val="List Paragraph"/>
    <w:basedOn w:val="Normal"/>
    <w:uiPriority w:val="34"/>
    <w:qFormat/>
    <w:rsid w:val="00B1099E"/>
    <w:pPr>
      <w:ind w:left="720"/>
      <w:contextualSpacing/>
    </w:pPr>
  </w:style>
  <w:style w:type="character" w:styleId="IntenseEmphasis">
    <w:name w:val="Intense Emphasis"/>
    <w:basedOn w:val="DefaultParagraphFont"/>
    <w:uiPriority w:val="21"/>
    <w:qFormat/>
    <w:rsid w:val="00B1099E"/>
    <w:rPr>
      <w:i/>
      <w:iCs/>
      <w:color w:val="0F4761" w:themeColor="accent1" w:themeShade="BF"/>
    </w:rPr>
  </w:style>
  <w:style w:type="paragraph" w:styleId="IntenseQuote">
    <w:name w:val="Intense Quote"/>
    <w:basedOn w:val="Normal"/>
    <w:next w:val="Normal"/>
    <w:link w:val="IntenseQuoteChar"/>
    <w:uiPriority w:val="30"/>
    <w:qFormat/>
    <w:rsid w:val="00B10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99E"/>
    <w:rPr>
      <w:i/>
      <w:iCs/>
      <w:color w:val="0F4761" w:themeColor="accent1" w:themeShade="BF"/>
    </w:rPr>
  </w:style>
  <w:style w:type="character" w:styleId="IntenseReference">
    <w:name w:val="Intense Reference"/>
    <w:basedOn w:val="DefaultParagraphFont"/>
    <w:uiPriority w:val="32"/>
    <w:qFormat/>
    <w:rsid w:val="00B1099E"/>
    <w:rPr>
      <w:b/>
      <w:bCs/>
      <w:smallCaps/>
      <w:color w:val="0F4761" w:themeColor="accent1" w:themeShade="BF"/>
      <w:spacing w:val="5"/>
    </w:rPr>
  </w:style>
  <w:style w:type="paragraph" w:styleId="NoSpacing">
    <w:name w:val="No Spacing"/>
    <w:uiPriority w:val="1"/>
    <w:qFormat/>
    <w:rsid w:val="00B10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1b4a56-6a17-4ab7-9e57-00f507393f5b" xsi:nil="true"/>
    <lcf76f155ced4ddcb4097134ff3c332f xmlns="7b831ae4-0b52-4695-8db3-aa2fbf7ee5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ECDD09C14724DB9B5A1B12683A667" ma:contentTypeVersion="10" ma:contentTypeDescription="Een nieuw document maken." ma:contentTypeScope="" ma:versionID="3253b63610efc93526443cd0698f92e8">
  <xsd:schema xmlns:xsd="http://www.w3.org/2001/XMLSchema" xmlns:xs="http://www.w3.org/2001/XMLSchema" xmlns:p="http://schemas.microsoft.com/office/2006/metadata/properties" xmlns:ns2="7b831ae4-0b52-4695-8db3-aa2fbf7ee52e" xmlns:ns3="a81b4a56-6a17-4ab7-9e57-00f507393f5b" targetNamespace="http://schemas.microsoft.com/office/2006/metadata/properties" ma:root="true" ma:fieldsID="da163391d35225c32bd1ea392c12a2bd" ns2:_="" ns3:_="">
    <xsd:import namespace="7b831ae4-0b52-4695-8db3-aa2fbf7ee52e"/>
    <xsd:import namespace="a81b4a56-6a17-4ab7-9e57-00f507393f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31ae4-0b52-4695-8db3-aa2fbf7ee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abb4764-856e-420c-9370-7ca6f53f76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Location" ma:index="1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b4a56-6a17-4ab7-9e57-00f507393f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e22ca8-5c14-4913-9d49-b524e1b75137}" ma:internalName="TaxCatchAll" ma:showField="CatchAllData" ma:web="a81b4a56-6a17-4ab7-9e57-00f507393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61068-B26E-4F6B-AE4D-3EC59FA566FC}">
  <ds:schemaRefs>
    <ds:schemaRef ds:uri="http://schemas.microsoft.com/office/2006/metadata/properties"/>
    <ds:schemaRef ds:uri="http://schemas.microsoft.com/office/infopath/2007/PartnerControls"/>
    <ds:schemaRef ds:uri="a81b4a56-6a17-4ab7-9e57-00f507393f5b"/>
    <ds:schemaRef ds:uri="7b831ae4-0b52-4695-8db3-aa2fbf7ee52e"/>
  </ds:schemaRefs>
</ds:datastoreItem>
</file>

<file path=customXml/itemProps2.xml><?xml version="1.0" encoding="utf-8"?>
<ds:datastoreItem xmlns:ds="http://schemas.openxmlformats.org/officeDocument/2006/customXml" ds:itemID="{3A39C11B-DC97-4D4A-A245-D10BF79F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31ae4-0b52-4695-8db3-aa2fbf7ee52e"/>
    <ds:schemaRef ds:uri="a81b4a56-6a17-4ab7-9e57-00f507393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88409-217E-496D-B7A9-E658E99B8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Kastelijn</dc:creator>
  <cp:keywords/>
  <dc:description/>
  <cp:lastModifiedBy>Merel Kastelijn</cp:lastModifiedBy>
  <cp:revision>1</cp:revision>
  <dcterms:created xsi:type="dcterms:W3CDTF">2026-01-16T14:17:00Z</dcterms:created>
  <dcterms:modified xsi:type="dcterms:W3CDTF">2026-01-19T15:22:00Z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0x0101001CFECDD09C14724DB9B5A1B12683A667</vt:lpwstr>
  </property>
  <property fmtid="{D5CDD505-2E9C-101B-9397-08002B2CF9AE}" pid="3" name="MediaServiceImageTags">
    <vt:lpwstr/>
  </property>
</Properties>
</file>