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w:t>
      </w:r>
      <w:proofErr w:type="spellStart"/>
      <w:r w:rsidR="009C0136" w:rsidRPr="009C0136">
        <w:rPr>
          <w:bCs/>
          <w:color w:val="auto"/>
          <w:sz w:val="22"/>
        </w:rPr>
        <w:t>PvE</w:t>
      </w:r>
      <w:proofErr w:type="spellEnd"/>
      <w:r w:rsidR="009C0136" w:rsidRPr="009C0136">
        <w:rPr>
          <w:bCs/>
          <w:color w:val="auto"/>
          <w:sz w:val="22"/>
        </w:rPr>
        <w:t xml:space="preser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0F123A12" w14:textId="6B691E14" w:rsidR="0030524B"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proofErr w:type="spellStart"/>
      <w:r w:rsidR="009C0136" w:rsidRPr="009C0136">
        <w:rPr>
          <w:bCs/>
          <w:color w:val="auto"/>
          <w:sz w:val="22"/>
        </w:rPr>
        <w:t>PvE</w:t>
      </w:r>
      <w:proofErr w:type="spellEnd"/>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7B72E683" w14:textId="77777777" w:rsidR="0030524B" w:rsidRPr="0030524B" w:rsidRDefault="0030524B" w:rsidP="0030524B">
      <w:pPr>
        <w:pStyle w:val="Kop2"/>
      </w:pPr>
      <w:r w:rsidRPr="0030524B">
        <w:t>2.</w:t>
      </w:r>
      <w:r w:rsidRPr="0030524B">
        <w:tab/>
        <w:t>Onderbouwing en bewijsstukken door aanbieders</w:t>
      </w:r>
    </w:p>
    <w:p w14:paraId="02021D10" w14:textId="77777777" w:rsidR="0030524B" w:rsidRPr="0030524B" w:rsidRDefault="0030524B" w:rsidP="0030524B">
      <w:pPr>
        <w:spacing w:line="240" w:lineRule="auto"/>
        <w:rPr>
          <w:bCs/>
          <w:color w:val="auto"/>
          <w:sz w:val="22"/>
        </w:rPr>
      </w:pPr>
      <w:r w:rsidRPr="0030524B">
        <w:rPr>
          <w:bCs/>
          <w:color w:val="auto"/>
          <w:sz w:val="22"/>
        </w:rPr>
        <w:t xml:space="preserve">Inkoop en Contractmanagement (ICM) van de regio Zuidoost Utrecht (ZOU), vraagt de Inschrijver om eventuele bewijsmiddelen ter ondersteuning van de Inschrijving en het Programma van Eisen. Deze bewijsmiddelen dienen in dat geval aan ICM ter beschikking te worden gesteld via </w:t>
      </w:r>
      <w:proofErr w:type="spellStart"/>
      <w:r w:rsidRPr="0030524B">
        <w:rPr>
          <w:bCs/>
          <w:color w:val="auto"/>
          <w:sz w:val="22"/>
        </w:rPr>
        <w:t>TenderNed</w:t>
      </w:r>
      <w:proofErr w:type="spellEnd"/>
      <w:r w:rsidRPr="0030524B">
        <w:rPr>
          <w:bCs/>
          <w:color w:val="auto"/>
          <w:sz w:val="22"/>
        </w:rPr>
        <w:t>. De inschrijver verklaart als er binnen dit Pakket van Eisen geen bewijsstuk wordt gevraagd, door bevestiging en ondertekening van dit Pakket van eisen dat aan deze vereisten wordt voldaan.</w:t>
      </w:r>
    </w:p>
    <w:p w14:paraId="2621B0D4" w14:textId="77777777" w:rsidR="0030524B" w:rsidRPr="0030524B" w:rsidRDefault="0030524B" w:rsidP="0030524B">
      <w:pPr>
        <w:spacing w:line="240" w:lineRule="auto"/>
        <w:rPr>
          <w:bCs/>
          <w:color w:val="auto"/>
          <w:sz w:val="22"/>
        </w:rPr>
      </w:pPr>
    </w:p>
    <w:p w14:paraId="4B29E942" w14:textId="432069EB" w:rsidR="0030524B" w:rsidRPr="0030524B" w:rsidRDefault="0030524B" w:rsidP="0061213C">
      <w:pPr>
        <w:spacing w:line="240" w:lineRule="auto"/>
        <w:rPr>
          <w:bCs/>
          <w:color w:val="auto"/>
          <w:sz w:val="22"/>
        </w:rPr>
      </w:pPr>
      <w:r w:rsidRPr="0030524B">
        <w:rPr>
          <w:bCs/>
          <w:color w:val="auto"/>
          <w:sz w:val="22"/>
        </w:rPr>
        <w:t>Na de ingangsdatum van de overeenkomst heeft ICM ZOU het recht te controleren of de Inschrijver daadwerkelijk (nog) voldoet aan het Programma van Eisen. Indien dit niet (volledig) het geval blijkt te zijn, kan de Aanbestedende dienst onder de voorwaarden van de Overeenkomst de Overeenkomst opzeggen of ontbinden. Van dit recht wordt geen gebruik gemaakt als er sprake is van een herstelbaar gebrek binnen een redelijke termijn.</w:t>
      </w:r>
    </w:p>
    <w:p w14:paraId="76DB58A6" w14:textId="76685083" w:rsidR="0061213C" w:rsidRPr="0061213C" w:rsidRDefault="0030524B" w:rsidP="0061213C">
      <w:pPr>
        <w:pStyle w:val="Kop2"/>
      </w:pPr>
      <w:r>
        <w:t>3</w:t>
      </w:r>
      <w:r w:rsidR="0061213C" w:rsidRPr="0061213C">
        <w:t xml:space="preserve">. </w:t>
      </w:r>
      <w:r w:rsidR="0061213C"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DFD621" w:rsidR="0061213C" w:rsidRPr="0061213C" w:rsidRDefault="0030524B" w:rsidP="0061213C">
      <w:pPr>
        <w:pStyle w:val="Kop4"/>
      </w:pPr>
      <w:r>
        <w:t>3</w:t>
      </w:r>
      <w:r w:rsidR="0061213C" w:rsidRPr="0061213C">
        <w:t>.1</w:t>
      </w:r>
      <w:r w:rsidR="0061213C"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177002A3" w:rsidR="0061213C" w:rsidRPr="0061213C" w:rsidRDefault="0030524B" w:rsidP="0061213C">
      <w:pPr>
        <w:pStyle w:val="Kop4"/>
      </w:pPr>
      <w:r>
        <w:lastRenderedPageBreak/>
        <w:t>3</w:t>
      </w:r>
      <w:r w:rsidR="0061213C" w:rsidRPr="0061213C">
        <w:t>.2</w:t>
      </w:r>
      <w:r w:rsidR="0061213C" w:rsidRPr="0061213C">
        <w:tab/>
        <w:t>Gemeentelijk beleid</w:t>
      </w:r>
    </w:p>
    <w:p w14:paraId="0AC2A8BD" w14:textId="3658923E" w:rsidR="0061213C" w:rsidRPr="0061213C" w:rsidRDefault="0061213C" w:rsidP="0061213C">
      <w:pPr>
        <w:pStyle w:val="Geenafstand"/>
        <w:rPr>
          <w:sz w:val="22"/>
        </w:rPr>
      </w:pPr>
      <w:r w:rsidRPr="009C0136">
        <w:rPr>
          <w:color w:val="auto"/>
          <w:sz w:val="22"/>
        </w:rPr>
        <w:t xml:space="preserve">Van de Inschrijvers wordt verwacht dat zij het gemeentelijk en regionaal beleid kennen en handelen conform dit beleid. De ontwikkeling van het regionaal beleid is vastgelegd in de </w:t>
      </w:r>
      <w:r w:rsidR="005A0962">
        <w:rPr>
          <w:color w:val="auto"/>
          <w:sz w:val="22"/>
        </w:rPr>
        <w:t>regiovisie NVO</w:t>
      </w:r>
      <w:r w:rsidRPr="009C0136">
        <w:rPr>
          <w:color w:val="auto"/>
          <w:sz w:val="22"/>
        </w:rPr>
        <w:t>.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1181C1F5" w:rsidR="0061213C" w:rsidRPr="0061213C" w:rsidRDefault="0030524B" w:rsidP="0061213C">
      <w:pPr>
        <w:pStyle w:val="Kop4"/>
      </w:pPr>
      <w:r>
        <w:t>3</w:t>
      </w:r>
      <w:r w:rsidR="0061213C" w:rsidRPr="0061213C">
        <w:t>.3</w:t>
      </w:r>
      <w:r w:rsidR="0061213C"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w:t>
      </w:r>
      <w:proofErr w:type="spellStart"/>
      <w:r w:rsidRPr="009C0136">
        <w:rPr>
          <w:bCs/>
          <w:color w:val="auto"/>
          <w:sz w:val="22"/>
        </w:rPr>
        <w:t>Evidence</w:t>
      </w:r>
      <w:proofErr w:type="spellEnd"/>
      <w:r w:rsidRPr="009C0136">
        <w:rPr>
          <w:bCs/>
          <w:color w:val="auto"/>
          <w:sz w:val="22"/>
        </w:rPr>
        <w:t xml:space="preserve"> </w:t>
      </w:r>
      <w:proofErr w:type="spellStart"/>
      <w:r w:rsidRPr="009C0136">
        <w:rPr>
          <w:bCs/>
          <w:color w:val="auto"/>
          <w:sz w:val="22"/>
        </w:rPr>
        <w:t>based</w:t>
      </w:r>
      <w:proofErr w:type="spellEnd"/>
      <w:r w:rsidRPr="009C0136">
        <w:rPr>
          <w:bCs/>
          <w:color w:val="auto"/>
          <w:sz w:val="22"/>
        </w:rPr>
        <w:t xml:space="preserve">)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5D0F35A1" w:rsidR="0061213C" w:rsidRPr="0061213C" w:rsidRDefault="0030524B" w:rsidP="0061213C">
      <w:pPr>
        <w:pStyle w:val="Kop4"/>
      </w:pPr>
      <w:r>
        <w:t>3</w:t>
      </w:r>
      <w:r w:rsidR="0061213C" w:rsidRPr="0061213C">
        <w:t>.4</w:t>
      </w:r>
      <w:r w:rsidR="0061213C"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lastRenderedPageBreak/>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4A5F9B11" w:rsidR="0061213C" w:rsidRPr="0061213C" w:rsidRDefault="0030524B" w:rsidP="0061213C">
      <w:pPr>
        <w:pStyle w:val="Kop4"/>
      </w:pPr>
      <w:r>
        <w:t>3</w:t>
      </w:r>
      <w:r w:rsidR="0061213C" w:rsidRPr="0061213C">
        <w:t>.5</w:t>
      </w:r>
      <w:r w:rsidR="0061213C"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 xml:space="preserve">Het Licht Instrument Risicotaxatie en </w:t>
      </w:r>
      <w:proofErr w:type="spellStart"/>
      <w:r w:rsidRPr="009C0136">
        <w:rPr>
          <w:bCs/>
          <w:color w:val="auto"/>
          <w:sz w:val="22"/>
        </w:rPr>
        <w:t>Kindveiligheid</w:t>
      </w:r>
      <w:proofErr w:type="spellEnd"/>
      <w:r w:rsidRPr="009C0136">
        <w:rPr>
          <w:bCs/>
          <w:color w:val="auto"/>
          <w:sz w:val="22"/>
        </w:rPr>
        <w:t xml:space="preserve">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lastRenderedPageBreak/>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w:t>
      </w:r>
      <w:proofErr w:type="spellStart"/>
      <w:r w:rsidRPr="009C0136">
        <w:rPr>
          <w:rFonts w:eastAsia="Calibri"/>
          <w:bCs/>
          <w:color w:val="auto"/>
          <w:sz w:val="22"/>
        </w:rPr>
        <w:t>IVenJ</w:t>
      </w:r>
      <w:proofErr w:type="spellEnd"/>
      <w:r w:rsidRPr="009C0136">
        <w:rPr>
          <w:rFonts w:eastAsia="Calibri"/>
          <w:bCs/>
          <w:color w:val="auto"/>
          <w:sz w:val="22"/>
        </w:rPr>
        <w:t>).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Wmo 2015 en Jeugdwet, geldt dat als een van de rapporten een onvoldoende uitkomst heeft, dit tot opschorting leidt van zowel de Overeenkomst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(Wmo)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 xml:space="preserve">Een ieder is verplicht aan een toezichthouder binnen de door hem/haar gestelde redelijke termijn alle medewerking te verlenen die deze redelijkerwijs kan vorderen bij de uitoefening van zijn/haar bevoegdheden. Zij die uit hoofde van ambt, beroep </w:t>
      </w:r>
      <w:r w:rsidRPr="009C0136">
        <w:rPr>
          <w:bCs/>
          <w:iCs/>
          <w:color w:val="auto"/>
          <w:sz w:val="22"/>
        </w:rPr>
        <w:lastRenderedPageBreak/>
        <w:t>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w:t>
      </w:r>
      <w:proofErr w:type="spellStart"/>
      <w:r w:rsidRPr="009C0136">
        <w:rPr>
          <w:bCs/>
          <w:iCs/>
          <w:color w:val="auto"/>
          <w:sz w:val="22"/>
        </w:rPr>
        <w:t>Awb</w:t>
      </w:r>
      <w:proofErr w:type="spellEnd"/>
      <w:r w:rsidRPr="009C0136">
        <w:rPr>
          <w:bCs/>
          <w:iCs/>
          <w:color w:val="auto"/>
          <w:sz w:val="22"/>
        </w:rPr>
        <w:t xml:space="preserve">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597F9E28" w:rsidR="0061213C" w:rsidRPr="0061213C" w:rsidRDefault="0030524B" w:rsidP="0061213C">
      <w:pPr>
        <w:pStyle w:val="Kop4"/>
      </w:pPr>
      <w:r>
        <w:t>3</w:t>
      </w:r>
      <w:r w:rsidR="0061213C" w:rsidRPr="0061213C">
        <w:t>.6</w:t>
      </w:r>
      <w:r w:rsidR="0061213C"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1E15BA94" w:rsidR="0061213C" w:rsidRPr="0061213C" w:rsidRDefault="0030524B" w:rsidP="0061213C">
      <w:pPr>
        <w:pStyle w:val="Kop2"/>
      </w:pPr>
      <w:r>
        <w:lastRenderedPageBreak/>
        <w:t>4</w:t>
      </w:r>
      <w:r w:rsidR="0061213C" w:rsidRPr="0061213C">
        <w:t>.</w:t>
      </w:r>
      <w:r w:rsidR="0061213C"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607"/>
        <w:gridCol w:w="4385"/>
        <w:gridCol w:w="2763"/>
        <w:gridCol w:w="1307"/>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3117221A" w14:textId="77777777" w:rsidR="00DC30E9" w:rsidRDefault="00DC30E9" w:rsidP="00DC30E9">
            <w:pPr>
              <w:rPr>
                <w:rFonts w:ascii="Cambria" w:hAnsi="Cambria" w:cs="Arial"/>
                <w:sz w:val="22"/>
              </w:rPr>
            </w:pPr>
            <w:r w:rsidRPr="00F6798E">
              <w:rPr>
                <w:rFonts w:ascii="Cambria" w:hAnsi="Cambria" w:cs="Arial"/>
                <w:sz w:val="22"/>
              </w:rPr>
              <w:t>Akkoord</w:t>
            </w:r>
          </w:p>
          <w:p w14:paraId="77008D09" w14:textId="5F841337" w:rsidR="0061213C" w:rsidRPr="009C0136" w:rsidRDefault="00DC30E9" w:rsidP="00DC30E9">
            <w:pPr>
              <w:rPr>
                <w:color w:val="auto"/>
                <w:sz w:val="22"/>
              </w:rPr>
            </w:pPr>
            <w:r>
              <w:rPr>
                <w:rFonts w:ascii="Cambria" w:hAnsi="Cambria" w:cs="Arial"/>
                <w:sz w:val="22"/>
              </w:rPr>
              <w:t>Ja/Nee/</w:t>
            </w:r>
            <w:proofErr w:type="spellStart"/>
            <w:r>
              <w:rPr>
                <w:rFonts w:ascii="Cambria" w:hAnsi="Cambria" w:cs="Arial"/>
                <w:sz w:val="22"/>
              </w:rPr>
              <w:t>Nvt</w:t>
            </w:r>
            <w:proofErr w:type="spellEnd"/>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62D87681" w14:textId="4C3470EC" w:rsidR="0061213C" w:rsidRPr="007E71F7" w:rsidRDefault="007E71F7" w:rsidP="007E71F7">
            <w:pPr>
              <w:tabs>
                <w:tab w:val="clear" w:pos="454"/>
                <w:tab w:val="clear" w:pos="907"/>
                <w:tab w:val="clear" w:pos="1361"/>
              </w:tabs>
              <w:spacing w:line="240" w:lineRule="auto"/>
              <w:rPr>
                <w:color w:val="auto"/>
                <w:sz w:val="22"/>
              </w:rPr>
            </w:pPr>
            <w:r>
              <w:rPr>
                <w:color w:val="auto"/>
                <w:sz w:val="22"/>
              </w:rPr>
              <w:t xml:space="preserve">1. </w:t>
            </w:r>
            <w:r w:rsidR="00AB3AFA" w:rsidRPr="007E71F7">
              <w:rPr>
                <w:color w:val="auto"/>
                <w:sz w:val="22"/>
              </w:rPr>
              <w:t xml:space="preserve">Toelating WTZA </w:t>
            </w:r>
          </w:p>
          <w:p w14:paraId="11CFF069" w14:textId="7A7DCD24" w:rsidR="007E71F7" w:rsidRPr="007E71F7" w:rsidRDefault="007E71F7" w:rsidP="007E71F7">
            <w:pPr>
              <w:tabs>
                <w:tab w:val="clear" w:pos="454"/>
                <w:tab w:val="clear" w:pos="907"/>
                <w:tab w:val="clear" w:pos="1361"/>
              </w:tabs>
              <w:spacing w:line="240" w:lineRule="auto"/>
              <w:rPr>
                <w:color w:val="auto"/>
                <w:sz w:val="22"/>
              </w:rPr>
            </w:pPr>
            <w:r>
              <w:rPr>
                <w:rFonts w:ascii="Calibri" w:hAnsi="Calibri" w:cs="Calibri"/>
                <w:color w:val="000000"/>
                <w:szCs w:val="20"/>
                <w:shd w:val="clear" w:color="auto" w:fill="F3F3F3"/>
              </w:rPr>
              <w:t>(</w:t>
            </w:r>
            <w:r w:rsidRPr="00906943">
              <w:rPr>
                <w:rFonts w:ascii="Calibri" w:hAnsi="Calibri" w:cs="Calibri"/>
                <w:color w:val="000000"/>
                <w:szCs w:val="20"/>
                <w:shd w:val="clear" w:color="auto" w:fill="F3F3F3"/>
              </w:rPr>
              <w:t xml:space="preserve">De </w:t>
            </w:r>
            <w:proofErr w:type="spellStart"/>
            <w:r w:rsidRPr="00906943">
              <w:rPr>
                <w:rFonts w:ascii="Calibri" w:hAnsi="Calibri" w:cs="Calibri"/>
                <w:color w:val="000000"/>
                <w:szCs w:val="20"/>
                <w:shd w:val="clear" w:color="auto" w:fill="F3F3F3"/>
              </w:rPr>
              <w:t>Wtza</w:t>
            </w:r>
            <w:proofErr w:type="spellEnd"/>
            <w:r w:rsidRPr="00906943">
              <w:rPr>
                <w:rFonts w:ascii="Calibri" w:hAnsi="Calibri" w:cs="Calibri"/>
                <w:color w:val="000000"/>
                <w:szCs w:val="20"/>
                <w:shd w:val="clear" w:color="auto" w:fill="F3F3F3"/>
              </w:rPr>
              <w:t xml:space="preserve"> geldt niet voor aanbieders die </w:t>
            </w:r>
            <w:r w:rsidRPr="00906943">
              <w:rPr>
                <w:rFonts w:ascii="Calibri" w:hAnsi="Calibri" w:cs="Calibri"/>
                <w:color w:val="000000"/>
                <w:szCs w:val="20"/>
                <w:u w:val="single"/>
                <w:shd w:val="clear" w:color="auto" w:fill="F3F3F3"/>
              </w:rPr>
              <w:t>alleen</w:t>
            </w:r>
            <w:r w:rsidRPr="00906943">
              <w:rPr>
                <w:rFonts w:ascii="Calibri" w:hAnsi="Calibri" w:cs="Calibri"/>
                <w:color w:val="000000"/>
                <w:szCs w:val="20"/>
                <w:shd w:val="clear" w:color="auto" w:fill="F3F3F3"/>
              </w:rPr>
              <w:t xml:space="preserve"> diensten verrichten die onder Jeugdwet vallen en niet daarnaast ‘zorg’ verlenen. In de Jeugdwet zelf is voor alle jeugdhulpaanbieders wel een meldplicht geregeld</w:t>
            </w:r>
            <w:r>
              <w:rPr>
                <w:rFonts w:ascii="Calibri" w:hAnsi="Calibri" w:cs="Calibri"/>
                <w:color w:val="000000"/>
                <w:szCs w:val="20"/>
                <w:shd w:val="clear" w:color="auto" w:fill="F3F3F3"/>
              </w:rPr>
              <w:t>).</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 xml:space="preserve">Een Data </w:t>
            </w:r>
            <w:proofErr w:type="spellStart"/>
            <w:r w:rsidRPr="009C0136">
              <w:rPr>
                <w:color w:val="auto"/>
                <w:sz w:val="22"/>
              </w:rPr>
              <w:t>Protection</w:t>
            </w:r>
            <w:proofErr w:type="spellEnd"/>
            <w:r w:rsidRPr="009C0136">
              <w:rPr>
                <w:color w:val="auto"/>
                <w:sz w:val="22"/>
              </w:rPr>
              <w:t xml:space="preserve"> Impact Assessment (DPIA), zoals omschreven in de AVG</w:t>
            </w:r>
          </w:p>
        </w:tc>
        <w:tc>
          <w:tcPr>
            <w:tcW w:w="1990" w:type="pct"/>
          </w:tcPr>
          <w:p w14:paraId="736240B9" w14:textId="3EF0E5E1" w:rsidR="0061213C" w:rsidRPr="009C0136" w:rsidRDefault="0061213C" w:rsidP="005906BE">
            <w:pPr>
              <w:pStyle w:val="Lijstalinea"/>
              <w:tabs>
                <w:tab w:val="clear" w:pos="454"/>
                <w:tab w:val="clear" w:pos="907"/>
                <w:tab w:val="clear" w:pos="1361"/>
              </w:tabs>
              <w:spacing w:line="240" w:lineRule="auto"/>
              <w:ind w:left="360"/>
              <w:rPr>
                <w:rFonts w:cs="Arial"/>
                <w:color w:val="auto"/>
                <w:sz w:val="22"/>
              </w:rPr>
            </w:pP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 xml:space="preserve">De Inschrijver werkt volgens geldende (en toekomstige herzieningen) beroepsstandaarden, (CBO)richtlijnen, veelbelovende of </w:t>
            </w:r>
            <w:proofErr w:type="spellStart"/>
            <w:r w:rsidRPr="009C0136">
              <w:rPr>
                <w:color w:val="auto"/>
                <w:sz w:val="22"/>
              </w:rPr>
              <w:t>evidence</w:t>
            </w:r>
            <w:proofErr w:type="spellEnd"/>
            <w:r w:rsidRPr="009C0136">
              <w:rPr>
                <w:color w:val="auto"/>
                <w:sz w:val="22"/>
              </w:rPr>
              <w:t xml:space="preserve"> </w:t>
            </w:r>
            <w:proofErr w:type="spellStart"/>
            <w:r w:rsidRPr="009C0136">
              <w:rPr>
                <w:color w:val="auto"/>
                <w:sz w:val="22"/>
              </w:rPr>
              <w:t>based</w:t>
            </w:r>
            <w:proofErr w:type="spellEnd"/>
            <w:r w:rsidRPr="009C0136">
              <w:rPr>
                <w:color w:val="auto"/>
                <w:sz w:val="22"/>
              </w:rPr>
              <w:t xml:space="preserve"> methodes en implementeert deze in zijn werkwijze. De Inschrijver zorgt voor kwalitatief goede, gevalideerde en zo mogelijk wetenschappelijk onderbouwde interventiemethoden.</w:t>
            </w:r>
          </w:p>
        </w:tc>
        <w:tc>
          <w:tcPr>
            <w:tcW w:w="1990" w:type="pct"/>
          </w:tcPr>
          <w:p w14:paraId="536B2704" w14:textId="77777777" w:rsidR="0061213C"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sidRPr="0030524B">
              <w:rPr>
                <w:color w:val="auto"/>
                <w:sz w:val="22"/>
                <w:u w:val="single"/>
              </w:rPr>
              <w:t>met beschrijving</w:t>
            </w:r>
            <w:r w:rsidR="00901E11">
              <w:rPr>
                <w:color w:val="auto"/>
                <w:sz w:val="22"/>
              </w:rPr>
              <w:t xml:space="preserve"> </w:t>
            </w:r>
            <w:r w:rsidRPr="009C0136">
              <w:rPr>
                <w:color w:val="auto"/>
                <w:sz w:val="22"/>
              </w:rPr>
              <w:t>van gehanteerde methoden.</w:t>
            </w:r>
          </w:p>
          <w:p w14:paraId="12A80F98" w14:textId="2C45011A" w:rsidR="0030524B" w:rsidRPr="009C0136" w:rsidRDefault="0030524B" w:rsidP="0030524B">
            <w:pPr>
              <w:pStyle w:val="Lijstalinea"/>
              <w:tabs>
                <w:tab w:val="clear" w:pos="454"/>
                <w:tab w:val="clear" w:pos="907"/>
                <w:tab w:val="clear" w:pos="1361"/>
              </w:tabs>
              <w:spacing w:line="240" w:lineRule="auto"/>
              <w:ind w:left="360"/>
              <w:rPr>
                <w:color w:val="auto"/>
                <w:sz w:val="22"/>
              </w:rPr>
            </w:pP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287AD5E9"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Lijst met het in de Regio werkzame personeel en hun registratienummer en</w:t>
            </w:r>
            <w:r w:rsidR="00906943">
              <w:rPr>
                <w:color w:val="auto"/>
                <w:sz w:val="22"/>
              </w:rPr>
              <w:t xml:space="preserve"> het</w:t>
            </w:r>
            <w:r w:rsidRPr="009C0136">
              <w:rPr>
                <w:color w:val="auto"/>
                <w:sz w:val="22"/>
              </w:rPr>
              <w:t xml:space="preserve"> </w:t>
            </w:r>
            <w:r w:rsidR="009E5B1D">
              <w:rPr>
                <w:color w:val="auto"/>
                <w:sz w:val="22"/>
              </w:rPr>
              <w:t xml:space="preserve">verstrekken van </w:t>
            </w:r>
            <w:r w:rsidRPr="009C0136">
              <w:rPr>
                <w:color w:val="auto"/>
                <w:sz w:val="22"/>
              </w:rPr>
              <w:t xml:space="preserve">hun diploma’s (voor Toetsingskader opleidingen en overzicht met opleidingen zie bijlage 1 t/m 3 bij </w:t>
            </w:r>
            <w:proofErr w:type="spellStart"/>
            <w:r w:rsidR="00072E6C">
              <w:rPr>
                <w:color w:val="auto"/>
                <w:sz w:val="22"/>
              </w:rPr>
              <w:t>PvE</w:t>
            </w:r>
            <w:proofErr w:type="spellEnd"/>
            <w:r w:rsidR="00072E6C">
              <w:rPr>
                <w:color w:val="auto"/>
                <w:sz w:val="22"/>
              </w:rPr>
              <w:t>).</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09E2AC39"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w:t>
            </w:r>
            <w:r w:rsidR="009E5B1D">
              <w:rPr>
                <w:rFonts w:eastAsia="Calibri" w:cs="Arial"/>
                <w:color w:val="auto"/>
                <w:sz w:val="22"/>
                <w:szCs w:val="20"/>
              </w:rPr>
              <w:t xml:space="preserve">de </w:t>
            </w:r>
            <w:r w:rsidRPr="009C0136">
              <w:rPr>
                <w:rFonts w:eastAsia="Calibri" w:cs="Arial"/>
                <w:color w:val="auto"/>
                <w:sz w:val="22"/>
                <w:szCs w:val="20"/>
              </w:rPr>
              <w:t>betreffende functie die door de medewerker wordt uitgevoerd</w:t>
            </w:r>
            <w:r w:rsidR="009E5B1D">
              <w:rPr>
                <w:rFonts w:eastAsia="Calibri" w:cs="Arial"/>
                <w:color w:val="auto"/>
                <w:sz w:val="22"/>
                <w:szCs w:val="20"/>
              </w:rPr>
              <w:t xml:space="preserve"> bij u</w:t>
            </w:r>
            <w:r w:rsidRPr="009C0136">
              <w:rPr>
                <w:rFonts w:eastAsia="Calibri" w:cs="Arial"/>
                <w:color w:val="auto"/>
                <w:sz w:val="22"/>
                <w:szCs w:val="20"/>
              </w:rPr>
              <w:t xml:space="preserve"> te zijn afgegeven. De verklaring mag niet eerder zijn afgegeven dan drie maanden voor het tijdstip waarop betrokkenen bij de aanbieder in dienst is getreden. </w:t>
            </w:r>
            <w:r w:rsidR="000924A2">
              <w:rPr>
                <w:rFonts w:eastAsia="Calibri" w:cs="Arial"/>
                <w:color w:val="auto"/>
                <w:sz w:val="22"/>
                <w:szCs w:val="20"/>
              </w:rPr>
              <w:t xml:space="preserve">De VOG mag ook niet ouder dan 3 jaar zijn op het moment van inschrijving. </w:t>
            </w:r>
            <w:r w:rsidRPr="009C0136">
              <w:rPr>
                <w:rFonts w:eastAsia="Calibri" w:cs="Arial"/>
                <w:color w:val="auto"/>
                <w:sz w:val="22"/>
                <w:szCs w:val="20"/>
              </w:rPr>
              <w:t xml:space="preserve">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 xml:space="preserve">Inschrijver specificeert en verklaart de aanwezigheid van de </w:t>
            </w:r>
            <w:proofErr w:type="spellStart"/>
            <w:r w:rsidR="00A31EDD">
              <w:rPr>
                <w:rFonts w:eastAsia="Calibri" w:cs="Arial"/>
                <w:color w:val="auto"/>
                <w:sz w:val="22"/>
                <w:szCs w:val="20"/>
              </w:rPr>
              <w:t>VOG’s</w:t>
            </w:r>
            <w:proofErr w:type="spellEnd"/>
            <w:r w:rsidR="00A31EDD">
              <w:rPr>
                <w:rFonts w:eastAsia="Calibri" w:cs="Arial"/>
                <w:color w:val="auto"/>
                <w:sz w:val="22"/>
                <w:szCs w:val="20"/>
              </w:rPr>
              <w:t xml:space="preserve">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lastRenderedPageBreak/>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w:t>
            </w:r>
            <w:proofErr w:type="spellStart"/>
            <w:r w:rsidRPr="00072E6C">
              <w:rPr>
                <w:color w:val="auto"/>
                <w:sz w:val="22"/>
              </w:rPr>
              <w:t>regiebehandelaren</w:t>
            </w:r>
            <w:proofErr w:type="spellEnd"/>
            <w:r w:rsidRPr="00072E6C">
              <w:rPr>
                <w:color w:val="auto"/>
                <w:sz w:val="22"/>
              </w:rPr>
              <w:t xml:space="preserve">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60FDB64A"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Behandeling </w:t>
            </w:r>
            <w:r w:rsidR="002712A1">
              <w:rPr>
                <w:color w:val="auto"/>
                <w:sz w:val="22"/>
              </w:rPr>
              <w:t>3</w:t>
            </w:r>
            <w:r w:rsidRPr="00072E6C">
              <w:rPr>
                <w:color w:val="auto"/>
                <w:sz w:val="22"/>
              </w:rPr>
              <w:t>.0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2D0B040C" w14:textId="77777777" w:rsidR="00A12431" w:rsidRPr="00A12431" w:rsidRDefault="00A12431" w:rsidP="00A12431">
      <w:pPr>
        <w:pStyle w:val="Lijstalinea"/>
        <w:numPr>
          <w:ilvl w:val="0"/>
          <w:numId w:val="38"/>
        </w:numPr>
        <w:rPr>
          <w:color w:val="auto"/>
        </w:rPr>
      </w:pPr>
      <w:r w:rsidRPr="00A12431">
        <w:rPr>
          <w:color w:val="auto"/>
        </w:rPr>
        <w:t>Bijlage 1: Toetsingskader opleidingen</w:t>
      </w:r>
    </w:p>
    <w:p w14:paraId="1AA7158E" w14:textId="77777777" w:rsidR="00A12431" w:rsidRPr="00A12431" w:rsidRDefault="00A12431" w:rsidP="00A12431">
      <w:pPr>
        <w:pStyle w:val="Lijstalinea"/>
        <w:numPr>
          <w:ilvl w:val="0"/>
          <w:numId w:val="38"/>
        </w:numPr>
        <w:rPr>
          <w:color w:val="auto"/>
        </w:rPr>
      </w:pPr>
      <w:r w:rsidRPr="00A12431">
        <w:rPr>
          <w:color w:val="auto"/>
        </w:rPr>
        <w:t>Bijlage 2: Overzicht relevante HBO+WO-diploma’s</w:t>
      </w:r>
    </w:p>
    <w:p w14:paraId="775F20B1" w14:textId="3C735B0C" w:rsidR="00A12431" w:rsidRPr="0030524B" w:rsidRDefault="00A12431" w:rsidP="0061213C">
      <w:pPr>
        <w:pStyle w:val="Lijstalinea"/>
        <w:numPr>
          <w:ilvl w:val="0"/>
          <w:numId w:val="38"/>
        </w:numPr>
        <w:rPr>
          <w:color w:val="auto"/>
        </w:rPr>
      </w:pPr>
      <w:r w:rsidRPr="00A12431">
        <w:rPr>
          <w:color w:val="auto"/>
        </w:rPr>
        <w:t>Bijlage 3: Overzicht relevante MBO-diploma’s</w:t>
      </w:r>
    </w:p>
    <w:p w14:paraId="17762A07" w14:textId="77777777" w:rsidR="00A12431" w:rsidRDefault="00A12431" w:rsidP="0061213C">
      <w:pPr>
        <w:pStyle w:val="Kop2"/>
        <w:rPr>
          <w:color w:val="auto"/>
        </w:rPr>
      </w:pP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Roboto Slab">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695FDA"/>
    <w:multiLevelType w:val="hybridMultilevel"/>
    <w:tmpl w:val="57607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6" w15:restartNumberingAfterBreak="0">
    <w:nsid w:val="1FF65631"/>
    <w:multiLevelType w:val="hybridMultilevel"/>
    <w:tmpl w:val="35FA2574"/>
    <w:lvl w:ilvl="0" w:tplc="CDC0CFFA">
      <w:start w:val="1"/>
      <w:numFmt w:val="decimal"/>
      <w:lvlText w:val="%1."/>
      <w:lvlJc w:val="left"/>
      <w:pPr>
        <w:ind w:left="720" w:hanging="360"/>
      </w:pPr>
      <w:rPr>
        <w:rFonts w:ascii="Cambria" w:hAnsi="Cambria" w:cs="Arial" w:hint="default"/>
        <w:color w:val="262626" w:themeColor="text1" w:themeTint="D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4"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3"/>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9"/>
  </w:num>
  <w:num w:numId="7" w16cid:durableId="1087381259">
    <w:abstractNumId w:val="18"/>
  </w:num>
  <w:num w:numId="8" w16cid:durableId="1772703143">
    <w:abstractNumId w:val="24"/>
  </w:num>
  <w:num w:numId="9" w16cid:durableId="950471517">
    <w:abstractNumId w:val="22"/>
  </w:num>
  <w:num w:numId="10" w16cid:durableId="975527545">
    <w:abstractNumId w:val="10"/>
  </w:num>
  <w:num w:numId="11" w16cid:durableId="1273170502">
    <w:abstractNumId w:val="13"/>
  </w:num>
  <w:num w:numId="12" w16cid:durableId="880559542">
    <w:abstractNumId w:val="32"/>
  </w:num>
  <w:num w:numId="13" w16cid:durableId="1549411164">
    <w:abstractNumId w:val="28"/>
  </w:num>
  <w:num w:numId="14" w16cid:durableId="1250195775">
    <w:abstractNumId w:val="39"/>
  </w:num>
  <w:num w:numId="15" w16cid:durableId="2098090904">
    <w:abstractNumId w:val="11"/>
  </w:num>
  <w:num w:numId="16" w16cid:durableId="1767188193">
    <w:abstractNumId w:val="35"/>
  </w:num>
  <w:num w:numId="17" w16cid:durableId="197815542">
    <w:abstractNumId w:val="25"/>
  </w:num>
  <w:num w:numId="18" w16cid:durableId="387995640">
    <w:abstractNumId w:val="5"/>
  </w:num>
  <w:num w:numId="19" w16cid:durableId="1932623191">
    <w:abstractNumId w:val="12"/>
  </w:num>
  <w:num w:numId="20" w16cid:durableId="1325663609">
    <w:abstractNumId w:val="15"/>
  </w:num>
  <w:num w:numId="21" w16cid:durableId="1587689133">
    <w:abstractNumId w:val="40"/>
  </w:num>
  <w:num w:numId="22" w16cid:durableId="319619343">
    <w:abstractNumId w:val="4"/>
  </w:num>
  <w:num w:numId="23" w16cid:durableId="1472559951">
    <w:abstractNumId w:val="20"/>
  </w:num>
  <w:num w:numId="24" w16cid:durableId="273875611">
    <w:abstractNumId w:val="26"/>
  </w:num>
  <w:num w:numId="25" w16cid:durableId="1191145241">
    <w:abstractNumId w:val="31"/>
  </w:num>
  <w:num w:numId="26" w16cid:durableId="3830094">
    <w:abstractNumId w:val="38"/>
  </w:num>
  <w:num w:numId="27" w16cid:durableId="1583560413">
    <w:abstractNumId w:val="6"/>
  </w:num>
  <w:num w:numId="28" w16cid:durableId="1366636762">
    <w:abstractNumId w:val="8"/>
  </w:num>
  <w:num w:numId="29" w16cid:durableId="427703967">
    <w:abstractNumId w:val="23"/>
  </w:num>
  <w:num w:numId="30" w16cid:durableId="1727945432">
    <w:abstractNumId w:val="30"/>
  </w:num>
  <w:num w:numId="31" w16cid:durableId="2128544184">
    <w:abstractNumId w:val="17"/>
  </w:num>
  <w:num w:numId="32" w16cid:durableId="289241564">
    <w:abstractNumId w:val="29"/>
  </w:num>
  <w:num w:numId="33" w16cid:durableId="1043365482">
    <w:abstractNumId w:val="2"/>
  </w:num>
  <w:num w:numId="34" w16cid:durableId="1458569977">
    <w:abstractNumId w:val="34"/>
  </w:num>
  <w:num w:numId="35" w16cid:durableId="1034305571">
    <w:abstractNumId w:val="36"/>
  </w:num>
  <w:num w:numId="36" w16cid:durableId="1063719393">
    <w:abstractNumId w:val="3"/>
  </w:num>
  <w:num w:numId="37" w16cid:durableId="426922696">
    <w:abstractNumId w:val="37"/>
  </w:num>
  <w:num w:numId="38" w16cid:durableId="959065323">
    <w:abstractNumId w:val="21"/>
  </w:num>
  <w:num w:numId="39" w16cid:durableId="612637128">
    <w:abstractNumId w:val="27"/>
  </w:num>
  <w:num w:numId="40" w16cid:durableId="523632738">
    <w:abstractNumId w:val="16"/>
  </w:num>
  <w:num w:numId="41" w16cid:durableId="7754415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24A2"/>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12A1"/>
    <w:rsid w:val="00273B02"/>
    <w:rsid w:val="002814D9"/>
    <w:rsid w:val="002C48B1"/>
    <w:rsid w:val="002C648E"/>
    <w:rsid w:val="002D2E1F"/>
    <w:rsid w:val="002F66C6"/>
    <w:rsid w:val="003031DC"/>
    <w:rsid w:val="003043BE"/>
    <w:rsid w:val="0030524B"/>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906BE"/>
    <w:rsid w:val="005A0962"/>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7E71F7"/>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06943"/>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E5B1D"/>
    <w:rsid w:val="009F4328"/>
    <w:rsid w:val="00A007FB"/>
    <w:rsid w:val="00A109DB"/>
    <w:rsid w:val="00A12431"/>
    <w:rsid w:val="00A15FCF"/>
    <w:rsid w:val="00A25E5F"/>
    <w:rsid w:val="00A27A56"/>
    <w:rsid w:val="00A31EDD"/>
    <w:rsid w:val="00A44807"/>
    <w:rsid w:val="00A85B4C"/>
    <w:rsid w:val="00A905F8"/>
    <w:rsid w:val="00AA4420"/>
    <w:rsid w:val="00AB3AFA"/>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36F"/>
    <w:rsid w:val="00DA0DD2"/>
    <w:rsid w:val="00DA19EF"/>
    <w:rsid w:val="00DA630F"/>
    <w:rsid w:val="00DC30E9"/>
    <w:rsid w:val="00DC3305"/>
    <w:rsid w:val="00DD1D84"/>
    <w:rsid w:val="00E004DA"/>
    <w:rsid w:val="00E04CCA"/>
    <w:rsid w:val="00E55653"/>
    <w:rsid w:val="00EA033B"/>
    <w:rsid w:val="00EA54DB"/>
    <w:rsid w:val="00EB64F9"/>
    <w:rsid w:val="00EC2C4B"/>
    <w:rsid w:val="00EF22FD"/>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41</TotalTime>
  <Pages>12</Pages>
  <Words>3443</Words>
  <Characters>18940</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4</cp:revision>
  <cp:lastPrinted>2021-08-12T11:53:00Z</cp:lastPrinted>
  <dcterms:created xsi:type="dcterms:W3CDTF">2024-08-07T14:14:00Z</dcterms:created>
  <dcterms:modified xsi:type="dcterms:W3CDTF">2024-08-08T10:38:00Z</dcterms:modified>
</cp:coreProperties>
</file>