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0786" w14:textId="3D7C7884" w:rsidR="00836FD3" w:rsidRPr="00836FD3" w:rsidRDefault="008B1FCF" w:rsidP="000E4513">
      <w:pPr>
        <w:pStyle w:val="Geenafstand"/>
      </w:pPr>
      <w:r w:rsidRPr="0046276C">
        <w:rPr>
          <w:rFonts w:ascii="RijksoverheidSansHeading" w:hAnsi="RijksoverheidSansHeading"/>
          <w:noProof/>
        </w:rPr>
        <w:drawing>
          <wp:anchor distT="0" distB="0" distL="114300" distR="114300" simplePos="0" relativeHeight="251660288" behindDoc="0" locked="0" layoutInCell="1" allowOverlap="1" wp14:anchorId="60456AEF" wp14:editId="7B0C3495">
            <wp:simplePos x="0" y="0"/>
            <wp:positionH relativeFrom="page">
              <wp:posOffset>4171315</wp:posOffset>
            </wp:positionH>
            <wp:positionV relativeFrom="page">
              <wp:posOffset>951230</wp:posOffset>
            </wp:positionV>
            <wp:extent cx="942975" cy="152400"/>
            <wp:effectExtent l="0" t="0" r="9525" b="0"/>
            <wp:wrapNone/>
            <wp:docPr id="7" name="Afbeelding 7"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46276C">
        <w:rPr>
          <w:rFonts w:ascii="RijksoverheidSansHeading" w:hAnsi="RijksoverheidSansHeading"/>
          <w:noProof/>
        </w:rPr>
        <w:drawing>
          <wp:anchor distT="0" distB="0" distL="114300" distR="114300" simplePos="0" relativeHeight="251659264" behindDoc="0" locked="0" layoutInCell="1" allowOverlap="1" wp14:anchorId="724DE398" wp14:editId="0A9E6EC5">
            <wp:simplePos x="0" y="0"/>
            <wp:positionH relativeFrom="page">
              <wp:posOffset>3594218</wp:posOffset>
            </wp:positionH>
            <wp:positionV relativeFrom="page">
              <wp:posOffset>0</wp:posOffset>
            </wp:positionV>
            <wp:extent cx="467995" cy="1395095"/>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a:graphicData>
            </a:graphic>
            <wp14:sizeRelH relativeFrom="margin">
              <wp14:pctWidth>0</wp14:pctWidth>
            </wp14:sizeRelH>
            <wp14:sizeRelV relativeFrom="margin">
              <wp14:pctHeight>0</wp14:pctHeight>
            </wp14:sizeRelV>
          </wp:anchor>
        </w:drawing>
      </w:r>
    </w:p>
    <w:p w14:paraId="4D268728" w14:textId="60511992" w:rsidR="00836FD3" w:rsidRDefault="00836FD3" w:rsidP="000E4513">
      <w:pPr>
        <w:pStyle w:val="Geenafstand"/>
      </w:pPr>
    </w:p>
    <w:p w14:paraId="6828BF13" w14:textId="77777777" w:rsidR="008B1FCF" w:rsidRDefault="008B1FCF" w:rsidP="000E4513">
      <w:pPr>
        <w:pStyle w:val="Geenafstand"/>
      </w:pPr>
    </w:p>
    <w:p w14:paraId="5B918B85" w14:textId="77777777" w:rsidR="008B1FCF" w:rsidRDefault="008B1FCF" w:rsidP="000E4513">
      <w:pPr>
        <w:pStyle w:val="Geenafstand"/>
      </w:pPr>
    </w:p>
    <w:p w14:paraId="66256670" w14:textId="77777777" w:rsidR="008B1FCF" w:rsidRDefault="008B1FCF" w:rsidP="000E4513">
      <w:pPr>
        <w:pStyle w:val="Geenafstand"/>
      </w:pPr>
    </w:p>
    <w:p w14:paraId="458D71DA" w14:textId="77777777" w:rsidR="008B1FCF" w:rsidRDefault="008B1FCF" w:rsidP="000E4513">
      <w:pPr>
        <w:pStyle w:val="Geenafstand"/>
      </w:pPr>
    </w:p>
    <w:p w14:paraId="139C7746" w14:textId="5131C152" w:rsidR="008B1FCF" w:rsidRDefault="008B1FCF" w:rsidP="008B1FCF">
      <w:pPr>
        <w:pStyle w:val="Geenafstand"/>
        <w:jc w:val="center"/>
      </w:pPr>
    </w:p>
    <w:p w14:paraId="24180E9D" w14:textId="77777777" w:rsidR="008B1FCF" w:rsidRPr="0046276C" w:rsidRDefault="008B1FCF" w:rsidP="008B1FCF">
      <w:pPr>
        <w:jc w:val="center"/>
        <w:rPr>
          <w:rFonts w:ascii="RijksoverheidSansHeading" w:hAnsi="RijksoverheidSansHeading"/>
          <w:b/>
          <w:sz w:val="36"/>
        </w:rPr>
      </w:pPr>
    </w:p>
    <w:p w14:paraId="49F56E55" w14:textId="77777777" w:rsidR="008B1FCF" w:rsidRPr="001A7334" w:rsidRDefault="008B1FCF" w:rsidP="008B1FCF">
      <w:pPr>
        <w:pBdr>
          <w:top w:val="single" w:sz="4" w:space="1" w:color="auto"/>
        </w:pBdr>
        <w:jc w:val="center"/>
        <w:rPr>
          <w:rFonts w:ascii="RijksoverheidSansHeading" w:hAnsi="RijksoverheidSansHeading"/>
          <w:b/>
          <w:sz w:val="18"/>
          <w:szCs w:val="18"/>
        </w:rPr>
      </w:pPr>
    </w:p>
    <w:p w14:paraId="67968FCA" w14:textId="0415E1A5" w:rsidR="008B1FCF" w:rsidRDefault="008753A0" w:rsidP="008B1FCF">
      <w:pPr>
        <w:pBdr>
          <w:top w:val="single" w:sz="4" w:space="1" w:color="auto"/>
        </w:pBdr>
        <w:jc w:val="center"/>
        <w:rPr>
          <w:rFonts w:ascii="RijksoverheidSansHeading" w:hAnsi="RijksoverheidSansHeading"/>
          <w:b/>
          <w:bCs/>
          <w:sz w:val="36"/>
          <w:szCs w:val="36"/>
        </w:rPr>
      </w:pPr>
      <w:r>
        <w:rPr>
          <w:rFonts w:ascii="RijksoverheidSansHeading" w:hAnsi="RijksoverheidSansHeading"/>
          <w:b/>
          <w:bCs/>
          <w:sz w:val="36"/>
          <w:szCs w:val="36"/>
        </w:rPr>
        <w:t>M</w:t>
      </w:r>
      <w:r w:rsidR="008B1FCF">
        <w:rPr>
          <w:rFonts w:ascii="RijksoverheidSansHeading" w:hAnsi="RijksoverheidSansHeading"/>
          <w:b/>
          <w:bCs/>
          <w:sz w:val="36"/>
          <w:szCs w:val="36"/>
        </w:rPr>
        <w:t>ededeling</w:t>
      </w:r>
      <w:r>
        <w:rPr>
          <w:rFonts w:ascii="RijksoverheidSansHeading" w:hAnsi="RijksoverheidSansHeading"/>
          <w:b/>
          <w:bCs/>
          <w:sz w:val="36"/>
          <w:szCs w:val="36"/>
        </w:rPr>
        <w:t xml:space="preserve"> van de aanbestedende dienst</w:t>
      </w:r>
    </w:p>
    <w:p w14:paraId="16171B37" w14:textId="77777777" w:rsidR="008B1FCF" w:rsidRPr="0046276C" w:rsidRDefault="008B1FCF" w:rsidP="008B1FCF">
      <w:pPr>
        <w:pBdr>
          <w:top w:val="single" w:sz="4" w:space="1" w:color="auto"/>
        </w:pBdr>
        <w:jc w:val="center"/>
        <w:rPr>
          <w:rFonts w:ascii="RijksoverheidSansHeading" w:hAnsi="RijksoverheidSansHeading"/>
          <w:b/>
          <w:sz w:val="36"/>
        </w:rPr>
      </w:pPr>
    </w:p>
    <w:p w14:paraId="0F7BD6DD" w14:textId="77777777" w:rsidR="008B1FCF" w:rsidRDefault="008B1FCF" w:rsidP="008B1FCF">
      <w:pPr>
        <w:jc w:val="center"/>
        <w:rPr>
          <w:rFonts w:ascii="RijksoverheidSansHeading" w:hAnsi="RijksoverheidSansHeading"/>
          <w:b/>
          <w:bCs/>
          <w:sz w:val="28"/>
          <w:szCs w:val="28"/>
        </w:rPr>
      </w:pPr>
      <w:r w:rsidRPr="0300BB5C">
        <w:rPr>
          <w:rFonts w:ascii="RijksoverheidSansHeading" w:hAnsi="RijksoverheidSansHeading"/>
          <w:sz w:val="28"/>
          <w:szCs w:val="28"/>
        </w:rPr>
        <w:t>behorend bij de Europees openbare aanbesteding:</w:t>
      </w:r>
      <w:r w:rsidRPr="0300BB5C">
        <w:rPr>
          <w:rFonts w:ascii="RijksoverheidSansHeading" w:hAnsi="RijksoverheidSansHeading"/>
          <w:b/>
          <w:bCs/>
          <w:sz w:val="28"/>
          <w:szCs w:val="28"/>
        </w:rPr>
        <w:t xml:space="preserve"> </w:t>
      </w:r>
    </w:p>
    <w:p w14:paraId="1CEE9383" w14:textId="77777777" w:rsidR="008B1FCF" w:rsidRDefault="008B1FCF" w:rsidP="008B1FCF">
      <w:pPr>
        <w:jc w:val="center"/>
        <w:rPr>
          <w:rFonts w:ascii="RijksoverheidSansHeading" w:hAnsi="RijksoverheidSansHeading"/>
          <w:b/>
          <w:sz w:val="28"/>
        </w:rPr>
      </w:pPr>
    </w:p>
    <w:p w14:paraId="079DB70D" w14:textId="77777777" w:rsidR="008B1FCF" w:rsidRDefault="008B1FCF" w:rsidP="008B1FCF">
      <w:pPr>
        <w:jc w:val="center"/>
        <w:rPr>
          <w:rFonts w:ascii="RijksoverheidSansHeading" w:hAnsi="RijksoverheidSansHeading"/>
          <w:b/>
          <w:bCs/>
          <w:sz w:val="28"/>
          <w:szCs w:val="28"/>
        </w:rPr>
      </w:pPr>
      <w:r w:rsidRPr="0300BB5C">
        <w:rPr>
          <w:rFonts w:ascii="RijksoverheidSansHeading" w:hAnsi="RijksoverheidSansHeading"/>
          <w:b/>
          <w:bCs/>
          <w:sz w:val="28"/>
          <w:szCs w:val="28"/>
        </w:rPr>
        <w:t>“Het inzamelen, afvoeren en verwerken van karton en vertrouwelijk papier” (IUC25-637)</w:t>
      </w:r>
    </w:p>
    <w:p w14:paraId="48841283" w14:textId="77777777" w:rsidR="008B1FCF" w:rsidRPr="0046276C" w:rsidRDefault="008B1FCF" w:rsidP="008B1FCF">
      <w:pPr>
        <w:jc w:val="center"/>
        <w:rPr>
          <w:rFonts w:ascii="RijksoverheidSansHeading" w:hAnsi="RijksoverheidSansHeading"/>
          <w:b/>
          <w:sz w:val="28"/>
        </w:rPr>
      </w:pPr>
    </w:p>
    <w:tbl>
      <w:tblPr>
        <w:tblStyle w:val="Tabelraster"/>
        <w:tblW w:w="12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593"/>
      </w:tblGrid>
      <w:tr w:rsidR="008B1FCF" w:rsidRPr="00652F42" w14:paraId="354D51DB" w14:textId="77777777" w:rsidTr="008B1FCF">
        <w:tc>
          <w:tcPr>
            <w:tcW w:w="5245" w:type="dxa"/>
          </w:tcPr>
          <w:p w14:paraId="0DC70C8D" w14:textId="77777777" w:rsidR="008B1FCF" w:rsidRPr="004A4DB3" w:rsidRDefault="008B1FCF" w:rsidP="003B5CC5">
            <w:pPr>
              <w:jc w:val="right"/>
              <w:rPr>
                <w:rFonts w:ascii="RijksoverheidSansHeading" w:hAnsi="RijksoverheidSansHeading"/>
                <w:sz w:val="20"/>
              </w:rPr>
            </w:pPr>
            <w:r w:rsidRPr="0300BB5C">
              <w:rPr>
                <w:rFonts w:ascii="RijksoverheidSansHeading" w:hAnsi="RijksoverheidSansHeading"/>
                <w:sz w:val="20"/>
              </w:rPr>
              <w:t>Publicatienummer van de aanbesteding:</w:t>
            </w:r>
          </w:p>
        </w:tc>
        <w:tc>
          <w:tcPr>
            <w:tcW w:w="7593" w:type="dxa"/>
          </w:tcPr>
          <w:p w14:paraId="28393259" w14:textId="77777777" w:rsidR="008B1FCF" w:rsidRPr="004A4DB3" w:rsidRDefault="008B1FCF" w:rsidP="003B5CC5">
            <w:pPr>
              <w:rPr>
                <w:rFonts w:ascii="RijksoverheidSansHeading" w:hAnsi="RijksoverheidSansHeading"/>
                <w:sz w:val="20"/>
              </w:rPr>
            </w:pPr>
            <w:r w:rsidRPr="0300BB5C">
              <w:rPr>
                <w:rFonts w:ascii="RijksoverheidSansHeading" w:hAnsi="RijksoverheidSansHeading"/>
                <w:sz w:val="20"/>
              </w:rPr>
              <w:t>TN561538</w:t>
            </w:r>
          </w:p>
        </w:tc>
      </w:tr>
      <w:tr w:rsidR="008B1FCF" w14:paraId="434F981A" w14:textId="77777777" w:rsidTr="008B1FCF">
        <w:trPr>
          <w:trHeight w:val="70"/>
        </w:trPr>
        <w:tc>
          <w:tcPr>
            <w:tcW w:w="5245" w:type="dxa"/>
          </w:tcPr>
          <w:p w14:paraId="724A0A02" w14:textId="77777777" w:rsidR="008B1FCF" w:rsidRPr="004A4DB3" w:rsidRDefault="008B1FCF" w:rsidP="003B5CC5">
            <w:pPr>
              <w:jc w:val="right"/>
              <w:rPr>
                <w:rFonts w:ascii="RijksoverheidSansHeading" w:hAnsi="RijksoverheidSansHeading"/>
                <w:sz w:val="20"/>
              </w:rPr>
            </w:pPr>
            <w:r w:rsidRPr="0300BB5C">
              <w:rPr>
                <w:rFonts w:ascii="RijksoverheidSansHeading" w:hAnsi="RijksoverheidSansHeading"/>
                <w:sz w:val="20"/>
              </w:rPr>
              <w:t xml:space="preserve">Datum publicatie nota van inlichtingen: </w:t>
            </w:r>
          </w:p>
        </w:tc>
        <w:tc>
          <w:tcPr>
            <w:tcW w:w="7593" w:type="dxa"/>
          </w:tcPr>
          <w:p w14:paraId="1D6EEB8F" w14:textId="68565A7C" w:rsidR="008B1FCF" w:rsidRPr="004A4DB3" w:rsidRDefault="001B068E" w:rsidP="003B5CC5">
            <w:pPr>
              <w:rPr>
                <w:rFonts w:ascii="RijksoverheidSansHeading" w:hAnsi="RijksoverheidSansHeading"/>
                <w:sz w:val="20"/>
              </w:rPr>
            </w:pPr>
            <w:sdt>
              <w:sdtPr>
                <w:rPr>
                  <w:rFonts w:ascii="RijksoverheidSansHeading" w:hAnsi="RijksoverheidSansHeading"/>
                  <w:sz w:val="20"/>
                </w:rPr>
                <w:id w:val="-1604266268"/>
                <w:placeholder>
                  <w:docPart w:val="257CD3BD74E74321934886207DF0AAB0"/>
                </w:placeholder>
                <w:date w:fullDate="2026-03-10T00:00:00Z">
                  <w:dateFormat w:val="d-M-yyyy"/>
                  <w:lid w:val="nl-NL"/>
                  <w:storeMappedDataAs w:val="dateTime"/>
                  <w:calendar w:val="gregorian"/>
                </w:date>
              </w:sdtPr>
              <w:sdtEndPr/>
              <w:sdtContent>
                <w:r w:rsidR="00FF635C">
                  <w:rPr>
                    <w:rFonts w:ascii="RijksoverheidSansHeading" w:hAnsi="RijksoverheidSansHeading"/>
                    <w:sz w:val="20"/>
                  </w:rPr>
                  <w:t>10-3-2026</w:t>
                </w:r>
              </w:sdtContent>
            </w:sdt>
          </w:p>
        </w:tc>
      </w:tr>
    </w:tbl>
    <w:p w14:paraId="5F8AFE67" w14:textId="77777777" w:rsidR="008B1FCF" w:rsidRPr="0046276C" w:rsidRDefault="008B1FCF" w:rsidP="008B1FCF">
      <w:pPr>
        <w:pBdr>
          <w:bottom w:val="single" w:sz="4" w:space="1" w:color="auto"/>
        </w:pBdr>
        <w:rPr>
          <w:rFonts w:ascii="RijksoverheidSansHeading" w:hAnsi="RijksoverheidSansHeading"/>
          <w:sz w:val="18"/>
          <w:szCs w:val="18"/>
        </w:rPr>
      </w:pPr>
    </w:p>
    <w:p w14:paraId="724E90E7" w14:textId="77777777" w:rsidR="008B1FCF" w:rsidRDefault="008B1FCF" w:rsidP="008B1FCF">
      <w:pPr>
        <w:jc w:val="both"/>
        <w:rPr>
          <w:rFonts w:ascii="RijksoverheidSansHeading" w:hAnsi="RijksoverheidSansHeading"/>
          <w:sz w:val="18"/>
          <w:szCs w:val="18"/>
        </w:rPr>
      </w:pPr>
    </w:p>
    <w:p w14:paraId="6F1C2ECE" w14:textId="36437FAA" w:rsidR="00FF635C" w:rsidRPr="00FF635C" w:rsidRDefault="00FF635C" w:rsidP="00FF635C">
      <w:pPr>
        <w:pStyle w:val="Geenafstand"/>
        <w:jc w:val="both"/>
        <w:rPr>
          <w:rFonts w:ascii="RijksoverheidSansHeading" w:hAnsi="RijksoverheidSansHeading"/>
          <w:b/>
          <w:bCs/>
          <w:sz w:val="22"/>
          <w:szCs w:val="28"/>
        </w:rPr>
      </w:pPr>
      <w:r>
        <w:rPr>
          <w:rFonts w:ascii="RijksoverheidSansHeading" w:hAnsi="RijksoverheidSansHeading"/>
          <w:b/>
          <w:bCs/>
          <w:sz w:val="22"/>
          <w:szCs w:val="28"/>
        </w:rPr>
        <w:t>Toelichting</w:t>
      </w:r>
    </w:p>
    <w:p w14:paraId="54F7F08A" w14:textId="1D3EFD97" w:rsidR="00FF635C" w:rsidRPr="008753A0" w:rsidRDefault="00FF635C" w:rsidP="00FF635C">
      <w:pPr>
        <w:pStyle w:val="Geenafstand"/>
        <w:jc w:val="both"/>
        <w:rPr>
          <w:rFonts w:ascii="RijksoverheidSansHeading" w:hAnsi="RijksoverheidSansHeading"/>
          <w:sz w:val="22"/>
          <w:szCs w:val="28"/>
        </w:rPr>
      </w:pPr>
      <w:r w:rsidRPr="008753A0">
        <w:rPr>
          <w:rFonts w:ascii="RijksoverheidSansHeading" w:hAnsi="RijksoverheidSansHeading"/>
          <w:sz w:val="22"/>
          <w:szCs w:val="28"/>
        </w:rPr>
        <w:t xml:space="preserve">Na de tweede Nota van inlichtingen is door één geïnteresseerde inschrijver een bericht verstuurd via de TenderNed berichtenmodule welke niet is aangemerkt als </w:t>
      </w:r>
      <w:r w:rsidR="008753A0" w:rsidRPr="008753A0">
        <w:rPr>
          <w:rFonts w:ascii="RijksoverheidSansHeading" w:hAnsi="RijksoverheidSansHeading"/>
          <w:sz w:val="22"/>
          <w:szCs w:val="28"/>
        </w:rPr>
        <w:t xml:space="preserve">zijnde </w:t>
      </w:r>
      <w:r w:rsidRPr="008753A0">
        <w:rPr>
          <w:rFonts w:ascii="RijksoverheidSansHeading" w:hAnsi="RijksoverheidSansHeading"/>
          <w:sz w:val="22"/>
          <w:szCs w:val="28"/>
        </w:rPr>
        <w:t>bedrijfsvertrouwelijk. De reactie van de aanbestedende dienst op dit bericht bevat mogelijk relevante verduidelijking voor andere geïnteresseerde inschrijvers, en daarom is het bericht en de reactie van de aanbestedende dienst met dit document openbaar gepubliceerd op TenderNed. Omdat inhoudelijk niks wordt gewijzigd</w:t>
      </w:r>
      <w:r w:rsidR="008753A0" w:rsidRPr="008753A0">
        <w:rPr>
          <w:rFonts w:ascii="RijksoverheidSansHeading" w:hAnsi="RijksoverheidSansHeading"/>
          <w:sz w:val="22"/>
          <w:szCs w:val="28"/>
        </w:rPr>
        <w:t xml:space="preserve"> in de aanbestedingsdocumenten</w:t>
      </w:r>
      <w:r w:rsidRPr="008753A0">
        <w:rPr>
          <w:rFonts w:ascii="RijksoverheidSansHeading" w:hAnsi="RijksoverheidSansHeading"/>
          <w:sz w:val="22"/>
          <w:szCs w:val="28"/>
        </w:rPr>
        <w:t>, maar enkel verduidelijkt, heeft deze mededeling geen consequenties voor de inschrijftermijn. Hieronder kunt u het bericht van de geïnteresseerde inschrijver lezen alsmede de reactie van de aanbestedende dienst daarop.</w:t>
      </w:r>
    </w:p>
    <w:p w14:paraId="37161558" w14:textId="77777777" w:rsidR="00FF635C" w:rsidRDefault="00FF635C" w:rsidP="00FF635C">
      <w:pPr>
        <w:pStyle w:val="Geenafstand"/>
        <w:jc w:val="both"/>
        <w:rPr>
          <w:rFonts w:ascii="RijksoverheidSansHeading" w:hAnsi="RijksoverheidSansHeading"/>
          <w:sz w:val="22"/>
          <w:szCs w:val="28"/>
        </w:rPr>
      </w:pPr>
    </w:p>
    <w:p w14:paraId="12D20934" w14:textId="28E6A60B" w:rsidR="00FF635C" w:rsidRDefault="00FF635C" w:rsidP="00FF635C">
      <w:pPr>
        <w:pStyle w:val="Geenafstand"/>
        <w:jc w:val="both"/>
        <w:rPr>
          <w:rFonts w:ascii="RijksoverheidSansHeading" w:hAnsi="RijksoverheidSansHeading"/>
          <w:b/>
          <w:bCs/>
          <w:sz w:val="22"/>
          <w:szCs w:val="28"/>
        </w:rPr>
      </w:pPr>
      <w:r>
        <w:rPr>
          <w:rFonts w:ascii="RijksoverheidSansHeading" w:hAnsi="RijksoverheidSansHeading"/>
          <w:b/>
          <w:bCs/>
          <w:sz w:val="22"/>
          <w:szCs w:val="28"/>
        </w:rPr>
        <w:t>Bericht van geïnteresseerde inschrijver</w:t>
      </w:r>
    </w:p>
    <w:p w14:paraId="1780615C" w14:textId="77777777" w:rsidR="0099105E" w:rsidRDefault="0099105E" w:rsidP="0099105E">
      <w:pPr>
        <w:pStyle w:val="Geenafstand"/>
        <w:jc w:val="both"/>
        <w:rPr>
          <w:rFonts w:ascii="RijksoverheidSansHeading" w:hAnsi="RijksoverheidSansHeading"/>
          <w:sz w:val="22"/>
          <w:szCs w:val="28"/>
        </w:rPr>
      </w:pPr>
    </w:p>
    <w:p w14:paraId="76055389"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Na zorgvuldige bestudering van de aanbestedingsstukken en de Nota’s van Inlichtingen, hebben wij geconstateerd dat de huidige prijsweging, zoals opgenomen in Bijlage D (Prijzenblad) en de beschrijving van het gunningscriterium Prijs, in strijd lijkt met de eigen gunningseis GE8 uit het Programma van Eisen. G8 luidt als volgt: “Prijzen in prijzenblad moeten onderling consistent zijn en in redelijke verhouding staan tot de aard en omvang van de dienst. Prijzen zijn realistisch.”</w:t>
      </w:r>
    </w:p>
    <w:p w14:paraId="4562A1C9" w14:textId="77777777" w:rsidR="0099105E" w:rsidRPr="0099105E" w:rsidRDefault="0099105E" w:rsidP="0099105E">
      <w:pPr>
        <w:pStyle w:val="Geenafstand"/>
        <w:ind w:left="708"/>
        <w:jc w:val="both"/>
        <w:rPr>
          <w:rFonts w:ascii="RijksoverheidSansHeading" w:hAnsi="RijksoverheidSansHeading"/>
          <w:i/>
          <w:iCs/>
          <w:sz w:val="22"/>
          <w:szCs w:val="28"/>
        </w:rPr>
      </w:pPr>
    </w:p>
    <w:p w14:paraId="56D774D1" w14:textId="1697E135"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 xml:space="preserve"> Het invullen van het tarievenblad leidt tot een inschrijfbedrag dat geen relatie lijkt te hebben met de daadwerkelijke kosten.</w:t>
      </w:r>
    </w:p>
    <w:p w14:paraId="24B836B1" w14:textId="77777777" w:rsidR="0099105E" w:rsidRPr="0099105E" w:rsidRDefault="0099105E" w:rsidP="0099105E">
      <w:pPr>
        <w:pStyle w:val="Geenafstand"/>
        <w:ind w:left="708"/>
        <w:jc w:val="both"/>
        <w:rPr>
          <w:rFonts w:ascii="RijksoverheidSansHeading" w:hAnsi="RijksoverheidSansHeading"/>
          <w:i/>
          <w:iCs/>
          <w:sz w:val="22"/>
          <w:szCs w:val="28"/>
        </w:rPr>
      </w:pPr>
    </w:p>
    <w:p w14:paraId="4A16EB42"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In het prijzenblad is de kolomhoofd "Ledigingen" vervangen door een "Abonnementsprijs per container" waarbij de titel van de tabel overigens wel "Ledigingskosten per lediging" blijft heten. In originele prijzenblad heette beiden "Ledigingkosten". Dit is zowel voor karton als voor vertrouwelijk papier het geval.</w:t>
      </w:r>
    </w:p>
    <w:p w14:paraId="27B95F48" w14:textId="77777777" w:rsidR="0099105E" w:rsidRPr="0099105E" w:rsidRDefault="0099105E" w:rsidP="0099105E">
      <w:pPr>
        <w:pStyle w:val="Geenafstand"/>
        <w:ind w:left="708"/>
        <w:jc w:val="both"/>
        <w:rPr>
          <w:rFonts w:ascii="RijksoverheidSansHeading" w:hAnsi="RijksoverheidSansHeading"/>
          <w:i/>
          <w:iCs/>
          <w:sz w:val="22"/>
          <w:szCs w:val="28"/>
        </w:rPr>
      </w:pPr>
    </w:p>
    <w:p w14:paraId="0D8924FA"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Subtotaal is weging x prijs. De weging heeft geen raakvlak met aantal ledigingen. Zo is het aantal ledigingen voor karton 104.000 stuks per jaar. De opgetelde wegingsfactor is 540 voor karton.</w:t>
      </w:r>
    </w:p>
    <w:p w14:paraId="615C39CC" w14:textId="77777777" w:rsidR="0099105E" w:rsidRPr="0099105E" w:rsidRDefault="0099105E" w:rsidP="0099105E">
      <w:pPr>
        <w:pStyle w:val="Geenafstand"/>
        <w:ind w:left="708"/>
        <w:jc w:val="both"/>
        <w:rPr>
          <w:rFonts w:ascii="RijksoverheidSansHeading" w:hAnsi="RijksoverheidSansHeading"/>
          <w:i/>
          <w:iCs/>
          <w:sz w:val="22"/>
          <w:szCs w:val="28"/>
        </w:rPr>
      </w:pPr>
    </w:p>
    <w:p w14:paraId="2A22430B"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Berekening om tot een jaartotaal te komen is de weging x abonnementsprijs x aantal ledigingen per jaar.</w:t>
      </w:r>
    </w:p>
    <w:p w14:paraId="7F72C11A" w14:textId="77777777" w:rsidR="0099105E" w:rsidRPr="0099105E" w:rsidRDefault="0099105E" w:rsidP="0099105E">
      <w:pPr>
        <w:pStyle w:val="Geenafstand"/>
        <w:ind w:left="708"/>
        <w:jc w:val="both"/>
        <w:rPr>
          <w:rFonts w:ascii="RijksoverheidSansHeading" w:hAnsi="RijksoverheidSansHeading"/>
          <w:i/>
          <w:iCs/>
          <w:sz w:val="22"/>
          <w:szCs w:val="28"/>
        </w:rPr>
      </w:pPr>
    </w:p>
    <w:p w14:paraId="706706EA"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Uitzondering: behalve bij 2 x per week lediging, want dan is wordt met 52 vermenigvuldigt (en geen 104).</w:t>
      </w:r>
    </w:p>
    <w:p w14:paraId="7654A024"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Hierdoor komen alle inschrijvers aanzienlijk lager uit dan de door u geraamde opdrachtwaarden van 15,625 miljoen euro.</w:t>
      </w:r>
    </w:p>
    <w:p w14:paraId="7689699A" w14:textId="7ED30914"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lastRenderedPageBreak/>
        <w:t xml:space="preserve"> Wij verzoeken u de prijsweging te heroverwegen, de bandbreedte of ondergrens aan te passen, of anderszins te verduidelijken hoe met de beginselen van realistische prijsstelling, proportionaliteit en mededinging rekening is gehouden.</w:t>
      </w:r>
    </w:p>
    <w:p w14:paraId="10A5237F" w14:textId="77777777" w:rsidR="0099105E" w:rsidRPr="0099105E" w:rsidRDefault="0099105E" w:rsidP="0099105E">
      <w:pPr>
        <w:pStyle w:val="Geenafstand"/>
        <w:ind w:left="708"/>
        <w:jc w:val="both"/>
        <w:rPr>
          <w:rFonts w:ascii="RijksoverheidSansHeading" w:hAnsi="RijksoverheidSansHeading"/>
          <w:i/>
          <w:iCs/>
          <w:sz w:val="22"/>
          <w:szCs w:val="28"/>
        </w:rPr>
      </w:pPr>
    </w:p>
    <w:p w14:paraId="77BEDF09" w14:textId="64C6E7E1" w:rsidR="00FF635C"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 xml:space="preserve"> Bij voorbaat dank voor de aanvullende informatie.</w:t>
      </w:r>
    </w:p>
    <w:p w14:paraId="634E4A39" w14:textId="77777777" w:rsidR="0099105E" w:rsidRDefault="0099105E" w:rsidP="00FF635C">
      <w:pPr>
        <w:pStyle w:val="Geenafstand"/>
        <w:jc w:val="both"/>
        <w:rPr>
          <w:rFonts w:ascii="RijksoverheidSansHeading" w:hAnsi="RijksoverheidSansHeading"/>
          <w:b/>
          <w:bCs/>
          <w:sz w:val="22"/>
          <w:szCs w:val="28"/>
        </w:rPr>
      </w:pPr>
    </w:p>
    <w:p w14:paraId="37556AE0" w14:textId="77777777" w:rsidR="0099105E" w:rsidRDefault="0099105E" w:rsidP="00FF635C">
      <w:pPr>
        <w:pStyle w:val="Geenafstand"/>
        <w:jc w:val="both"/>
        <w:rPr>
          <w:rFonts w:ascii="RijksoverheidSansHeading" w:hAnsi="RijksoverheidSansHeading"/>
          <w:b/>
          <w:bCs/>
          <w:sz w:val="22"/>
          <w:szCs w:val="28"/>
        </w:rPr>
      </w:pPr>
    </w:p>
    <w:p w14:paraId="050606C9" w14:textId="3DBA838C" w:rsidR="00FF635C" w:rsidRPr="00FF635C" w:rsidRDefault="00FF635C" w:rsidP="00FF635C">
      <w:pPr>
        <w:pStyle w:val="Geenafstand"/>
        <w:jc w:val="both"/>
        <w:rPr>
          <w:rFonts w:ascii="RijksoverheidSansHeading" w:hAnsi="RijksoverheidSansHeading"/>
          <w:b/>
          <w:bCs/>
          <w:sz w:val="22"/>
          <w:szCs w:val="28"/>
        </w:rPr>
      </w:pPr>
      <w:r>
        <w:rPr>
          <w:rFonts w:ascii="RijksoverheidSansHeading" w:hAnsi="RijksoverheidSansHeading"/>
          <w:b/>
          <w:bCs/>
          <w:sz w:val="22"/>
          <w:szCs w:val="28"/>
        </w:rPr>
        <w:t>Reactie van aanbestedende dienst</w:t>
      </w:r>
    </w:p>
    <w:p w14:paraId="5DF7C323" w14:textId="77777777" w:rsidR="00FF635C" w:rsidRPr="00FF635C" w:rsidRDefault="00FF635C" w:rsidP="00FF635C">
      <w:pPr>
        <w:pStyle w:val="Geenafstand"/>
        <w:jc w:val="both"/>
        <w:rPr>
          <w:rFonts w:ascii="RijksoverheidSansHeading" w:hAnsi="RijksoverheidSansHeading"/>
          <w:b/>
          <w:bCs/>
          <w:sz w:val="22"/>
          <w:szCs w:val="28"/>
        </w:rPr>
      </w:pPr>
    </w:p>
    <w:p w14:paraId="39FE0B71" w14:textId="1A978C80"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 xml:space="preserve">U merkt op dat op tabblad 3 “Lediging en Verwerking” van het Prijzenblad (Bijlage D) een tekstuele aanpassing is vergeten door te voeren in rij 15 en 40. </w:t>
      </w:r>
      <w:r w:rsidR="001B068E">
        <w:rPr>
          <w:rFonts w:ascii="RijksoverheidSansHeading" w:hAnsi="RijksoverheidSansHeading"/>
          <w:i/>
          <w:iCs/>
          <w:sz w:val="22"/>
          <w:szCs w:val="28"/>
        </w:rPr>
        <w:t>D</w:t>
      </w:r>
      <w:r w:rsidR="001B068E" w:rsidRPr="001B068E">
        <w:rPr>
          <w:rFonts w:ascii="RijksoverheidSansHeading" w:hAnsi="RijksoverheidSansHeading"/>
          <w:i/>
          <w:iCs/>
          <w:sz w:val="22"/>
          <w:szCs w:val="28"/>
        </w:rPr>
        <w:t>e onderliggende rekensystematiek en het gunningsmodel</w:t>
      </w:r>
      <w:r w:rsidR="001B068E">
        <w:rPr>
          <w:rFonts w:ascii="RijksoverheidSansHeading" w:hAnsi="RijksoverheidSansHeading"/>
          <w:i/>
          <w:iCs/>
          <w:sz w:val="22"/>
          <w:szCs w:val="28"/>
        </w:rPr>
        <w:t xml:space="preserve"> worden</w:t>
      </w:r>
      <w:r w:rsidR="001B068E" w:rsidRPr="001B068E">
        <w:rPr>
          <w:rFonts w:ascii="RijksoverheidSansHeading" w:hAnsi="RijksoverheidSansHeading"/>
          <w:i/>
          <w:iCs/>
          <w:sz w:val="22"/>
          <w:szCs w:val="28"/>
        </w:rPr>
        <w:t xml:space="preserve"> hierdoor niet beïnvloed</w:t>
      </w:r>
      <w:r w:rsidR="001B068E">
        <w:rPr>
          <w:rFonts w:ascii="RijksoverheidSansHeading" w:hAnsi="RijksoverheidSansHeading"/>
          <w:i/>
          <w:iCs/>
          <w:sz w:val="22"/>
          <w:szCs w:val="28"/>
        </w:rPr>
        <w:t>, en o</w:t>
      </w:r>
      <w:r w:rsidRPr="0099105E">
        <w:rPr>
          <w:rFonts w:ascii="RijksoverheidSansHeading" w:hAnsi="RijksoverheidSansHeading"/>
          <w:i/>
          <w:iCs/>
          <w:sz w:val="22"/>
          <w:szCs w:val="28"/>
        </w:rPr>
        <w:t>m verwarring te voorkomen bij potentiële inschrijvers, wordt de voorgestelde tekstuele aanpassing in dit stadium van de aanbesteding niet alsnog gewijzigd.</w:t>
      </w:r>
      <w:r w:rsidR="001B068E">
        <w:rPr>
          <w:rFonts w:ascii="RijksoverheidSansHeading" w:hAnsi="RijksoverheidSansHeading"/>
          <w:i/>
          <w:iCs/>
          <w:sz w:val="22"/>
          <w:szCs w:val="28"/>
        </w:rPr>
        <w:t xml:space="preserve"> </w:t>
      </w:r>
    </w:p>
    <w:p w14:paraId="6209C291" w14:textId="77777777" w:rsidR="0099105E" w:rsidRPr="0099105E" w:rsidRDefault="0099105E" w:rsidP="0099105E">
      <w:pPr>
        <w:pStyle w:val="Geenafstand"/>
        <w:ind w:left="708"/>
        <w:jc w:val="both"/>
        <w:rPr>
          <w:rFonts w:ascii="RijksoverheidSansHeading" w:hAnsi="RijksoverheidSansHeading"/>
          <w:i/>
          <w:iCs/>
          <w:sz w:val="22"/>
          <w:szCs w:val="28"/>
        </w:rPr>
      </w:pPr>
    </w:p>
    <w:p w14:paraId="2B7A30AF"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U geeft, over tabblad 3 “Lediging en Verwerking” van het Prijzenblad (Bijlage D), aan dat de weging (kolom E) geen raakvlak heeft met het aantal ledigingen, dit is onjuist want de ledigingsfrequentie (c.q. het aantal ledigingen per abonnementsduur) is verwerkt in de abonnementsvormen (kolom D) waarvoor inschrijvers (in kolom F) een abonnementsprijs afgeven.</w:t>
      </w:r>
    </w:p>
    <w:p w14:paraId="09AA74A8" w14:textId="77777777" w:rsidR="0099105E" w:rsidRPr="0099105E" w:rsidRDefault="0099105E" w:rsidP="0099105E">
      <w:pPr>
        <w:pStyle w:val="Geenafstand"/>
        <w:ind w:left="708"/>
        <w:jc w:val="both"/>
        <w:rPr>
          <w:rFonts w:ascii="RijksoverheidSansHeading" w:hAnsi="RijksoverheidSansHeading"/>
          <w:i/>
          <w:iCs/>
          <w:sz w:val="22"/>
          <w:szCs w:val="28"/>
        </w:rPr>
      </w:pPr>
    </w:p>
    <w:p w14:paraId="6B4A04A8"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Ten aanzien van de ondergrens inschrijfprijs, reële opdrachtwaarde en maximale contractwaarde verwijst de aanbestedende dienst naar vraag 16 van Nota van inlichtingen 1 en vraag 15 van de Nota van inlichtingen 2. Zie ook §4.2 van het Beschrijvend document voor toelichting op sub-gunningscriterium Prijs. Het is mogelijk om onder de geraamde opdrachtwaarde van €15.625.000,- in te schrijven. Het prijzenblad (Bijlage D) en de bandbreedte voor de inschrijfprijs wordt niet aangepast.</w:t>
      </w:r>
    </w:p>
    <w:p w14:paraId="11A180A5" w14:textId="77777777" w:rsidR="0099105E" w:rsidRPr="0099105E" w:rsidRDefault="0099105E" w:rsidP="0099105E">
      <w:pPr>
        <w:pStyle w:val="Geenafstand"/>
        <w:ind w:left="708"/>
        <w:jc w:val="both"/>
        <w:rPr>
          <w:rFonts w:ascii="RijksoverheidSansHeading" w:hAnsi="RijksoverheidSansHeading"/>
          <w:i/>
          <w:iCs/>
          <w:sz w:val="22"/>
          <w:szCs w:val="28"/>
        </w:rPr>
      </w:pPr>
    </w:p>
    <w:p w14:paraId="7BD0E4B9" w14:textId="77777777" w:rsidR="0099105E" w:rsidRP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Dit antwoord op uw bericht betreft geen wijziging van de aanbestedingsdocumenten maar enkel een verduidelijking waar enkel u om heeft verzocht. De aanbestedende dienst rekent er op dat dit antwoord voldoende verduidelijking geeft op uw vraag, en ziet uw inschrijving graag tegemoet.</w:t>
      </w:r>
    </w:p>
    <w:p w14:paraId="17E3828C" w14:textId="77777777" w:rsidR="0099105E" w:rsidRPr="0099105E" w:rsidRDefault="0099105E" w:rsidP="0099105E">
      <w:pPr>
        <w:pStyle w:val="Geenafstand"/>
        <w:ind w:left="708"/>
        <w:jc w:val="both"/>
        <w:rPr>
          <w:rFonts w:ascii="RijksoverheidSansHeading" w:hAnsi="RijksoverheidSansHeading"/>
          <w:i/>
          <w:iCs/>
          <w:sz w:val="22"/>
          <w:szCs w:val="28"/>
        </w:rPr>
      </w:pPr>
    </w:p>
    <w:p w14:paraId="0E13F9B9" w14:textId="77777777" w:rsidR="0099105E" w:rsidRDefault="0099105E" w:rsidP="0099105E">
      <w:pPr>
        <w:pStyle w:val="Geenafstand"/>
        <w:ind w:left="708"/>
        <w:jc w:val="both"/>
        <w:rPr>
          <w:rFonts w:ascii="RijksoverheidSansHeading" w:hAnsi="RijksoverheidSansHeading"/>
          <w:i/>
          <w:iCs/>
          <w:sz w:val="22"/>
          <w:szCs w:val="28"/>
        </w:rPr>
      </w:pPr>
      <w:r w:rsidRPr="0099105E">
        <w:rPr>
          <w:rFonts w:ascii="RijksoverheidSansHeading" w:hAnsi="RijksoverheidSansHeading"/>
          <w:i/>
          <w:iCs/>
          <w:sz w:val="22"/>
          <w:szCs w:val="28"/>
        </w:rPr>
        <w:t>Alvast bedankt.</w:t>
      </w:r>
    </w:p>
    <w:p w14:paraId="6D0C5D5F" w14:textId="77777777" w:rsidR="001B068E" w:rsidRDefault="001B068E" w:rsidP="0099105E">
      <w:pPr>
        <w:pStyle w:val="Geenafstand"/>
        <w:ind w:left="708"/>
        <w:jc w:val="both"/>
        <w:rPr>
          <w:rFonts w:ascii="RijksoverheidSansHeading" w:hAnsi="RijksoverheidSansHeading"/>
          <w:i/>
          <w:iCs/>
          <w:sz w:val="22"/>
          <w:szCs w:val="28"/>
        </w:rPr>
      </w:pPr>
    </w:p>
    <w:p w14:paraId="1F958333" w14:textId="4728EA5B" w:rsidR="001B068E" w:rsidRPr="0099105E" w:rsidRDefault="001B068E" w:rsidP="0099105E">
      <w:pPr>
        <w:pStyle w:val="Geenafstand"/>
        <w:ind w:left="708"/>
        <w:jc w:val="both"/>
        <w:rPr>
          <w:rFonts w:ascii="RijksoverheidSansHeading" w:hAnsi="RijksoverheidSansHeading"/>
          <w:i/>
          <w:iCs/>
          <w:sz w:val="22"/>
          <w:szCs w:val="28"/>
        </w:rPr>
      </w:pPr>
    </w:p>
    <w:p w14:paraId="09EE3774" w14:textId="77777777" w:rsidR="00FF635C" w:rsidRPr="0099105E" w:rsidRDefault="00FF635C" w:rsidP="0099105E">
      <w:pPr>
        <w:pStyle w:val="Geenafstand"/>
        <w:ind w:left="708"/>
        <w:jc w:val="both"/>
        <w:rPr>
          <w:rFonts w:ascii="RijksoverheidSansHeading" w:hAnsi="RijksoverheidSansHeading"/>
          <w:i/>
          <w:iCs/>
          <w:sz w:val="22"/>
          <w:szCs w:val="28"/>
        </w:rPr>
      </w:pPr>
    </w:p>
    <w:p w14:paraId="387CBAD3" w14:textId="77777777" w:rsidR="008B1FCF" w:rsidRPr="00836FD3" w:rsidRDefault="008B1FCF" w:rsidP="008B1FCF">
      <w:pPr>
        <w:pStyle w:val="Geenafstand"/>
        <w:jc w:val="center"/>
      </w:pPr>
    </w:p>
    <w:sectPr w:rsidR="008B1FCF" w:rsidRPr="00836FD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2F5F" w14:textId="77777777" w:rsidR="00FF635C" w:rsidRDefault="00FF635C" w:rsidP="00FF635C">
      <w:pPr>
        <w:spacing w:line="240" w:lineRule="auto"/>
      </w:pPr>
      <w:r>
        <w:separator/>
      </w:r>
    </w:p>
  </w:endnote>
  <w:endnote w:type="continuationSeparator" w:id="0">
    <w:p w14:paraId="49890D53" w14:textId="77777777" w:rsidR="00FF635C" w:rsidRDefault="00FF635C" w:rsidP="00FF6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
    <w:panose1 w:val="020B0503040202060203"/>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EDD" w14:textId="30916207" w:rsidR="00FF635C" w:rsidRPr="0099105E" w:rsidRDefault="0099105E" w:rsidP="0099105E">
    <w:pPr>
      <w:pStyle w:val="Voettekst"/>
      <w:tabs>
        <w:tab w:val="clear" w:pos="4536"/>
        <w:tab w:val="clear" w:pos="9072"/>
        <w:tab w:val="left" w:pos="142"/>
        <w:tab w:val="center" w:pos="7371"/>
        <w:tab w:val="right" w:pos="15168"/>
      </w:tabs>
      <w:jc w:val="center"/>
      <w:rPr>
        <w:rFonts w:ascii="RijksoverheidSansHeading" w:eastAsiaTheme="majorEastAsia" w:hAnsi="RijksoverheidSansHeading"/>
        <w:sz w:val="20"/>
      </w:rPr>
    </w:pPr>
    <w:r w:rsidRPr="009D0594">
      <w:rPr>
        <w:rStyle w:val="Paginanummer"/>
        <w:rFonts w:ascii="RijksoverheidSansHeading" w:eastAsiaTheme="majorEastAsia" w:hAnsi="RijksoverheidSansHeading"/>
        <w:snapToGrid w:val="0"/>
        <w:sz w:val="20"/>
      </w:rPr>
      <w:t xml:space="preserve">Pagina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PAGE </w:instrText>
    </w:r>
    <w:r w:rsidRPr="009D0594">
      <w:rPr>
        <w:rStyle w:val="Paginanummer"/>
        <w:rFonts w:ascii="RijksoverheidSansHeading" w:eastAsiaTheme="majorEastAsia" w:hAnsi="RijksoverheidSansHeading"/>
        <w:snapToGrid w:val="0"/>
        <w:sz w:val="20"/>
        <w:szCs w:val="22"/>
      </w:rPr>
      <w:fldChar w:fldCharType="separate"/>
    </w:r>
    <w:r>
      <w:rPr>
        <w:rStyle w:val="Paginanummer"/>
        <w:rFonts w:ascii="RijksoverheidSansHeading" w:eastAsiaTheme="majorEastAsia" w:hAnsi="RijksoverheidSansHeading"/>
        <w:snapToGrid w:val="0"/>
        <w:szCs w:val="22"/>
      </w:rPr>
      <w:t>2</w:t>
    </w:r>
    <w:r w:rsidRPr="009D0594">
      <w:rPr>
        <w:rStyle w:val="Paginanummer"/>
        <w:rFonts w:ascii="RijksoverheidSansHeading" w:eastAsiaTheme="majorEastAsia" w:hAnsi="RijksoverheidSansHeading"/>
        <w:noProof/>
        <w:snapToGrid w:val="0"/>
        <w:sz w:val="20"/>
      </w:rPr>
      <w:fldChar w:fldCharType="end"/>
    </w:r>
    <w:r w:rsidRPr="009D0594">
      <w:rPr>
        <w:rStyle w:val="Paginanummer"/>
        <w:rFonts w:ascii="RijksoverheidSansHeading" w:eastAsiaTheme="majorEastAsia" w:hAnsi="RijksoverheidSansHeading"/>
        <w:snapToGrid w:val="0"/>
        <w:sz w:val="20"/>
      </w:rPr>
      <w:t xml:space="preserve"> van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NUMPAGES </w:instrText>
    </w:r>
    <w:r w:rsidRPr="009D0594">
      <w:rPr>
        <w:rStyle w:val="Paginanummer"/>
        <w:rFonts w:ascii="RijksoverheidSansHeading" w:eastAsiaTheme="majorEastAsia" w:hAnsi="RijksoverheidSansHeading"/>
        <w:snapToGrid w:val="0"/>
        <w:sz w:val="20"/>
        <w:szCs w:val="22"/>
      </w:rPr>
      <w:fldChar w:fldCharType="separate"/>
    </w:r>
    <w:r>
      <w:rPr>
        <w:rStyle w:val="Paginanummer"/>
        <w:rFonts w:ascii="RijksoverheidSansHeading" w:eastAsiaTheme="majorEastAsia" w:hAnsi="RijksoverheidSansHeading"/>
        <w:snapToGrid w:val="0"/>
        <w:szCs w:val="22"/>
      </w:rPr>
      <w:t>6</w:t>
    </w:r>
    <w:r w:rsidRPr="009D0594">
      <w:rPr>
        <w:rStyle w:val="Paginanummer"/>
        <w:rFonts w:ascii="RijksoverheidSansHeading" w:eastAsiaTheme="majorEastAsia" w:hAnsi="RijksoverheidSansHeading"/>
        <w:noProof/>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7E25" w14:textId="77777777" w:rsidR="00FF635C" w:rsidRDefault="00FF635C" w:rsidP="00FF635C">
      <w:pPr>
        <w:spacing w:line="240" w:lineRule="auto"/>
      </w:pPr>
      <w:r>
        <w:separator/>
      </w:r>
    </w:p>
  </w:footnote>
  <w:footnote w:type="continuationSeparator" w:id="0">
    <w:p w14:paraId="3CC0AC87" w14:textId="77777777" w:rsidR="00FF635C" w:rsidRDefault="00FF635C" w:rsidP="00FF63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4974287">
    <w:abstractNumId w:val="2"/>
  </w:num>
  <w:num w:numId="2" w16cid:durableId="670334610">
    <w:abstractNumId w:val="1"/>
  </w:num>
  <w:num w:numId="3" w16cid:durableId="1492283908">
    <w:abstractNumId w:val="0"/>
  </w:num>
  <w:num w:numId="4" w16cid:durableId="209806566">
    <w:abstractNumId w:val="1"/>
  </w:num>
  <w:num w:numId="5" w16cid:durableId="569190045">
    <w:abstractNumId w:val="3"/>
  </w:num>
  <w:num w:numId="6" w16cid:durableId="161070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ghUug84FP5Xb5bD1KZd1Vz5F6Gz4MAljKMw7LOniZywF9bAC/E5PhsDO0eC4ivEX0tqHWdABHMkmicnrwiOmIQ==" w:salt="Yc/0S7PTV17S02QTFmen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CF"/>
    <w:rsid w:val="000E4513"/>
    <w:rsid w:val="000F0A32"/>
    <w:rsid w:val="00123231"/>
    <w:rsid w:val="001B068E"/>
    <w:rsid w:val="001E10EF"/>
    <w:rsid w:val="002819EC"/>
    <w:rsid w:val="002A6674"/>
    <w:rsid w:val="00310B62"/>
    <w:rsid w:val="005F44D8"/>
    <w:rsid w:val="00836FD3"/>
    <w:rsid w:val="008753A0"/>
    <w:rsid w:val="00892E9A"/>
    <w:rsid w:val="008B1FCF"/>
    <w:rsid w:val="0099105E"/>
    <w:rsid w:val="00BD0062"/>
    <w:rsid w:val="00D76A6B"/>
    <w:rsid w:val="00E45B7C"/>
    <w:rsid w:val="00F106CB"/>
    <w:rsid w:val="00FE597A"/>
    <w:rsid w:val="00FF6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881A"/>
  <w15:chartTrackingRefBased/>
  <w15:docId w15:val="{B28327FF-8D2B-4ABA-B1EA-DDDFA081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FCF"/>
    <w:pPr>
      <w:widowControl w:val="0"/>
      <w:spacing w:after="0" w:line="240" w:lineRule="atLeast"/>
    </w:pPr>
    <w:rPr>
      <w:rFonts w:ascii="Arial" w:eastAsia="Times New Roman" w:hAnsi="Arial" w:cs="Times New Roman"/>
      <w:sz w:val="19"/>
      <w:szCs w:val="20"/>
      <w:lang w:eastAsia="nl-NL"/>
    </w:rPr>
  </w:style>
  <w:style w:type="paragraph" w:styleId="Kop1">
    <w:name w:val="heading 1"/>
    <w:basedOn w:val="Standaard"/>
    <w:next w:val="Standaard"/>
    <w:link w:val="Kop1Char"/>
    <w:uiPriority w:val="1"/>
    <w:qFormat/>
    <w:rsid w:val="00D76A6B"/>
    <w:pPr>
      <w:pageBreakBefore/>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spacing w:before="240"/>
      <w:outlineLvl w:val="2"/>
    </w:pPr>
    <w:rPr>
      <w:rFonts w:eastAsiaTheme="majorEastAsia" w:cstheme="majorBidi"/>
      <w:bCs/>
      <w:i/>
      <w:kern w:val="32"/>
    </w:rPr>
  </w:style>
  <w:style w:type="paragraph" w:styleId="Kop4">
    <w:name w:val="heading 4"/>
    <w:basedOn w:val="Standaard"/>
    <w:next w:val="Standaard"/>
    <w:link w:val="Kop4Char"/>
    <w:uiPriority w:val="9"/>
    <w:semiHidden/>
    <w:unhideWhenUsed/>
    <w:rsid w:val="008B1FC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8B1FC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8B1FC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B1FC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B1FC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B1FC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character" w:customStyle="1" w:styleId="Kop4Char">
    <w:name w:val="Kop 4 Char"/>
    <w:basedOn w:val="Standaardalinea-lettertype"/>
    <w:link w:val="Kop4"/>
    <w:uiPriority w:val="9"/>
    <w:semiHidden/>
    <w:rsid w:val="008B1FCF"/>
    <w:rPr>
      <w:rFonts w:eastAsiaTheme="majorEastAsia" w:cstheme="majorBidi"/>
      <w:i/>
      <w:iCs/>
      <w:color w:val="365F91" w:themeColor="accent1" w:themeShade="BF"/>
      <w:sz w:val="18"/>
    </w:rPr>
  </w:style>
  <w:style w:type="character" w:customStyle="1" w:styleId="Kop5Char">
    <w:name w:val="Kop 5 Char"/>
    <w:basedOn w:val="Standaardalinea-lettertype"/>
    <w:link w:val="Kop5"/>
    <w:uiPriority w:val="9"/>
    <w:semiHidden/>
    <w:rsid w:val="008B1FCF"/>
    <w:rPr>
      <w:rFonts w:eastAsiaTheme="majorEastAsia" w:cstheme="majorBidi"/>
      <w:color w:val="365F91" w:themeColor="accent1" w:themeShade="BF"/>
      <w:sz w:val="18"/>
    </w:rPr>
  </w:style>
  <w:style w:type="character" w:customStyle="1" w:styleId="Kop6Char">
    <w:name w:val="Kop 6 Char"/>
    <w:basedOn w:val="Standaardalinea-lettertype"/>
    <w:link w:val="Kop6"/>
    <w:uiPriority w:val="9"/>
    <w:semiHidden/>
    <w:rsid w:val="008B1FCF"/>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8B1FCF"/>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8B1FCF"/>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8B1FCF"/>
    <w:rPr>
      <w:rFonts w:eastAsiaTheme="majorEastAsia" w:cstheme="majorBidi"/>
      <w:color w:val="272727" w:themeColor="text1" w:themeTint="D8"/>
      <w:sz w:val="18"/>
    </w:rPr>
  </w:style>
  <w:style w:type="paragraph" w:styleId="Titel">
    <w:name w:val="Title"/>
    <w:basedOn w:val="Standaard"/>
    <w:next w:val="Standaard"/>
    <w:link w:val="TitelChar"/>
    <w:uiPriority w:val="10"/>
    <w:rsid w:val="008B1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F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B1F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F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8B1FC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1FCF"/>
    <w:rPr>
      <w:rFonts w:ascii="Verdana" w:hAnsi="Verdana"/>
      <w:i/>
      <w:iCs/>
      <w:color w:val="404040" w:themeColor="text1" w:themeTint="BF"/>
      <w:sz w:val="18"/>
    </w:rPr>
  </w:style>
  <w:style w:type="character" w:styleId="Intensievebenadrukking">
    <w:name w:val="Intense Emphasis"/>
    <w:basedOn w:val="Standaardalinea-lettertype"/>
    <w:uiPriority w:val="21"/>
    <w:rsid w:val="008B1FCF"/>
    <w:rPr>
      <w:i/>
      <w:iCs/>
      <w:color w:val="365F91" w:themeColor="accent1" w:themeShade="BF"/>
    </w:rPr>
  </w:style>
  <w:style w:type="paragraph" w:styleId="Duidelijkcitaat">
    <w:name w:val="Intense Quote"/>
    <w:basedOn w:val="Standaard"/>
    <w:next w:val="Standaard"/>
    <w:link w:val="DuidelijkcitaatChar"/>
    <w:uiPriority w:val="30"/>
    <w:rsid w:val="008B1F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B1FCF"/>
    <w:rPr>
      <w:rFonts w:ascii="Verdana" w:hAnsi="Verdana"/>
      <w:i/>
      <w:iCs/>
      <w:color w:val="365F91" w:themeColor="accent1" w:themeShade="BF"/>
      <w:sz w:val="18"/>
    </w:rPr>
  </w:style>
  <w:style w:type="character" w:styleId="Intensieveverwijzing">
    <w:name w:val="Intense Reference"/>
    <w:basedOn w:val="Standaardalinea-lettertype"/>
    <w:uiPriority w:val="32"/>
    <w:rsid w:val="008B1FCF"/>
    <w:rPr>
      <w:b/>
      <w:bCs/>
      <w:smallCaps/>
      <w:color w:val="365F91" w:themeColor="accent1" w:themeShade="BF"/>
      <w:spacing w:val="5"/>
    </w:rPr>
  </w:style>
  <w:style w:type="table" w:styleId="Tabelraster">
    <w:name w:val="Table Grid"/>
    <w:aliases w:val="BFF 1 Table Grid"/>
    <w:basedOn w:val="Standaardtabel"/>
    <w:uiPriority w:val="59"/>
    <w:rsid w:val="008B1FCF"/>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F6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635C"/>
    <w:rPr>
      <w:rFonts w:ascii="Arial" w:eastAsia="Times New Roman" w:hAnsi="Arial" w:cs="Times New Roman"/>
      <w:sz w:val="19"/>
      <w:szCs w:val="20"/>
      <w:lang w:eastAsia="nl-NL"/>
    </w:rPr>
  </w:style>
  <w:style w:type="paragraph" w:styleId="Voettekst">
    <w:name w:val="footer"/>
    <w:basedOn w:val="Standaard"/>
    <w:link w:val="VoettekstChar"/>
    <w:unhideWhenUsed/>
    <w:rsid w:val="00FF635C"/>
    <w:pPr>
      <w:tabs>
        <w:tab w:val="center" w:pos="4536"/>
        <w:tab w:val="right" w:pos="9072"/>
      </w:tabs>
      <w:spacing w:line="240" w:lineRule="auto"/>
    </w:pPr>
  </w:style>
  <w:style w:type="character" w:customStyle="1" w:styleId="VoettekstChar">
    <w:name w:val="Voettekst Char"/>
    <w:basedOn w:val="Standaardalinea-lettertype"/>
    <w:link w:val="Voettekst"/>
    <w:rsid w:val="00FF635C"/>
    <w:rPr>
      <w:rFonts w:ascii="Arial" w:eastAsia="Times New Roman" w:hAnsi="Arial" w:cs="Times New Roman"/>
      <w:sz w:val="19"/>
      <w:szCs w:val="20"/>
      <w:lang w:eastAsia="nl-NL"/>
    </w:rPr>
  </w:style>
  <w:style w:type="character" w:styleId="Paginanummer">
    <w:name w:val="page number"/>
    <w:basedOn w:val="Standaardalinea-lettertype"/>
    <w:semiHidden/>
    <w:rsid w:val="0099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CD3BD74E74321934886207DF0AAB0"/>
        <w:category>
          <w:name w:val="Algemeen"/>
          <w:gallery w:val="placeholder"/>
        </w:category>
        <w:types>
          <w:type w:val="bbPlcHdr"/>
        </w:types>
        <w:behaviors>
          <w:behavior w:val="content"/>
        </w:behaviors>
        <w:guid w:val="{53CC4A24-1214-49F9-9A78-ED5A8711B476}"/>
      </w:docPartPr>
      <w:docPartBody>
        <w:p w:rsidR="00714F7F" w:rsidRDefault="00714F7F" w:rsidP="00714F7F">
          <w:pPr>
            <w:pStyle w:val="257CD3BD74E74321934886207DF0AAB0"/>
          </w:pPr>
          <w:r w:rsidRPr="00A540EB">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
    <w:panose1 w:val="020B0503040202060203"/>
    <w:charset w:val="00"/>
    <w:family w:val="swiss"/>
    <w:notTrueType/>
    <w:pitch w:val="variable"/>
    <w:sig w:usb0="00000087" w:usb1="00000001" w:usb2="00000000" w:usb3="00000000" w:csb0="0000009B"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7F"/>
    <w:rsid w:val="00714F7F"/>
    <w:rsid w:val="00FE5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14F7F"/>
    <w:rPr>
      <w:color w:val="666666"/>
    </w:rPr>
  </w:style>
  <w:style w:type="paragraph" w:customStyle="1" w:styleId="257CD3BD74E74321934886207DF0AAB0">
    <w:name w:val="257CD3BD74E74321934886207DF0AAB0"/>
    <w:rsid w:val="00714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ae44af-0d2f-41b1-adc6-e91c886519be">
      <Terms xmlns="http://schemas.microsoft.com/office/infopath/2007/PartnerControls"/>
    </lcf76f155ced4ddcb4097134ff3c332f>
    <_dlc_DocId xmlns="0ee7b059-589f-405a-b5a1-46022a8a20c6">CUXR7DHSUNXY-731622043-353</_dlc_DocId>
    <_dlc_DocIdUrl xmlns="0ee7b059-589f-405a-b5a1-46022a8a20c6">
      <Url>https://belastingdienst.sharepoint.com/teams/dbo-applicaties-TeamKA/_layouts/15/DocIdRedir.aspx?ID=CUXR7DHSUNXY-731622043-353</Url>
      <Description>CUXR7DHSUNXY-731622043-353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1BDE457807FA44A1B172F17E973A7C" ma:contentTypeVersion="11" ma:contentTypeDescription="Een nieuw document maken." ma:contentTypeScope="" ma:versionID="18895cd9ddbbc3eb2825260863b98987">
  <xsd:schema xmlns:xsd="http://www.w3.org/2001/XMLSchema" xmlns:xs="http://www.w3.org/2001/XMLSchema" xmlns:p="http://schemas.microsoft.com/office/2006/metadata/properties" xmlns:ns2="5aae44af-0d2f-41b1-adc6-e91c886519be" xmlns:ns3="0ee7b059-589f-405a-b5a1-46022a8a20c6" targetNamespace="http://schemas.microsoft.com/office/2006/metadata/properties" ma:root="true" ma:fieldsID="d19c79f23b123899386a6510569d7ddf" ns2:_="" ns3:_="">
    <xsd:import namespace="5aae44af-0d2f-41b1-adc6-e91c886519be"/>
    <xsd:import namespace="0ee7b059-589f-405a-b5a1-46022a8a2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e44af-0d2f-41b1-adc6-e91c88651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e577e0c-4de9-41a0-a7c6-7bd686208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7b059-589f-405a-b5a1-46022a8a20c6"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DEC7E5-C3BF-4A6A-AECE-6AD26B4EA640}">
  <ds:schemaRefs>
    <ds:schemaRef ds:uri="http://schemas.microsoft.com/sharepoint/v3/contenttype/forms"/>
  </ds:schemaRefs>
</ds:datastoreItem>
</file>

<file path=customXml/itemProps2.xml><?xml version="1.0" encoding="utf-8"?>
<ds:datastoreItem xmlns:ds="http://schemas.openxmlformats.org/officeDocument/2006/customXml" ds:itemID="{255DF63F-9F53-4B16-8AB0-5BDF57B36D0A}">
  <ds:schemaRefs>
    <ds:schemaRef ds:uri="0ee7b059-589f-405a-b5a1-46022a8a20c6"/>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5aae44af-0d2f-41b1-adc6-e91c886519be"/>
    <ds:schemaRef ds:uri="http://purl.org/dc/terms/"/>
  </ds:schemaRefs>
</ds:datastoreItem>
</file>

<file path=customXml/itemProps3.xml><?xml version="1.0" encoding="utf-8"?>
<ds:datastoreItem xmlns:ds="http://schemas.openxmlformats.org/officeDocument/2006/customXml" ds:itemID="{D8D00700-137C-4B68-B680-42E9F0C25F8F}">
  <ds:schemaRefs>
    <ds:schemaRef ds:uri="http://schemas.openxmlformats.org/officeDocument/2006/bibliography"/>
  </ds:schemaRefs>
</ds:datastoreItem>
</file>

<file path=customXml/itemProps4.xml><?xml version="1.0" encoding="utf-8"?>
<ds:datastoreItem xmlns:ds="http://schemas.openxmlformats.org/officeDocument/2006/customXml" ds:itemID="{484A59FE-B9F1-4ED4-92A3-52E2C3D8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e44af-0d2f-41b1-adc6-e91c886519be"/>
    <ds:schemaRef ds:uri="0ee7b059-589f-405a-b5a1-46022a8a2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8C4081-1EF2-4330-A5F2-267EAB8BEC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3726</Characters>
  <Application>Microsoft Office Word</Application>
  <DocSecurity>8</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5</cp:revision>
  <cp:lastPrinted>2026-03-10T09:09:00Z</cp:lastPrinted>
  <dcterms:created xsi:type="dcterms:W3CDTF">2026-03-10T08:56:00Z</dcterms:created>
  <dcterms:modified xsi:type="dcterms:W3CDTF">2026-03-10T09:09:00Z</dcterms:modified>
</cp:coreProperties>
</file>