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B8C7" w14:textId="26B478C6" w:rsidR="009C416E" w:rsidRPr="009C416E" w:rsidRDefault="00AD5D2E" w:rsidP="006E2A26">
      <w:pPr>
        <w:spacing w:after="0" w:line="240" w:lineRule="auto"/>
        <w:rPr>
          <w:rFonts w:ascii="Aptos Display" w:eastAsia="DengXian Light" w:hAnsi="Aptos Display" w:cs="Times New Roman"/>
          <w:color w:val="0F4761"/>
          <w:kern w:val="2"/>
          <w:sz w:val="28"/>
          <w:szCs w:val="28"/>
          <w:lang w:eastAsia="zh-CN"/>
          <w14:ligatures w14:val="standardContextual"/>
        </w:rPr>
      </w:pPr>
      <w:r w:rsidRPr="0029346A">
        <w:rPr>
          <w:rFonts w:ascii="Aptos" w:eastAsia="Calibri" w:hAnsi="Aptos" w:cstheme="minorHAnsi"/>
          <w:b/>
          <w:color w:val="2B4155"/>
          <w:sz w:val="28"/>
          <w:szCs w:val="28"/>
        </w:rPr>
        <w:t xml:space="preserve">Bijlage </w:t>
      </w:r>
      <w:r w:rsidR="00BD4A5F" w:rsidRPr="0029346A">
        <w:rPr>
          <w:rFonts w:ascii="Aptos" w:eastAsia="Calibri" w:hAnsi="Aptos" w:cstheme="minorHAnsi"/>
          <w:b/>
          <w:color w:val="2B4155"/>
          <w:sz w:val="28"/>
          <w:szCs w:val="28"/>
        </w:rPr>
        <w:t>5B</w:t>
      </w:r>
      <w:r w:rsidRPr="0029346A">
        <w:rPr>
          <w:rFonts w:ascii="Aptos" w:eastAsia="Calibri" w:hAnsi="Aptos" w:cstheme="minorHAnsi"/>
          <w:b/>
          <w:color w:val="2B4155"/>
          <w:sz w:val="28"/>
          <w:szCs w:val="28"/>
        </w:rPr>
        <w:t xml:space="preserve">: </w:t>
      </w:r>
      <w:r w:rsidR="00BD4A5F" w:rsidRPr="0029346A">
        <w:rPr>
          <w:rFonts w:ascii="Aptos" w:eastAsia="Calibri" w:hAnsi="Aptos" w:cstheme="minorHAnsi"/>
          <w:b/>
          <w:color w:val="2B4155"/>
          <w:sz w:val="28"/>
          <w:szCs w:val="28"/>
        </w:rPr>
        <w:t>Beperking op het gebruik van technologie uit hoog risicolanden</w:t>
      </w:r>
      <w:r w:rsidR="006E2A26" w:rsidRPr="0029346A">
        <w:rPr>
          <w:rFonts w:ascii="Aptos" w:eastAsia="Calibri" w:hAnsi="Aptos" w:cstheme="minorHAnsi"/>
          <w:b/>
          <w:color w:val="2B4155"/>
          <w:sz w:val="28"/>
          <w:szCs w:val="28"/>
        </w:rPr>
        <w:br/>
      </w:r>
      <w:r w:rsidR="00BF6DFC" w:rsidRPr="001C2E32">
        <w:rPr>
          <w:rFonts w:ascii="Aptos" w:eastAsia="Calibri" w:hAnsi="Aptos" w:cstheme="minorHAnsi"/>
          <w:b/>
          <w:color w:val="2B4155"/>
          <w:sz w:val="28"/>
          <w:szCs w:val="28"/>
        </w:rPr>
        <w:br/>
      </w:r>
      <w:r w:rsidR="009C416E" w:rsidRPr="009C416E">
        <w:rPr>
          <w:rFonts w:ascii="Aptos Display" w:eastAsia="DengXian Light" w:hAnsi="Aptos Display" w:cs="Times New Roman"/>
          <w:color w:val="0F4761"/>
          <w:kern w:val="2"/>
          <w:sz w:val="28"/>
          <w:szCs w:val="28"/>
          <w:lang w:eastAsia="zh-CN"/>
          <w14:ligatures w14:val="standardContextual"/>
        </w:rPr>
        <w:t>Inleiding</w:t>
      </w:r>
    </w:p>
    <w:p w14:paraId="2D7387F4" w14:textId="77777777" w:rsidR="009C416E" w:rsidRPr="009C416E"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eastAsia="DengXian" w:hAnsi="Aptos" w:cs="Times New Roman"/>
          <w:kern w:val="2"/>
          <w:sz w:val="20"/>
          <w:szCs w:val="20"/>
          <w:lang w:eastAsia="zh-CN"/>
          <w14:ligatures w14:val="standardContextual"/>
        </w:rPr>
        <w:t xml:space="preserve">In het kader van deze aanbesteding hecht de aanbestedende dienst grote waarde aan de bescherming van nationale veiligheid en de integriteit van kritieke infrastructuur. Om deze reden worden beperkingen gesteld aan het gebruik van technologie afkomstig uit landen die door de Europese Unie, de Nederlandse overheid of nationale veiligheidsdiensten zijn aangemerkt als hoog-risicolanden. Deze clausule is opgesteld </w:t>
      </w:r>
      <w:proofErr w:type="gramStart"/>
      <w:r w:rsidRPr="009C416E">
        <w:rPr>
          <w:rFonts w:ascii="Aptos" w:eastAsia="DengXian" w:hAnsi="Aptos" w:cs="Times New Roman"/>
          <w:kern w:val="2"/>
          <w:sz w:val="20"/>
          <w:szCs w:val="20"/>
          <w:lang w:eastAsia="zh-CN"/>
          <w14:ligatures w14:val="standardContextual"/>
        </w:rPr>
        <w:t>conform</w:t>
      </w:r>
      <w:proofErr w:type="gramEnd"/>
      <w:r w:rsidRPr="009C416E">
        <w:rPr>
          <w:rFonts w:ascii="Aptos" w:eastAsia="DengXian" w:hAnsi="Aptos" w:cs="Times New Roman"/>
          <w:kern w:val="2"/>
          <w:sz w:val="20"/>
          <w:szCs w:val="20"/>
          <w:lang w:eastAsia="zh-CN"/>
          <w14:ligatures w14:val="standardContextual"/>
        </w:rPr>
        <w:t xml:space="preserve"> de Aanbestedingswet 2012 en relevante richtlijnen zoals de EU </w:t>
      </w:r>
      <w:proofErr w:type="spellStart"/>
      <w:r w:rsidRPr="009C416E">
        <w:rPr>
          <w:rFonts w:ascii="Aptos" w:eastAsia="DengXian" w:hAnsi="Aptos" w:cs="Times New Roman"/>
          <w:kern w:val="2"/>
          <w:sz w:val="20"/>
          <w:szCs w:val="20"/>
          <w:lang w:eastAsia="zh-CN"/>
          <w14:ligatures w14:val="standardContextual"/>
        </w:rPr>
        <w:t>Toolbox</w:t>
      </w:r>
      <w:proofErr w:type="spellEnd"/>
      <w:r w:rsidRPr="009C416E">
        <w:rPr>
          <w:rFonts w:ascii="Aptos" w:eastAsia="DengXian" w:hAnsi="Aptos" w:cs="Times New Roman"/>
          <w:kern w:val="2"/>
          <w:sz w:val="20"/>
          <w:szCs w:val="20"/>
          <w:lang w:eastAsia="zh-CN"/>
          <w14:ligatures w14:val="standardContextual"/>
        </w:rPr>
        <w:t xml:space="preserve"> </w:t>
      </w:r>
      <w:proofErr w:type="spellStart"/>
      <w:r w:rsidRPr="009C416E">
        <w:rPr>
          <w:rFonts w:ascii="Aptos" w:eastAsia="DengXian" w:hAnsi="Aptos" w:cs="Times New Roman"/>
          <w:kern w:val="2"/>
          <w:sz w:val="20"/>
          <w:szCs w:val="20"/>
          <w:lang w:eastAsia="zh-CN"/>
          <w14:ligatures w14:val="standardContextual"/>
        </w:rPr>
        <w:t>for</w:t>
      </w:r>
      <w:proofErr w:type="spellEnd"/>
      <w:r w:rsidRPr="009C416E">
        <w:rPr>
          <w:rFonts w:ascii="Aptos" w:eastAsia="DengXian" w:hAnsi="Aptos" w:cs="Times New Roman"/>
          <w:kern w:val="2"/>
          <w:sz w:val="20"/>
          <w:szCs w:val="20"/>
          <w:lang w:eastAsia="zh-CN"/>
          <w14:ligatures w14:val="standardContextual"/>
        </w:rPr>
        <w:t xml:space="preserve"> 5G Security.</w:t>
      </w:r>
    </w:p>
    <w:p w14:paraId="05797DFF" w14:textId="532FB3A3" w:rsidR="009C416E" w:rsidRPr="009C416E"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hAnsi="Aptos"/>
          <w:color w:val="007BB8"/>
          <w:sz w:val="20"/>
          <w:szCs w:val="20"/>
        </w:rPr>
        <w:t>1. Veiligheidsvereiste</w:t>
      </w:r>
      <w:r w:rsidRPr="009C416E">
        <w:rPr>
          <w:rFonts w:ascii="Aptos" w:hAnsi="Aptos"/>
          <w:color w:val="007BB8"/>
          <w:sz w:val="20"/>
          <w:szCs w:val="20"/>
        </w:rPr>
        <w:br/>
      </w:r>
      <w:r w:rsidRPr="009C416E">
        <w:rPr>
          <w:rFonts w:ascii="Aptos" w:eastAsia="DengXian" w:hAnsi="Aptos" w:cs="Times New Roman"/>
          <w:kern w:val="2"/>
          <w:sz w:val="20"/>
          <w:szCs w:val="20"/>
          <w:lang w:eastAsia="zh-CN"/>
          <w14:ligatures w14:val="standardContextual"/>
        </w:rPr>
        <w:t>Ter bescherming van de nationale veiligheid en de integriteit van kritieke infrastructuur, is het gebruik van technologie afkomstig van leveranciers uit landen die door de Europese Unie, de Nederlandse overheid of nationale veiligheidsdiensten zijn aangemerkt als hoog-risicolanden, waaronder maar niet beperkt tot de Volksrepubliek China, niet toegestaan binnen deze opdracht.</w:t>
      </w:r>
    </w:p>
    <w:p w14:paraId="20E35A9C" w14:textId="77777777" w:rsidR="009C416E" w:rsidRPr="009C416E"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hAnsi="Aptos"/>
          <w:color w:val="007BB8"/>
          <w:sz w:val="20"/>
          <w:szCs w:val="20"/>
        </w:rPr>
        <w:t>2. Uitsluiting van specifieke leveranciers</w:t>
      </w:r>
      <w:r w:rsidRPr="009C416E">
        <w:rPr>
          <w:rFonts w:ascii="Aptos" w:hAnsi="Aptos"/>
          <w:color w:val="007BB8"/>
          <w:sz w:val="20"/>
          <w:szCs w:val="20"/>
        </w:rPr>
        <w:br/>
      </w:r>
      <w:r w:rsidRPr="009C416E">
        <w:rPr>
          <w:rFonts w:ascii="Aptos" w:eastAsia="DengXian" w:hAnsi="Aptos" w:cs="Times New Roman"/>
          <w:kern w:val="2"/>
          <w:sz w:val="20"/>
          <w:szCs w:val="20"/>
          <w:lang w:eastAsia="zh-CN"/>
          <w14:ligatures w14:val="standardContextual"/>
        </w:rPr>
        <w:t>In het bijzonder is het gebruik van hardware, software of diensten van de volgende leveranciers uitgesloten:</w:t>
      </w:r>
      <w:r w:rsidRPr="009C416E">
        <w:rPr>
          <w:rFonts w:ascii="Aptos" w:eastAsia="DengXian" w:hAnsi="Aptos" w:cs="Times New Roman"/>
          <w:kern w:val="2"/>
          <w:sz w:val="20"/>
          <w:szCs w:val="20"/>
          <w:lang w:eastAsia="zh-CN"/>
          <w14:ligatures w14:val="standardContextual"/>
        </w:rPr>
        <w:br/>
        <w:t xml:space="preserve">- Huawei Technologies </w:t>
      </w:r>
      <w:proofErr w:type="spellStart"/>
      <w:r w:rsidRPr="009C416E">
        <w:rPr>
          <w:rFonts w:ascii="Aptos" w:eastAsia="DengXian" w:hAnsi="Aptos" w:cs="Times New Roman"/>
          <w:kern w:val="2"/>
          <w:sz w:val="20"/>
          <w:szCs w:val="20"/>
          <w:lang w:eastAsia="zh-CN"/>
          <w14:ligatures w14:val="standardContextual"/>
        </w:rPr>
        <w:t>Co.</w:t>
      </w:r>
      <w:proofErr w:type="spellEnd"/>
      <w:r w:rsidRPr="009C416E">
        <w:rPr>
          <w:rFonts w:ascii="Aptos" w:eastAsia="DengXian" w:hAnsi="Aptos" w:cs="Times New Roman"/>
          <w:kern w:val="2"/>
          <w:sz w:val="20"/>
          <w:szCs w:val="20"/>
          <w:lang w:eastAsia="zh-CN"/>
          <w14:ligatures w14:val="standardContextual"/>
        </w:rPr>
        <w:t>, Ltd.</w:t>
      </w:r>
      <w:r w:rsidRPr="009C416E">
        <w:rPr>
          <w:rFonts w:ascii="Aptos" w:eastAsia="DengXian" w:hAnsi="Aptos" w:cs="Times New Roman"/>
          <w:kern w:val="2"/>
          <w:sz w:val="20"/>
          <w:szCs w:val="20"/>
          <w:lang w:eastAsia="zh-CN"/>
          <w14:ligatures w14:val="standardContextual"/>
        </w:rPr>
        <w:br/>
        <w:t xml:space="preserve">- Hangzhou </w:t>
      </w:r>
      <w:proofErr w:type="spellStart"/>
      <w:r w:rsidRPr="009C416E">
        <w:rPr>
          <w:rFonts w:ascii="Aptos" w:eastAsia="DengXian" w:hAnsi="Aptos" w:cs="Times New Roman"/>
          <w:kern w:val="2"/>
          <w:sz w:val="20"/>
          <w:szCs w:val="20"/>
          <w:lang w:eastAsia="zh-CN"/>
          <w14:ligatures w14:val="standardContextual"/>
        </w:rPr>
        <w:t>Hikvision</w:t>
      </w:r>
      <w:proofErr w:type="spellEnd"/>
      <w:r w:rsidRPr="009C416E">
        <w:rPr>
          <w:rFonts w:ascii="Aptos" w:eastAsia="DengXian" w:hAnsi="Aptos" w:cs="Times New Roman"/>
          <w:kern w:val="2"/>
          <w:sz w:val="20"/>
          <w:szCs w:val="20"/>
          <w:lang w:eastAsia="zh-CN"/>
          <w14:ligatures w14:val="standardContextual"/>
        </w:rPr>
        <w:t xml:space="preserve"> Digital Technology </w:t>
      </w:r>
      <w:proofErr w:type="spellStart"/>
      <w:r w:rsidRPr="009C416E">
        <w:rPr>
          <w:rFonts w:ascii="Aptos" w:eastAsia="DengXian" w:hAnsi="Aptos" w:cs="Times New Roman"/>
          <w:kern w:val="2"/>
          <w:sz w:val="20"/>
          <w:szCs w:val="20"/>
          <w:lang w:eastAsia="zh-CN"/>
          <w14:ligatures w14:val="standardContextual"/>
        </w:rPr>
        <w:t>Co.</w:t>
      </w:r>
      <w:proofErr w:type="spellEnd"/>
      <w:r w:rsidRPr="009C416E">
        <w:rPr>
          <w:rFonts w:ascii="Aptos" w:eastAsia="DengXian" w:hAnsi="Aptos" w:cs="Times New Roman"/>
          <w:kern w:val="2"/>
          <w:sz w:val="20"/>
          <w:szCs w:val="20"/>
          <w:lang w:eastAsia="zh-CN"/>
          <w14:ligatures w14:val="standardContextual"/>
        </w:rPr>
        <w:t>, Ltd.</w:t>
      </w:r>
      <w:r w:rsidRPr="009C416E">
        <w:rPr>
          <w:rFonts w:ascii="Aptos" w:eastAsia="DengXian" w:hAnsi="Aptos" w:cs="Times New Roman"/>
          <w:kern w:val="2"/>
          <w:sz w:val="20"/>
          <w:szCs w:val="20"/>
          <w:lang w:eastAsia="zh-CN"/>
          <w14:ligatures w14:val="standardContextual"/>
        </w:rPr>
        <w:br/>
        <w:t xml:space="preserve">- </w:t>
      </w:r>
      <w:proofErr w:type="spellStart"/>
      <w:r w:rsidRPr="009C416E">
        <w:rPr>
          <w:rFonts w:ascii="Aptos" w:eastAsia="DengXian" w:hAnsi="Aptos" w:cs="Times New Roman"/>
          <w:kern w:val="2"/>
          <w:sz w:val="20"/>
          <w:szCs w:val="20"/>
          <w:lang w:eastAsia="zh-CN"/>
          <w14:ligatures w14:val="standardContextual"/>
        </w:rPr>
        <w:t>Dahua</w:t>
      </w:r>
      <w:proofErr w:type="spellEnd"/>
      <w:r w:rsidRPr="009C416E">
        <w:rPr>
          <w:rFonts w:ascii="Aptos" w:eastAsia="DengXian" w:hAnsi="Aptos" w:cs="Times New Roman"/>
          <w:kern w:val="2"/>
          <w:sz w:val="20"/>
          <w:szCs w:val="20"/>
          <w:lang w:eastAsia="zh-CN"/>
          <w14:ligatures w14:val="standardContextual"/>
        </w:rPr>
        <w:t xml:space="preserve"> Technology </w:t>
      </w:r>
      <w:proofErr w:type="spellStart"/>
      <w:r w:rsidRPr="009C416E">
        <w:rPr>
          <w:rFonts w:ascii="Aptos" w:eastAsia="DengXian" w:hAnsi="Aptos" w:cs="Times New Roman"/>
          <w:kern w:val="2"/>
          <w:sz w:val="20"/>
          <w:szCs w:val="20"/>
          <w:lang w:eastAsia="zh-CN"/>
          <w14:ligatures w14:val="standardContextual"/>
        </w:rPr>
        <w:t>Co.</w:t>
      </w:r>
      <w:proofErr w:type="spellEnd"/>
      <w:r w:rsidRPr="009C416E">
        <w:rPr>
          <w:rFonts w:ascii="Aptos" w:eastAsia="DengXian" w:hAnsi="Aptos" w:cs="Times New Roman"/>
          <w:kern w:val="2"/>
          <w:sz w:val="20"/>
          <w:szCs w:val="20"/>
          <w:lang w:eastAsia="zh-CN"/>
          <w14:ligatures w14:val="standardContextual"/>
        </w:rPr>
        <w:t>, Ltd.</w:t>
      </w:r>
      <w:r w:rsidRPr="009C416E">
        <w:rPr>
          <w:rFonts w:ascii="Aptos" w:eastAsia="DengXian" w:hAnsi="Aptos" w:cs="Times New Roman"/>
          <w:kern w:val="2"/>
          <w:sz w:val="20"/>
          <w:szCs w:val="20"/>
          <w:lang w:eastAsia="zh-CN"/>
          <w14:ligatures w14:val="standardContextual"/>
        </w:rPr>
        <w:br/>
        <w:t>- ZTE Corporation</w:t>
      </w:r>
      <w:r w:rsidRPr="009C416E">
        <w:rPr>
          <w:rFonts w:ascii="Aptos" w:eastAsia="DengXian" w:hAnsi="Aptos" w:cs="Times New Roman"/>
          <w:kern w:val="2"/>
          <w:sz w:val="20"/>
          <w:szCs w:val="20"/>
          <w:lang w:eastAsia="zh-CN"/>
          <w14:ligatures w14:val="standardContextual"/>
        </w:rPr>
        <w:br/>
        <w:t xml:space="preserve">- Andere leveranciers die door de AIVD, NCTV of de Europese Commissie zijn aangemerkt als </w:t>
      </w:r>
      <w:proofErr w:type="spellStart"/>
      <w:r w:rsidRPr="009C416E">
        <w:rPr>
          <w:rFonts w:ascii="Aptos" w:eastAsia="DengXian" w:hAnsi="Aptos" w:cs="Times New Roman"/>
          <w:kern w:val="2"/>
          <w:sz w:val="20"/>
          <w:szCs w:val="20"/>
          <w:lang w:eastAsia="zh-CN"/>
          <w14:ligatures w14:val="standardContextual"/>
        </w:rPr>
        <w:t>risicoverhogend</w:t>
      </w:r>
      <w:proofErr w:type="spellEnd"/>
      <w:r w:rsidRPr="009C416E">
        <w:rPr>
          <w:rFonts w:ascii="Aptos" w:eastAsia="DengXian" w:hAnsi="Aptos" w:cs="Times New Roman"/>
          <w:kern w:val="2"/>
          <w:sz w:val="20"/>
          <w:szCs w:val="20"/>
          <w:lang w:eastAsia="zh-CN"/>
          <w14:ligatures w14:val="standardContextual"/>
        </w:rPr>
        <w:t>.</w:t>
      </w:r>
    </w:p>
    <w:p w14:paraId="4D17C446" w14:textId="00B25EFC" w:rsidR="009C416E" w:rsidRPr="004C6370"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hAnsi="Aptos"/>
          <w:color w:val="007BB8"/>
          <w:sz w:val="20"/>
          <w:szCs w:val="20"/>
        </w:rPr>
        <w:t>3. Verklaring van de inschrijver</w:t>
      </w:r>
      <w:r w:rsidRPr="009C416E">
        <w:rPr>
          <w:rFonts w:ascii="Aptos" w:hAnsi="Aptos"/>
          <w:color w:val="007BB8"/>
          <w:sz w:val="20"/>
          <w:szCs w:val="20"/>
        </w:rPr>
        <w:br/>
      </w:r>
      <w:r w:rsidR="0029346A" w:rsidRPr="004C6370">
        <w:rPr>
          <w:rFonts w:ascii="Aptos" w:eastAsia="DengXian" w:hAnsi="Aptos" w:cs="Times New Roman"/>
          <w:kern w:val="2"/>
          <w:sz w:val="20"/>
          <w:szCs w:val="20"/>
          <w:lang w:eastAsia="zh-CN"/>
          <w14:ligatures w14:val="standardContextual"/>
        </w:rPr>
        <w:t xml:space="preserve">Door ondertekening </w:t>
      </w:r>
      <w:r w:rsidR="00E42E06" w:rsidRPr="004C6370">
        <w:rPr>
          <w:rFonts w:ascii="Aptos" w:eastAsia="DengXian" w:hAnsi="Aptos" w:cs="Times New Roman"/>
          <w:kern w:val="2"/>
          <w:sz w:val="20"/>
          <w:szCs w:val="20"/>
          <w:lang w:eastAsia="zh-CN"/>
          <w14:ligatures w14:val="standardContextual"/>
        </w:rPr>
        <w:t>bevestigt</w:t>
      </w:r>
      <w:r w:rsidR="0029346A" w:rsidRPr="004C6370">
        <w:rPr>
          <w:rFonts w:ascii="Aptos" w:eastAsia="DengXian" w:hAnsi="Aptos" w:cs="Times New Roman"/>
          <w:kern w:val="2"/>
          <w:sz w:val="20"/>
          <w:szCs w:val="20"/>
          <w:lang w:eastAsia="zh-CN"/>
          <w14:ligatures w14:val="standardContextual"/>
        </w:rPr>
        <w:t xml:space="preserve"> inschrijver </w:t>
      </w:r>
      <w:r w:rsidRPr="004C6370">
        <w:rPr>
          <w:rFonts w:ascii="Aptos" w:eastAsia="DengXian" w:hAnsi="Aptos" w:cs="Times New Roman"/>
          <w:kern w:val="2"/>
          <w:sz w:val="20"/>
          <w:szCs w:val="20"/>
          <w:lang w:eastAsia="zh-CN"/>
          <w14:ligatures w14:val="standardContextual"/>
        </w:rPr>
        <w:t>dat de aangeboden oplossing geen componenten, software of diensten bevat van bovengenoemde leveranciers of andere partijen uit hoog-risicolanden.</w:t>
      </w:r>
    </w:p>
    <w:p w14:paraId="23D194B6" w14:textId="5EEE06D4" w:rsidR="009C416E" w:rsidRPr="004C6370"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hAnsi="Aptos"/>
          <w:color w:val="007BB8"/>
          <w:sz w:val="20"/>
          <w:szCs w:val="20"/>
        </w:rPr>
        <w:t>4. Toetsing en controle</w:t>
      </w:r>
      <w:r w:rsidRPr="009C416E">
        <w:rPr>
          <w:rFonts w:ascii="Aptos" w:hAnsi="Aptos"/>
          <w:color w:val="007BB8"/>
          <w:sz w:val="20"/>
          <w:szCs w:val="20"/>
        </w:rPr>
        <w:br/>
      </w:r>
      <w:r w:rsidRPr="004C6370">
        <w:rPr>
          <w:rFonts w:ascii="Aptos" w:eastAsia="DengXian" w:hAnsi="Aptos" w:cs="Times New Roman"/>
          <w:kern w:val="2"/>
          <w:sz w:val="20"/>
          <w:szCs w:val="20"/>
          <w:lang w:eastAsia="zh-CN"/>
          <w14:ligatures w14:val="standardContextual"/>
        </w:rPr>
        <w:t>De aanbestedende dienst behoudt zich het recht voor om tijdens de uitvoering van de opdracht audits uit te voeren en bewijs op te vragen ter controle van naleving van deze clausule.</w:t>
      </w:r>
    </w:p>
    <w:p w14:paraId="3A42D772" w14:textId="77777777" w:rsidR="009C416E" w:rsidRPr="004C6370" w:rsidRDefault="009C416E" w:rsidP="009C416E">
      <w:pPr>
        <w:spacing w:line="278" w:lineRule="auto"/>
        <w:rPr>
          <w:rFonts w:ascii="Aptos" w:eastAsia="DengXian" w:hAnsi="Aptos" w:cs="Times New Roman"/>
          <w:kern w:val="2"/>
          <w:sz w:val="20"/>
          <w:szCs w:val="20"/>
          <w:lang w:eastAsia="zh-CN"/>
          <w14:ligatures w14:val="standardContextual"/>
        </w:rPr>
      </w:pPr>
      <w:r w:rsidRPr="009C416E">
        <w:rPr>
          <w:rFonts w:ascii="Aptos" w:hAnsi="Aptos"/>
          <w:color w:val="007BB8"/>
          <w:sz w:val="20"/>
          <w:szCs w:val="20"/>
        </w:rPr>
        <w:t>5. Niet-naleving</w:t>
      </w:r>
      <w:r w:rsidRPr="009C416E">
        <w:rPr>
          <w:rFonts w:ascii="Aptos" w:hAnsi="Aptos"/>
          <w:color w:val="007BB8"/>
          <w:sz w:val="20"/>
          <w:szCs w:val="20"/>
        </w:rPr>
        <w:br/>
      </w:r>
      <w:proofErr w:type="spellStart"/>
      <w:r w:rsidRPr="004C6370">
        <w:rPr>
          <w:rFonts w:ascii="Aptos" w:eastAsia="DengXian" w:hAnsi="Aptos" w:cs="Times New Roman"/>
          <w:kern w:val="2"/>
          <w:sz w:val="20"/>
          <w:szCs w:val="20"/>
          <w:lang w:eastAsia="zh-CN"/>
          <w14:ligatures w14:val="standardContextual"/>
        </w:rPr>
        <w:t>Niet-naleving</w:t>
      </w:r>
      <w:proofErr w:type="spellEnd"/>
      <w:r w:rsidRPr="004C6370">
        <w:rPr>
          <w:rFonts w:ascii="Aptos" w:eastAsia="DengXian" w:hAnsi="Aptos" w:cs="Times New Roman"/>
          <w:kern w:val="2"/>
          <w:sz w:val="20"/>
          <w:szCs w:val="20"/>
          <w:lang w:eastAsia="zh-CN"/>
          <w14:ligatures w14:val="standardContextual"/>
        </w:rPr>
        <w:t xml:space="preserve"> van deze bepaling kan leiden tot uitsluiting van deelname aan de aanbesteding, ontbinding van de overeenkomst en/of andere juridische stappen </w:t>
      </w:r>
      <w:proofErr w:type="gramStart"/>
      <w:r w:rsidRPr="004C6370">
        <w:rPr>
          <w:rFonts w:ascii="Aptos" w:eastAsia="DengXian" w:hAnsi="Aptos" w:cs="Times New Roman"/>
          <w:kern w:val="2"/>
          <w:sz w:val="20"/>
          <w:szCs w:val="20"/>
          <w:lang w:eastAsia="zh-CN"/>
          <w14:ligatures w14:val="standardContextual"/>
        </w:rPr>
        <w:t>conform</w:t>
      </w:r>
      <w:proofErr w:type="gramEnd"/>
      <w:r w:rsidRPr="004C6370">
        <w:rPr>
          <w:rFonts w:ascii="Aptos" w:eastAsia="DengXian" w:hAnsi="Aptos" w:cs="Times New Roman"/>
          <w:kern w:val="2"/>
          <w:sz w:val="20"/>
          <w:szCs w:val="20"/>
          <w:lang w:eastAsia="zh-CN"/>
          <w14:ligatures w14:val="standardContextual"/>
        </w:rPr>
        <w:t xml:space="preserve"> de Aanbestedingswet 2012 en het Burgerlijk Wetboek.</w:t>
      </w:r>
    </w:p>
    <w:p w14:paraId="314FF546" w14:textId="77777777" w:rsidR="009C416E" w:rsidRPr="009C416E" w:rsidRDefault="009C416E" w:rsidP="009C416E">
      <w:pPr>
        <w:keepNext/>
        <w:keepLines/>
        <w:spacing w:before="360" w:after="80" w:line="278" w:lineRule="auto"/>
        <w:outlineLvl w:val="0"/>
        <w:rPr>
          <w:rFonts w:ascii="Aptos Display" w:eastAsia="DengXian Light" w:hAnsi="Aptos Display" w:cs="Times New Roman"/>
          <w:color w:val="0F4761"/>
          <w:kern w:val="2"/>
          <w:sz w:val="28"/>
          <w:szCs w:val="28"/>
          <w:lang w:eastAsia="zh-CN"/>
          <w14:ligatures w14:val="standardContextual"/>
        </w:rPr>
      </w:pPr>
      <w:r w:rsidRPr="009C416E">
        <w:rPr>
          <w:rFonts w:ascii="Aptos Display" w:eastAsia="DengXian Light" w:hAnsi="Aptos Display" w:cs="Times New Roman"/>
          <w:color w:val="0F4761"/>
          <w:kern w:val="2"/>
          <w:sz w:val="28"/>
          <w:szCs w:val="28"/>
          <w:lang w:eastAsia="zh-CN"/>
          <w14:ligatures w14:val="standardContextual"/>
        </w:rPr>
        <w:t>Slotverklaring</w:t>
      </w:r>
    </w:p>
    <w:p w14:paraId="6F53D96E" w14:textId="5465D570" w:rsidR="004C6370" w:rsidRDefault="009C416E" w:rsidP="00EF5F42">
      <w:pPr>
        <w:spacing w:line="278" w:lineRule="auto"/>
        <w:rPr>
          <w:rFonts w:ascii="Aptos" w:eastAsia="DengXian" w:hAnsi="Aptos" w:cs="Times New Roman"/>
          <w:kern w:val="2"/>
          <w:sz w:val="20"/>
          <w:szCs w:val="20"/>
          <w:lang w:eastAsia="zh-CN"/>
          <w14:ligatures w14:val="standardContextual"/>
        </w:rPr>
      </w:pPr>
      <w:r w:rsidRPr="009C416E">
        <w:rPr>
          <w:rFonts w:ascii="Aptos" w:eastAsia="DengXian" w:hAnsi="Aptos" w:cs="Times New Roman"/>
          <w:kern w:val="2"/>
          <w:sz w:val="20"/>
          <w:szCs w:val="20"/>
          <w:lang w:eastAsia="zh-CN"/>
          <w14:ligatures w14:val="standardContextual"/>
        </w:rPr>
        <w:t>Deze clausule vormt een integraal onderdeel van de aanbestedingsdocumenten. Door in te schrijven op deze aanbesteding verklaart de inschrijver zich akkoord met de inhoud en verplichtingen zoals opgenomen in dit document.</w:t>
      </w:r>
    </w:p>
    <w:p w14:paraId="61BA1402" w14:textId="77777777" w:rsidR="004C6370" w:rsidRDefault="004C6370">
      <w:pPr>
        <w:rPr>
          <w:rFonts w:ascii="Aptos" w:eastAsia="DengXian" w:hAnsi="Aptos" w:cs="Times New Roman"/>
          <w:kern w:val="2"/>
          <w:sz w:val="20"/>
          <w:szCs w:val="20"/>
          <w:lang w:eastAsia="zh-CN"/>
          <w14:ligatures w14:val="standardContextual"/>
        </w:rPr>
      </w:pPr>
      <w:r>
        <w:rPr>
          <w:rFonts w:ascii="Aptos" w:eastAsia="DengXian" w:hAnsi="Aptos" w:cs="Times New Roman"/>
          <w:kern w:val="2"/>
          <w:sz w:val="20"/>
          <w:szCs w:val="20"/>
          <w:lang w:eastAsia="zh-CN"/>
          <w14:ligatures w14:val="standardContextual"/>
        </w:rPr>
        <w:br w:type="page"/>
      </w:r>
    </w:p>
    <w:p w14:paraId="36D47153" w14:textId="658D1362" w:rsidR="008231EF" w:rsidRDefault="004C6370" w:rsidP="008231EF">
      <w:pPr>
        <w:keepNext/>
        <w:keepLines/>
        <w:spacing w:before="360" w:after="80" w:line="278" w:lineRule="auto"/>
        <w:outlineLvl w:val="0"/>
        <w:rPr>
          <w:rFonts w:ascii="Aptos Display" w:eastAsia="DengXian Light" w:hAnsi="Aptos Display" w:cs="Times New Roman"/>
          <w:color w:val="0F4761"/>
          <w:kern w:val="2"/>
          <w:sz w:val="28"/>
          <w:szCs w:val="28"/>
          <w:lang w:eastAsia="zh-CN"/>
          <w14:ligatures w14:val="standardContextual"/>
        </w:rPr>
      </w:pPr>
      <w:r>
        <w:rPr>
          <w:rFonts w:ascii="Aptos Display" w:eastAsia="DengXian Light" w:hAnsi="Aptos Display" w:cs="Times New Roman"/>
          <w:color w:val="0F4761"/>
          <w:kern w:val="2"/>
          <w:sz w:val="28"/>
          <w:szCs w:val="28"/>
          <w:lang w:eastAsia="zh-CN"/>
          <w14:ligatures w14:val="standardContextual"/>
        </w:rPr>
        <w:lastRenderedPageBreak/>
        <w:t>Voor a</w:t>
      </w:r>
      <w:r w:rsidR="008231EF">
        <w:rPr>
          <w:rFonts w:ascii="Aptos Display" w:eastAsia="DengXian Light" w:hAnsi="Aptos Display" w:cs="Times New Roman"/>
          <w:color w:val="0F4761"/>
          <w:kern w:val="2"/>
          <w:sz w:val="28"/>
          <w:szCs w:val="28"/>
          <w:lang w:eastAsia="zh-CN"/>
          <w14:ligatures w14:val="standardContextual"/>
        </w:rPr>
        <w:t>kkoord</w:t>
      </w:r>
    </w:p>
    <w:tbl>
      <w:tblPr>
        <w:tblStyle w:val="Tabelraster1"/>
        <w:tblW w:w="0" w:type="auto"/>
        <w:tblLook w:val="0480" w:firstRow="0" w:lastRow="0" w:firstColumn="1" w:lastColumn="0" w:noHBand="0" w:noVBand="1"/>
      </w:tblPr>
      <w:tblGrid>
        <w:gridCol w:w="2830"/>
        <w:gridCol w:w="5522"/>
      </w:tblGrid>
      <w:tr w:rsidR="004F4BD6" w:rsidRPr="00BC4657" w14:paraId="21C6D120" w14:textId="77777777" w:rsidTr="003F1E36">
        <w:tc>
          <w:tcPr>
            <w:tcW w:w="2830" w:type="dxa"/>
          </w:tcPr>
          <w:p w14:paraId="451865D0" w14:textId="77777777" w:rsidR="004F4BD6" w:rsidRPr="00BC4657" w:rsidRDefault="004F4BD6" w:rsidP="004F4BD6">
            <w:pPr>
              <w:spacing w:before="120" w:line="288" w:lineRule="auto"/>
              <w:rPr>
                <w:rFonts w:ascii="Arial" w:eastAsia="Montserrat" w:hAnsi="Arial" w:cs="Arial"/>
                <w:b/>
                <w:bCs/>
                <w:color w:val="0F4761"/>
                <w:sz w:val="20"/>
                <w:szCs w:val="20"/>
              </w:rPr>
            </w:pPr>
            <w:r w:rsidRPr="00BC4657">
              <w:rPr>
                <w:rFonts w:ascii="Arial" w:eastAsia="Montserrat" w:hAnsi="Arial" w:cs="Arial"/>
                <w:b/>
                <w:bCs/>
                <w:color w:val="0F4761"/>
                <w:sz w:val="20"/>
                <w:szCs w:val="20"/>
              </w:rPr>
              <w:t>Statutaire naam inschrijver</w:t>
            </w:r>
          </w:p>
        </w:tc>
        <w:tc>
          <w:tcPr>
            <w:tcW w:w="5522" w:type="dxa"/>
          </w:tcPr>
          <w:p w14:paraId="5406BE7E" w14:textId="77777777" w:rsidR="004F4BD6" w:rsidRPr="00BC4657" w:rsidRDefault="004F4BD6" w:rsidP="004F4BD6">
            <w:pPr>
              <w:spacing w:before="120" w:line="288" w:lineRule="auto"/>
              <w:rPr>
                <w:rFonts w:ascii="Calibri" w:eastAsia="Montserrat" w:hAnsi="Calibri" w:cs="Calibri"/>
                <w:sz w:val="20"/>
                <w:szCs w:val="20"/>
              </w:rPr>
            </w:pPr>
          </w:p>
        </w:tc>
      </w:tr>
      <w:tr w:rsidR="004F4BD6" w:rsidRPr="00BC4657" w14:paraId="616D85A3" w14:textId="77777777" w:rsidTr="003F1E36">
        <w:tc>
          <w:tcPr>
            <w:tcW w:w="2830" w:type="dxa"/>
          </w:tcPr>
          <w:p w14:paraId="63517AEF" w14:textId="77777777" w:rsidR="004F4BD6" w:rsidRPr="00BC4657" w:rsidRDefault="004F4BD6" w:rsidP="004F4BD6">
            <w:pPr>
              <w:spacing w:before="120" w:line="288" w:lineRule="auto"/>
              <w:rPr>
                <w:rFonts w:ascii="Arial" w:eastAsia="Montserrat" w:hAnsi="Arial" w:cs="Arial"/>
                <w:b/>
                <w:bCs/>
                <w:color w:val="0F4761"/>
                <w:sz w:val="20"/>
                <w:szCs w:val="20"/>
              </w:rPr>
            </w:pPr>
            <w:r w:rsidRPr="00BC4657">
              <w:rPr>
                <w:rFonts w:ascii="Arial" w:eastAsia="Montserrat" w:hAnsi="Arial" w:cs="Arial"/>
                <w:b/>
                <w:bCs/>
                <w:color w:val="0F4761"/>
                <w:sz w:val="20"/>
                <w:szCs w:val="20"/>
              </w:rPr>
              <w:t>Naam ondertekenaar</w:t>
            </w:r>
          </w:p>
        </w:tc>
        <w:tc>
          <w:tcPr>
            <w:tcW w:w="5522" w:type="dxa"/>
          </w:tcPr>
          <w:p w14:paraId="47E61983" w14:textId="77777777" w:rsidR="004F4BD6" w:rsidRPr="00BC4657" w:rsidRDefault="004F4BD6" w:rsidP="004F4BD6">
            <w:pPr>
              <w:spacing w:before="120" w:line="288" w:lineRule="auto"/>
              <w:rPr>
                <w:rFonts w:ascii="Calibri" w:eastAsia="Montserrat" w:hAnsi="Calibri" w:cs="Calibri"/>
                <w:sz w:val="20"/>
                <w:szCs w:val="20"/>
              </w:rPr>
            </w:pPr>
          </w:p>
        </w:tc>
      </w:tr>
      <w:tr w:rsidR="004F4BD6" w:rsidRPr="00BC4657" w14:paraId="2DE3E08D" w14:textId="77777777" w:rsidTr="003F1E36">
        <w:tc>
          <w:tcPr>
            <w:tcW w:w="2830" w:type="dxa"/>
          </w:tcPr>
          <w:p w14:paraId="41ACB042" w14:textId="77777777" w:rsidR="004F4BD6" w:rsidRPr="00BC4657" w:rsidRDefault="004F4BD6" w:rsidP="004F4BD6">
            <w:pPr>
              <w:spacing w:before="120" w:line="288" w:lineRule="auto"/>
              <w:rPr>
                <w:rFonts w:ascii="Arial" w:eastAsia="Montserrat" w:hAnsi="Arial" w:cs="Arial"/>
                <w:b/>
                <w:bCs/>
                <w:color w:val="0F4761"/>
                <w:sz w:val="20"/>
                <w:szCs w:val="20"/>
              </w:rPr>
            </w:pPr>
            <w:r w:rsidRPr="00BC4657">
              <w:rPr>
                <w:rFonts w:ascii="Arial" w:eastAsia="Montserrat" w:hAnsi="Arial" w:cs="Arial"/>
                <w:b/>
                <w:bCs/>
                <w:color w:val="0F4761"/>
                <w:sz w:val="20"/>
                <w:szCs w:val="20"/>
              </w:rPr>
              <w:t>Functie ondertekenaar</w:t>
            </w:r>
          </w:p>
        </w:tc>
        <w:tc>
          <w:tcPr>
            <w:tcW w:w="5522" w:type="dxa"/>
          </w:tcPr>
          <w:p w14:paraId="18F298FD" w14:textId="77777777" w:rsidR="004F4BD6" w:rsidRPr="00BC4657" w:rsidRDefault="004F4BD6" w:rsidP="004F4BD6">
            <w:pPr>
              <w:spacing w:before="120" w:line="288" w:lineRule="auto"/>
              <w:rPr>
                <w:rFonts w:ascii="Calibri" w:eastAsia="Montserrat" w:hAnsi="Calibri" w:cs="Calibri"/>
                <w:sz w:val="20"/>
                <w:szCs w:val="20"/>
              </w:rPr>
            </w:pPr>
          </w:p>
        </w:tc>
      </w:tr>
      <w:tr w:rsidR="004F4BD6" w:rsidRPr="00BC4657" w14:paraId="79CC26B7" w14:textId="77777777" w:rsidTr="003F1E36">
        <w:tc>
          <w:tcPr>
            <w:tcW w:w="2830" w:type="dxa"/>
            <w:tcBorders>
              <w:bottom w:val="single" w:sz="4" w:space="0" w:color="auto"/>
            </w:tcBorders>
          </w:tcPr>
          <w:p w14:paraId="1A2A555F" w14:textId="77777777" w:rsidR="004F4BD6" w:rsidRPr="00BC4657" w:rsidRDefault="004F4BD6" w:rsidP="004F4BD6">
            <w:pPr>
              <w:spacing w:before="120" w:line="288" w:lineRule="auto"/>
              <w:rPr>
                <w:rFonts w:ascii="Arial" w:eastAsia="Montserrat" w:hAnsi="Arial" w:cs="Arial"/>
                <w:b/>
                <w:bCs/>
                <w:color w:val="0F4761"/>
                <w:sz w:val="20"/>
                <w:szCs w:val="20"/>
              </w:rPr>
            </w:pPr>
            <w:r w:rsidRPr="00BC4657">
              <w:rPr>
                <w:rFonts w:ascii="Arial" w:eastAsia="Montserrat" w:hAnsi="Arial" w:cs="Arial"/>
                <w:b/>
                <w:bCs/>
                <w:color w:val="0F4761"/>
                <w:sz w:val="20"/>
                <w:szCs w:val="20"/>
              </w:rPr>
              <w:t>Handtekening</w:t>
            </w:r>
          </w:p>
        </w:tc>
        <w:tc>
          <w:tcPr>
            <w:tcW w:w="5522" w:type="dxa"/>
            <w:tcBorders>
              <w:bottom w:val="single" w:sz="4" w:space="0" w:color="auto"/>
            </w:tcBorders>
          </w:tcPr>
          <w:p w14:paraId="6519D050" w14:textId="77777777" w:rsidR="004F4BD6" w:rsidRPr="00BC4657" w:rsidRDefault="004F4BD6" w:rsidP="004F4BD6">
            <w:pPr>
              <w:spacing w:before="120" w:line="288" w:lineRule="auto"/>
              <w:rPr>
                <w:rFonts w:ascii="Calibri" w:eastAsia="Montserrat" w:hAnsi="Calibri" w:cs="Calibri"/>
                <w:sz w:val="20"/>
                <w:szCs w:val="20"/>
              </w:rPr>
            </w:pPr>
          </w:p>
          <w:p w14:paraId="2A596CBF" w14:textId="77777777" w:rsidR="004F4BD6" w:rsidRPr="00BC4657" w:rsidRDefault="004F4BD6" w:rsidP="004F4BD6">
            <w:pPr>
              <w:spacing w:before="120" w:line="288" w:lineRule="auto"/>
              <w:rPr>
                <w:rFonts w:ascii="Calibri" w:eastAsia="Montserrat" w:hAnsi="Calibri" w:cs="Calibri"/>
                <w:sz w:val="20"/>
                <w:szCs w:val="20"/>
              </w:rPr>
            </w:pPr>
          </w:p>
          <w:p w14:paraId="43ADB381" w14:textId="77777777" w:rsidR="004F4BD6" w:rsidRPr="00BC4657" w:rsidRDefault="004F4BD6" w:rsidP="004F4BD6">
            <w:pPr>
              <w:spacing w:before="120" w:line="288" w:lineRule="auto"/>
              <w:rPr>
                <w:rFonts w:ascii="Calibri" w:eastAsia="Montserrat" w:hAnsi="Calibri" w:cs="Calibri"/>
                <w:sz w:val="20"/>
                <w:szCs w:val="20"/>
              </w:rPr>
            </w:pPr>
          </w:p>
        </w:tc>
      </w:tr>
      <w:tr w:rsidR="004F4BD6" w:rsidRPr="00BC4657" w14:paraId="60E1FF4D" w14:textId="77777777" w:rsidTr="003F1E36">
        <w:tc>
          <w:tcPr>
            <w:tcW w:w="2830" w:type="dxa"/>
            <w:tcBorders>
              <w:bottom w:val="single" w:sz="4" w:space="0" w:color="auto"/>
            </w:tcBorders>
          </w:tcPr>
          <w:p w14:paraId="27F625EE" w14:textId="77777777" w:rsidR="004F4BD6" w:rsidRPr="00BC4657" w:rsidRDefault="004F4BD6" w:rsidP="004F4BD6">
            <w:pPr>
              <w:spacing w:before="120" w:line="288" w:lineRule="auto"/>
              <w:rPr>
                <w:rFonts w:ascii="Arial" w:eastAsia="Montserrat" w:hAnsi="Arial" w:cs="Arial"/>
                <w:b/>
                <w:bCs/>
                <w:color w:val="0F4761"/>
                <w:sz w:val="20"/>
                <w:szCs w:val="20"/>
              </w:rPr>
            </w:pPr>
            <w:r w:rsidRPr="00BC4657">
              <w:rPr>
                <w:rFonts w:ascii="Arial" w:eastAsia="Montserrat" w:hAnsi="Arial" w:cs="Arial"/>
                <w:b/>
                <w:bCs/>
                <w:color w:val="0F4761"/>
                <w:sz w:val="20"/>
                <w:szCs w:val="20"/>
              </w:rPr>
              <w:t>Plaats en datum</w:t>
            </w:r>
          </w:p>
        </w:tc>
        <w:tc>
          <w:tcPr>
            <w:tcW w:w="5522" w:type="dxa"/>
            <w:tcBorders>
              <w:bottom w:val="single" w:sz="4" w:space="0" w:color="auto"/>
            </w:tcBorders>
          </w:tcPr>
          <w:p w14:paraId="2919E139" w14:textId="77777777" w:rsidR="004F4BD6" w:rsidRPr="00BC4657" w:rsidRDefault="004F4BD6" w:rsidP="004F4BD6">
            <w:pPr>
              <w:spacing w:before="120" w:line="288" w:lineRule="auto"/>
              <w:rPr>
                <w:rFonts w:ascii="Calibri" w:eastAsia="Montserrat" w:hAnsi="Calibri" w:cs="Calibri"/>
                <w:sz w:val="20"/>
                <w:szCs w:val="20"/>
              </w:rPr>
            </w:pPr>
          </w:p>
        </w:tc>
      </w:tr>
    </w:tbl>
    <w:p w14:paraId="066ABBD8" w14:textId="77777777" w:rsidR="004F4BD6" w:rsidRPr="007341D5" w:rsidRDefault="004F4BD6" w:rsidP="007341D5">
      <w:pPr>
        <w:spacing w:line="278" w:lineRule="auto"/>
        <w:rPr>
          <w:rFonts w:ascii="Aptos" w:eastAsia="DengXian" w:hAnsi="Aptos" w:cs="Times New Roman"/>
          <w:kern w:val="2"/>
          <w:sz w:val="20"/>
          <w:szCs w:val="20"/>
          <w:lang w:eastAsia="zh-CN"/>
          <w14:ligatures w14:val="standardContextual"/>
        </w:rPr>
      </w:pPr>
    </w:p>
    <w:sectPr w:rsidR="004F4BD6" w:rsidRPr="007341D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E0F2" w14:textId="77777777" w:rsidR="0016105B" w:rsidRDefault="0016105B" w:rsidP="00C91125">
      <w:pPr>
        <w:spacing w:after="0" w:line="240" w:lineRule="auto"/>
      </w:pPr>
      <w:r>
        <w:separator/>
      </w:r>
    </w:p>
  </w:endnote>
  <w:endnote w:type="continuationSeparator" w:id="0">
    <w:p w14:paraId="470CEFC8" w14:textId="77777777" w:rsidR="0016105B" w:rsidRDefault="0016105B" w:rsidP="00C91125">
      <w:pPr>
        <w:spacing w:after="0" w:line="240" w:lineRule="auto"/>
      </w:pPr>
      <w:r>
        <w:continuationSeparator/>
      </w:r>
    </w:p>
  </w:endnote>
  <w:endnote w:type="continuationNotice" w:id="1">
    <w:p w14:paraId="7BB407F6" w14:textId="77777777" w:rsidR="0016105B" w:rsidRDefault="0016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66EB5DA"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7341D5">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60288"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0"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82" w14:textId="77777777" w:rsidR="0016105B" w:rsidRDefault="0016105B" w:rsidP="00C91125">
      <w:pPr>
        <w:spacing w:after="0" w:line="240" w:lineRule="auto"/>
      </w:pPr>
      <w:r>
        <w:separator/>
      </w:r>
    </w:p>
  </w:footnote>
  <w:footnote w:type="continuationSeparator" w:id="0">
    <w:p w14:paraId="12D7D652" w14:textId="77777777" w:rsidR="0016105B" w:rsidRDefault="0016105B" w:rsidP="00C91125">
      <w:pPr>
        <w:spacing w:after="0" w:line="240" w:lineRule="auto"/>
      </w:pPr>
      <w:r>
        <w:continuationSeparator/>
      </w:r>
    </w:p>
  </w:footnote>
  <w:footnote w:type="continuationNotice" w:id="1">
    <w:p w14:paraId="78CBDEC0" w14:textId="77777777" w:rsidR="0016105B" w:rsidRDefault="0016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6192"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C72A5"/>
    <w:rsid w:val="000E5FB6"/>
    <w:rsid w:val="000F3D9B"/>
    <w:rsid w:val="00116F46"/>
    <w:rsid w:val="00137873"/>
    <w:rsid w:val="00143413"/>
    <w:rsid w:val="0016105B"/>
    <w:rsid w:val="0017334A"/>
    <w:rsid w:val="00180FDF"/>
    <w:rsid w:val="001963B3"/>
    <w:rsid w:val="001C2E32"/>
    <w:rsid w:val="001D14B1"/>
    <w:rsid w:val="001D35CE"/>
    <w:rsid w:val="00233814"/>
    <w:rsid w:val="0025580E"/>
    <w:rsid w:val="00255B1C"/>
    <w:rsid w:val="0029346A"/>
    <w:rsid w:val="002B30DF"/>
    <w:rsid w:val="002B536A"/>
    <w:rsid w:val="002C6CA8"/>
    <w:rsid w:val="002D6A63"/>
    <w:rsid w:val="00300944"/>
    <w:rsid w:val="00327CD1"/>
    <w:rsid w:val="003678C3"/>
    <w:rsid w:val="003A7A71"/>
    <w:rsid w:val="003B0781"/>
    <w:rsid w:val="003E7040"/>
    <w:rsid w:val="003E79A4"/>
    <w:rsid w:val="003F30F4"/>
    <w:rsid w:val="003F508B"/>
    <w:rsid w:val="00410DA0"/>
    <w:rsid w:val="00413E81"/>
    <w:rsid w:val="00443227"/>
    <w:rsid w:val="00446250"/>
    <w:rsid w:val="00455E37"/>
    <w:rsid w:val="004A3A88"/>
    <w:rsid w:val="004C0670"/>
    <w:rsid w:val="004C6370"/>
    <w:rsid w:val="004F2255"/>
    <w:rsid w:val="004F4BD6"/>
    <w:rsid w:val="00506F81"/>
    <w:rsid w:val="005613EC"/>
    <w:rsid w:val="00573348"/>
    <w:rsid w:val="00581CDD"/>
    <w:rsid w:val="005B4D00"/>
    <w:rsid w:val="00611A7A"/>
    <w:rsid w:val="00685FF5"/>
    <w:rsid w:val="006A1AFB"/>
    <w:rsid w:val="006B03B3"/>
    <w:rsid w:val="006E082B"/>
    <w:rsid w:val="006E2A26"/>
    <w:rsid w:val="007002FB"/>
    <w:rsid w:val="007021E6"/>
    <w:rsid w:val="00710B25"/>
    <w:rsid w:val="007341D5"/>
    <w:rsid w:val="00777722"/>
    <w:rsid w:val="00796509"/>
    <w:rsid w:val="007970B1"/>
    <w:rsid w:val="007E2F52"/>
    <w:rsid w:val="0080428C"/>
    <w:rsid w:val="008231EF"/>
    <w:rsid w:val="0085235F"/>
    <w:rsid w:val="00883A9A"/>
    <w:rsid w:val="00893FA6"/>
    <w:rsid w:val="008B36CC"/>
    <w:rsid w:val="009447D2"/>
    <w:rsid w:val="00963315"/>
    <w:rsid w:val="00972796"/>
    <w:rsid w:val="00986A45"/>
    <w:rsid w:val="00986BC1"/>
    <w:rsid w:val="009A441A"/>
    <w:rsid w:val="009C416E"/>
    <w:rsid w:val="00A01F67"/>
    <w:rsid w:val="00A1262E"/>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C4657"/>
    <w:rsid w:val="00BD2BC0"/>
    <w:rsid w:val="00BD4A5F"/>
    <w:rsid w:val="00BE7239"/>
    <w:rsid w:val="00BF6DFC"/>
    <w:rsid w:val="00C144AD"/>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A0836"/>
    <w:rsid w:val="00DA4C35"/>
    <w:rsid w:val="00DF28A7"/>
    <w:rsid w:val="00E42E06"/>
    <w:rsid w:val="00E60880"/>
    <w:rsid w:val="00E740AB"/>
    <w:rsid w:val="00EB5516"/>
    <w:rsid w:val="00EF5F42"/>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raster1">
    <w:name w:val="Tabelraster1"/>
    <w:basedOn w:val="Standaardtabel"/>
    <w:next w:val="Tabelraster"/>
    <w:uiPriority w:val="39"/>
    <w:rsid w:val="004F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f7bc16e1b6120a053de3011f6b5b8aa7">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d4d0d7dd0debe021dc01edc15d565d"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3EC9593-9399-4B6E-A653-82BA7659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05afab-993b-459c-946c-9fb2bdda9f17}" enabled="0" method="" siteId="{9305afab-993b-459c-946c-9fb2bdda9f1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Hofmeijer | Inkada Inkoop &amp; Advies</dc:creator>
  <cp:keywords/>
  <dc:description/>
  <cp:lastModifiedBy>Marcel Hofmeijer | Inkada Inkoop &amp; Advies</cp:lastModifiedBy>
  <cp:revision>10</cp:revision>
  <dcterms:created xsi:type="dcterms:W3CDTF">2025-11-28T13:25:00Z</dcterms:created>
  <dcterms:modified xsi:type="dcterms:W3CDTF">2025-12-05T13:01:00Z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