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48CD9B59" w14:textId="03F88298" w:rsidR="001A3EA1" w:rsidRPr="001A3EA1" w:rsidRDefault="008D767D" w:rsidP="001A3EA1">
      <w:pPr>
        <w:widowControl w:val="0"/>
        <w:autoSpaceDE w:val="0"/>
        <w:autoSpaceDN w:val="0"/>
        <w:adjustRightInd w:val="0"/>
        <w:spacing w:line="240" w:lineRule="auto"/>
        <w:rPr>
          <w:rFonts w:eastAsia="MS Mincho" w:cs="Arial"/>
          <w:b/>
          <w:color w:val="312E2F"/>
          <w:szCs w:val="20"/>
          <w:lang w:eastAsia="nl-NL"/>
        </w:rPr>
      </w:pPr>
      <w:r>
        <w:rPr>
          <w:rFonts w:eastAsia="MS Mincho" w:cs="Arial"/>
          <w:b/>
          <w:color w:val="312E2F"/>
          <w:szCs w:val="20"/>
          <w:lang w:eastAsia="nl-NL"/>
        </w:rPr>
        <w:t>Levering van HVO</w:t>
      </w:r>
      <w:r w:rsidR="002E106F">
        <w:rPr>
          <w:rFonts w:eastAsia="MS Mincho" w:cs="Arial"/>
          <w:b/>
          <w:color w:val="312E2F"/>
          <w:szCs w:val="20"/>
          <w:lang w:eastAsia="nl-NL"/>
        </w:rPr>
        <w:t>100-diesel</w:t>
      </w:r>
      <w:r w:rsidR="006C48BF">
        <w:rPr>
          <w:rFonts w:eastAsia="MS Mincho" w:cs="Arial"/>
          <w:b/>
          <w:color w:val="312E2F"/>
          <w:szCs w:val="20"/>
          <w:lang w:eastAsia="nl-NL"/>
        </w:rPr>
        <w:t xml:space="preserve"> en onderhoud en </w:t>
      </w:r>
      <w:r w:rsidR="000528C0">
        <w:rPr>
          <w:rFonts w:eastAsia="MS Mincho" w:cs="Arial"/>
          <w:b/>
          <w:color w:val="312E2F"/>
          <w:szCs w:val="20"/>
          <w:lang w:eastAsia="nl-NL"/>
        </w:rPr>
        <w:t>keuring van de brandstoftanks</w:t>
      </w:r>
      <w:r w:rsidR="002E106F">
        <w:rPr>
          <w:rFonts w:eastAsia="MS Mincho" w:cs="Arial"/>
          <w:b/>
          <w:color w:val="312E2F"/>
          <w:szCs w:val="20"/>
          <w:lang w:eastAsia="nl-NL"/>
        </w:rPr>
        <w:t xml:space="preserve"> (perceel 1)</w:t>
      </w: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0F9E1890"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Contractnummer: </w:t>
      </w:r>
      <w:r w:rsidRPr="001A3EA1">
        <w:rPr>
          <w:rFonts w:eastAsia="MS Mincho" w:cs="Arial"/>
          <w:color w:val="312E2F"/>
          <w:szCs w:val="20"/>
          <w:lang w:eastAsia="nl-NL"/>
        </w:rPr>
        <w:tab/>
      </w:r>
      <w:r w:rsidRPr="001A3EA1">
        <w:rPr>
          <w:rFonts w:eastAsia="MS Mincho" w:cs="Arial"/>
          <w:color w:val="312E2F"/>
          <w:szCs w:val="20"/>
          <w:shd w:val="clear" w:color="auto" w:fill="BFBFBF"/>
          <w:lang w:eastAsia="nl-NL"/>
        </w:rPr>
        <w:t>&lt;</w:t>
      </w:r>
      <w:proofErr w:type="spellStart"/>
      <w:r w:rsidRPr="001A3EA1">
        <w:rPr>
          <w:rFonts w:eastAsia="MS Mincho" w:cs="Arial"/>
          <w:color w:val="312E2F"/>
          <w:szCs w:val="20"/>
          <w:shd w:val="clear" w:color="auto" w:fill="BFBFBF"/>
          <w:lang w:eastAsia="nl-NL"/>
        </w:rPr>
        <w:t>xxxxxx</w:t>
      </w:r>
      <w:proofErr w:type="spellEnd"/>
      <w:r w:rsidRPr="001A3EA1">
        <w:rPr>
          <w:rFonts w:eastAsia="MS Mincho" w:cs="Arial"/>
          <w:color w:val="312E2F"/>
          <w:szCs w:val="20"/>
          <w:shd w:val="clear" w:color="auto" w:fill="BFBFBF"/>
          <w:lang w:eastAsia="nl-NL"/>
        </w:rPr>
        <w:t>&gt;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1668801D"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492A7C">
        <w:rPr>
          <w:rFonts w:asciiTheme="majorHAnsi" w:hAnsiTheme="majorHAnsi" w:cstheme="majorHAnsi"/>
          <w:szCs w:val="20"/>
        </w:rPr>
        <w:t xml:space="preserve">vertegenwoordigd door </w:t>
      </w:r>
      <w:r w:rsidR="00492A7C" w:rsidRPr="00492A7C">
        <w:rPr>
          <w:rFonts w:asciiTheme="majorHAnsi" w:hAnsiTheme="majorHAnsi" w:cstheme="majorHAnsi"/>
          <w:szCs w:val="20"/>
        </w:rPr>
        <w:t>burgemeester</w:t>
      </w:r>
      <w:r w:rsidRPr="00492A7C">
        <w:rPr>
          <w:rFonts w:asciiTheme="majorHAnsi" w:hAnsiTheme="majorHAnsi" w:cstheme="majorHAnsi"/>
          <w:szCs w:val="20"/>
        </w:rPr>
        <w:t>, de heer</w:t>
      </w:r>
      <w:r w:rsidR="00492A7C" w:rsidRPr="00492A7C">
        <w:rPr>
          <w:rFonts w:asciiTheme="majorHAnsi" w:hAnsiTheme="majorHAnsi" w:cstheme="majorHAnsi"/>
          <w:szCs w:val="20"/>
        </w:rPr>
        <w:t xml:space="preserve"> H. Broekhuizen</w:t>
      </w:r>
      <w:r w:rsidR="00492A7C">
        <w:rPr>
          <w:rFonts w:asciiTheme="majorHAnsi" w:hAnsiTheme="majorHAnsi" w:cstheme="majorHAnsi"/>
          <w:szCs w:val="20"/>
        </w:rPr>
        <w:t xml:space="preserve"> </w:t>
      </w:r>
      <w:r w:rsidRPr="003E79FE">
        <w:rPr>
          <w:rFonts w:asciiTheme="majorHAnsi" w:hAnsiTheme="majorHAnsi" w:cstheme="majorHAnsi"/>
          <w:szCs w:val="20"/>
        </w:rPr>
        <w:t>hierna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2C082D9A"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Opdrachtgever </w:t>
      </w:r>
      <w:r w:rsidRPr="00492A7C">
        <w:rPr>
          <w:rFonts w:asciiTheme="majorHAnsi" w:hAnsiTheme="majorHAnsi" w:cstheme="majorHAnsi"/>
          <w:szCs w:val="20"/>
        </w:rPr>
        <w:t>een Europese</w:t>
      </w:r>
      <w:r w:rsidR="00E310DA" w:rsidRPr="00492A7C">
        <w:rPr>
          <w:rFonts w:asciiTheme="majorHAnsi" w:hAnsiTheme="majorHAnsi" w:cstheme="majorHAnsi"/>
          <w:szCs w:val="20"/>
        </w:rPr>
        <w:t xml:space="preserve"> </w:t>
      </w:r>
      <w:r w:rsidRPr="00492A7C">
        <w:rPr>
          <w:rFonts w:asciiTheme="majorHAnsi" w:hAnsiTheme="majorHAnsi" w:cstheme="majorHAnsi"/>
          <w:szCs w:val="20"/>
        </w:rPr>
        <w:t>aanbestedingsprocedure</w:t>
      </w:r>
      <w:r w:rsidRPr="003E79FE">
        <w:rPr>
          <w:rFonts w:asciiTheme="majorHAnsi" w:hAnsiTheme="majorHAnsi" w:cstheme="majorHAnsi"/>
          <w:szCs w:val="20"/>
        </w:rPr>
        <w:t xml:space="preserve"> is gestart voor</w:t>
      </w:r>
      <w:r w:rsidR="00492A7C">
        <w:rPr>
          <w:rFonts w:asciiTheme="majorHAnsi" w:hAnsiTheme="majorHAnsi" w:cstheme="majorHAnsi"/>
          <w:szCs w:val="20"/>
        </w:rPr>
        <w:t xml:space="preserve"> de levering van HVO</w:t>
      </w:r>
      <w:r w:rsidR="005C798A">
        <w:rPr>
          <w:rFonts w:asciiTheme="majorHAnsi" w:hAnsiTheme="majorHAnsi" w:cstheme="majorHAnsi"/>
          <w:szCs w:val="20"/>
        </w:rPr>
        <w:t>100-diesel en</w:t>
      </w:r>
      <w:r w:rsidR="006C48BF">
        <w:rPr>
          <w:rFonts w:asciiTheme="majorHAnsi" w:hAnsiTheme="majorHAnsi" w:cstheme="majorHAnsi"/>
          <w:szCs w:val="20"/>
        </w:rPr>
        <w:t xml:space="preserve"> het o</w:t>
      </w:r>
      <w:r w:rsidR="008A78EA" w:rsidRPr="008A78EA">
        <w:rPr>
          <w:rFonts w:asciiTheme="majorHAnsi" w:hAnsiTheme="majorHAnsi" w:cstheme="majorHAnsi"/>
          <w:szCs w:val="20"/>
        </w:rPr>
        <w:t>nderhouden en keuren van de brandstoftanks</w:t>
      </w:r>
      <w:r w:rsidR="008A78EA">
        <w:rPr>
          <w:rFonts w:asciiTheme="majorHAnsi" w:hAnsiTheme="majorHAnsi" w:cstheme="majorHAnsi"/>
          <w:szCs w:val="20"/>
        </w:rPr>
        <w:t xml:space="preserve"> </w:t>
      </w:r>
      <w:r w:rsidRPr="003E79FE">
        <w:rPr>
          <w:rFonts w:asciiTheme="majorHAnsi" w:hAnsiTheme="majorHAnsi" w:cstheme="majorHAnsi"/>
          <w:szCs w:val="20"/>
        </w:rPr>
        <w:t xml:space="preserve">met kenmerk: </w:t>
      </w:r>
      <w:r w:rsidR="006C48BF">
        <w:rPr>
          <w:rFonts w:asciiTheme="majorHAnsi" w:hAnsiTheme="majorHAnsi" w:cstheme="majorHAnsi"/>
          <w:szCs w:val="20"/>
        </w:rPr>
        <w:t>TN 555068</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3FD9617A"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0528C0">
        <w:rPr>
          <w:rFonts w:asciiTheme="majorHAnsi" w:hAnsiTheme="majorHAnsi" w:cstheme="majorHAnsi"/>
          <w:szCs w:val="20"/>
        </w:rPr>
        <w:t>naar aanleiding van deze aanbestedingsprocedure de inschrijving van Opdrachtnemer als economisch meest voordelige inschrijving op basis van de laagste prijs naar</w:t>
      </w:r>
      <w:r w:rsidRPr="003E79FE">
        <w:rPr>
          <w:rFonts w:asciiTheme="majorHAnsi" w:hAnsiTheme="majorHAnsi" w:cstheme="majorHAnsi"/>
          <w:szCs w:val="20"/>
        </w:rPr>
        <w:t xml:space="preserve">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4B64675A" w14:textId="44144A85"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w:t>
      </w:r>
      <w:r w:rsidR="0008377D">
        <w:rPr>
          <w:rFonts w:asciiTheme="majorHAnsi" w:hAnsiTheme="majorHAnsi" w:cstheme="majorHAnsi"/>
          <w:szCs w:val="20"/>
        </w:rPr>
        <w:t>Raamovereenkomst</w:t>
      </w:r>
      <w:r w:rsidRPr="003E79FE">
        <w:rPr>
          <w:rFonts w:asciiTheme="majorHAnsi" w:hAnsiTheme="majorHAnsi" w:cstheme="majorHAnsi"/>
          <w:szCs w:val="20"/>
        </w:rPr>
        <w:t xml:space="preserve"> heeft betrekking op </w:t>
      </w:r>
      <w:r w:rsidR="000528C0">
        <w:rPr>
          <w:rFonts w:asciiTheme="majorHAnsi" w:hAnsiTheme="majorHAnsi" w:cstheme="majorHAnsi"/>
          <w:szCs w:val="20"/>
        </w:rPr>
        <w:t>de levering van HVO100-diesel en het o</w:t>
      </w:r>
      <w:r w:rsidR="000528C0" w:rsidRPr="008A78EA">
        <w:rPr>
          <w:rFonts w:asciiTheme="majorHAnsi" w:hAnsiTheme="majorHAnsi" w:cstheme="majorHAnsi"/>
          <w:szCs w:val="20"/>
        </w:rPr>
        <w:t>nderhouden en keuren van de brandstoftanks</w:t>
      </w:r>
      <w:r w:rsidR="000528C0">
        <w:rPr>
          <w:rFonts w:asciiTheme="majorHAnsi" w:hAnsiTheme="majorHAnsi" w:cstheme="majorHAnsi"/>
          <w:szCs w:val="20"/>
        </w:rPr>
        <w:t xml:space="preserve">. </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lastRenderedPageBreak/>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0BED61CD" w14:textId="214F308E" w:rsidR="002B3CD8" w:rsidRPr="002B3CD8" w:rsidRDefault="0097505E" w:rsidP="0097505E">
      <w:pPr>
        <w:pStyle w:val="Lijstalinea"/>
        <w:numPr>
          <w:ilvl w:val="3"/>
          <w:numId w:val="9"/>
        </w:numPr>
        <w:jc w:val="both"/>
        <w:rPr>
          <w:rFonts w:asciiTheme="majorHAnsi" w:hAnsiTheme="majorHAnsi" w:cstheme="majorHAnsi"/>
          <w:szCs w:val="20"/>
        </w:rPr>
      </w:pPr>
      <w:r w:rsidRPr="000528C0">
        <w:rPr>
          <w:rFonts w:cs="Arial"/>
          <w:szCs w:val="20"/>
        </w:rPr>
        <w:t xml:space="preserve">Offerteaanvraag (incl. de digitale in </w:t>
      </w:r>
      <w:proofErr w:type="spellStart"/>
      <w:r w:rsidR="000528C0" w:rsidRPr="000528C0">
        <w:rPr>
          <w:rFonts w:cs="Arial"/>
          <w:szCs w:val="20"/>
        </w:rPr>
        <w:t>Tenderned</w:t>
      </w:r>
      <w:proofErr w:type="spellEnd"/>
      <w:r w:rsidR="00426B15" w:rsidRPr="000528C0">
        <w:rPr>
          <w:rFonts w:cs="Arial"/>
          <w:szCs w:val="20"/>
        </w:rPr>
        <w:t xml:space="preserve"> </w:t>
      </w:r>
      <w:r w:rsidRPr="000528C0">
        <w:rPr>
          <w:rFonts w:cs="Arial"/>
          <w:szCs w:val="20"/>
        </w:rPr>
        <w:t xml:space="preserve">opgenomen informatie, als de vragenlijst) </w:t>
      </w:r>
      <w:r w:rsidR="002B3CD8" w:rsidRPr="000528C0">
        <w:rPr>
          <w:rFonts w:cs="Arial"/>
          <w:szCs w:val="20"/>
        </w:rPr>
        <w:t>ten behoeve van de Europese</w:t>
      </w:r>
      <w:r w:rsidR="002B3CD8">
        <w:rPr>
          <w:rFonts w:cs="Arial"/>
          <w:szCs w:val="20"/>
        </w:rPr>
        <w:t xml:space="preserve">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63C12CBD" w14:textId="43D53564"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gaat in op </w:t>
      </w:r>
      <w:r w:rsidR="00CE676E">
        <w:rPr>
          <w:rFonts w:asciiTheme="majorHAnsi" w:hAnsiTheme="majorHAnsi" w:cstheme="majorHAnsi"/>
          <w:szCs w:val="20"/>
        </w:rPr>
        <w:t>13 maart 2026</w:t>
      </w:r>
      <w:r w:rsidRPr="003E79FE">
        <w:rPr>
          <w:rFonts w:asciiTheme="majorHAnsi" w:hAnsiTheme="majorHAnsi" w:cstheme="majorHAnsi"/>
          <w:szCs w:val="20"/>
        </w:rPr>
        <w:t xml:space="preserve"> en eindigt van rechtswege na </w:t>
      </w:r>
      <w:r w:rsidR="00CE676E">
        <w:rPr>
          <w:rFonts w:asciiTheme="majorHAnsi" w:hAnsiTheme="majorHAnsi" w:cstheme="majorHAnsi"/>
          <w:szCs w:val="20"/>
        </w:rPr>
        <w:t>2</w:t>
      </w:r>
      <w:r w:rsidRPr="003E79FE">
        <w:rPr>
          <w:rFonts w:asciiTheme="majorHAnsi" w:hAnsiTheme="majorHAnsi" w:cstheme="majorHAnsi"/>
          <w:szCs w:val="20"/>
        </w:rPr>
        <w:t xml:space="preserve"> jaar op </w:t>
      </w:r>
      <w:r w:rsidR="00CE676E">
        <w:rPr>
          <w:rFonts w:asciiTheme="majorHAnsi" w:hAnsiTheme="majorHAnsi" w:cstheme="majorHAnsi"/>
          <w:szCs w:val="20"/>
        </w:rPr>
        <w:t>13 maart 2028</w:t>
      </w:r>
      <w:r w:rsidRPr="003E79FE">
        <w:rPr>
          <w:rFonts w:asciiTheme="majorHAnsi" w:hAnsiTheme="majorHAnsi" w:cstheme="majorHAnsi"/>
          <w:szCs w:val="20"/>
        </w:rPr>
        <w:t>.</w:t>
      </w:r>
    </w:p>
    <w:p w14:paraId="256F77B7" w14:textId="2D27BD06" w:rsidR="00EB3531"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maximaal </w:t>
      </w:r>
      <w:r w:rsidR="00CE676E">
        <w:rPr>
          <w:rFonts w:asciiTheme="majorHAnsi" w:hAnsiTheme="majorHAnsi" w:cstheme="majorHAnsi"/>
          <w:szCs w:val="20"/>
        </w:rPr>
        <w:t>1</w:t>
      </w:r>
      <w:r w:rsidRPr="003E79FE">
        <w:rPr>
          <w:rFonts w:asciiTheme="majorHAnsi" w:hAnsiTheme="majorHAnsi" w:cstheme="majorHAnsi"/>
          <w:szCs w:val="20"/>
        </w:rPr>
        <w:t xml:space="preserve"> keer met </w:t>
      </w:r>
      <w:r w:rsidR="00CE676E">
        <w:rPr>
          <w:rFonts w:asciiTheme="majorHAnsi" w:hAnsiTheme="majorHAnsi" w:cstheme="majorHAnsi"/>
          <w:szCs w:val="20"/>
        </w:rPr>
        <w:t xml:space="preserve">2 </w:t>
      </w:r>
      <w:r w:rsidRPr="003E79FE">
        <w:rPr>
          <w:rFonts w:asciiTheme="majorHAnsi" w:hAnsiTheme="majorHAnsi" w:cstheme="majorHAnsi"/>
          <w:szCs w:val="20"/>
        </w:rPr>
        <w:t>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CE676E">
        <w:rPr>
          <w:rFonts w:asciiTheme="majorHAnsi" w:hAnsiTheme="majorHAnsi" w:cstheme="majorHAnsi"/>
          <w:szCs w:val="20"/>
        </w:rPr>
        <w:t>3</w:t>
      </w:r>
      <w:r w:rsidRPr="00004719">
        <w:rPr>
          <w:rFonts w:asciiTheme="majorHAnsi" w:hAnsiTheme="majorHAnsi" w:cstheme="majorHAnsi"/>
          <w:szCs w:val="20"/>
        </w:rPr>
        <w:t xml:space="preserve"> maanden voor het einde van de </w:t>
      </w:r>
      <w:r w:rsidR="0008377D">
        <w:rPr>
          <w:rFonts w:asciiTheme="majorHAnsi" w:hAnsiTheme="majorHAnsi" w:cstheme="majorHAnsi"/>
          <w:szCs w:val="20"/>
        </w:rPr>
        <w:t>Raamovereenkomst</w:t>
      </w:r>
      <w:r w:rsidRPr="00004719">
        <w:rPr>
          <w:rFonts w:asciiTheme="majorHAnsi" w:hAnsiTheme="majorHAnsi" w:cstheme="majorHAnsi"/>
          <w:szCs w:val="20"/>
        </w:rPr>
        <w:t xml:space="preserve"> schriftelijk kenbaar maken aan Opdrachtnemer of hij gebruik maakt van het recht op verlenging en in welke omvang qua volume deze verlenging plaatsvindt. </w:t>
      </w:r>
    </w:p>
    <w:p w14:paraId="6A5086AA" w14:textId="0F933CE5"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de maximale opdrachtwaarde is bereikt. De maximale opdrachtwaarde wordt vastgesteld op basis van de geraamde waarde van de opdracht, vermeerderd </w:t>
      </w:r>
      <w:r w:rsidRPr="00CE676E">
        <w:rPr>
          <w:rFonts w:asciiTheme="majorHAnsi" w:hAnsiTheme="majorHAnsi" w:cstheme="majorHAnsi"/>
          <w:szCs w:val="20"/>
        </w:rPr>
        <w:t xml:space="preserve">met </w:t>
      </w:r>
      <w:r w:rsidR="00CE676E" w:rsidRPr="00CE676E">
        <w:rPr>
          <w:rFonts w:asciiTheme="majorHAnsi" w:hAnsiTheme="majorHAnsi" w:cstheme="majorHAnsi"/>
          <w:szCs w:val="20"/>
        </w:rPr>
        <w:t>40</w:t>
      </w:r>
      <w:r w:rsidRPr="00CE676E">
        <w:rPr>
          <w:rFonts w:asciiTheme="majorHAnsi" w:hAnsiTheme="majorHAnsi" w:cstheme="majorHAnsi"/>
          <w:szCs w:val="20"/>
        </w:rPr>
        <w:t>%.</w:t>
      </w:r>
      <w:r w:rsidRPr="00BD55EF">
        <w:rPr>
          <w:rFonts w:asciiTheme="majorHAnsi" w:hAnsiTheme="majorHAnsi" w:cstheme="majorHAnsi"/>
          <w:szCs w:val="20"/>
        </w:rPr>
        <w:t xml:space="preserve"> De maximale </w:t>
      </w:r>
      <w:r w:rsidRPr="003305E8">
        <w:rPr>
          <w:rFonts w:asciiTheme="majorHAnsi" w:hAnsiTheme="majorHAnsi" w:cstheme="majorHAnsi"/>
          <w:szCs w:val="20"/>
        </w:rPr>
        <w:t>waarde bedraagt: €</w:t>
      </w:r>
      <w:r w:rsidR="00ED1821" w:rsidRPr="003305E8">
        <w:rPr>
          <w:rFonts w:asciiTheme="majorHAnsi" w:hAnsiTheme="majorHAnsi" w:cstheme="majorHAnsi"/>
          <w:szCs w:val="20"/>
        </w:rPr>
        <w:t>1.708.</w:t>
      </w:r>
      <w:r w:rsidR="003305E8" w:rsidRPr="003305E8">
        <w:rPr>
          <w:rFonts w:asciiTheme="majorHAnsi" w:hAnsiTheme="majorHAnsi" w:cstheme="majorHAnsi"/>
          <w:szCs w:val="20"/>
        </w:rPr>
        <w:t>000</w:t>
      </w:r>
      <w:r w:rsidRPr="003305E8">
        <w:rPr>
          <w:rFonts w:asciiTheme="majorHAnsi" w:hAnsiTheme="majorHAnsi" w:cstheme="majorHAnsi"/>
          <w:szCs w:val="20"/>
        </w:rPr>
        <w:t xml:space="preserve"> euro exclusief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0306799E"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7018E7">
        <w:rPr>
          <w:rFonts w:asciiTheme="majorHAnsi" w:hAnsiTheme="majorHAnsi" w:cstheme="majorHAnsi"/>
          <w:szCs w:val="20"/>
        </w:rPr>
        <w:t>6</w:t>
      </w:r>
      <w:r w:rsidRPr="003E79FE">
        <w:rPr>
          <w:rFonts w:asciiTheme="majorHAnsi" w:hAnsiTheme="majorHAnsi" w:cstheme="majorHAnsi"/>
          <w:szCs w:val="20"/>
        </w:rPr>
        <w:t xml:space="preserve"> maanden</w:t>
      </w:r>
      <w:r w:rsidR="007018E7">
        <w:rPr>
          <w:rFonts w:asciiTheme="majorHAnsi" w:hAnsiTheme="majorHAnsi" w:cstheme="majorHAnsi"/>
          <w:szCs w:val="20"/>
        </w:rPr>
        <w:t>.</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7C325F03" w14:textId="58E0C98D" w:rsidR="00D546C0" w:rsidRDefault="00D546C0" w:rsidP="003E79FE">
      <w:pPr>
        <w:pStyle w:val="Lijstalinea"/>
        <w:numPr>
          <w:ilvl w:val="1"/>
          <w:numId w:val="12"/>
        </w:numPr>
        <w:jc w:val="both"/>
        <w:rPr>
          <w:rFonts w:asciiTheme="majorHAnsi" w:hAnsiTheme="majorHAnsi" w:cstheme="majorHAnsi"/>
          <w:szCs w:val="20"/>
        </w:rPr>
      </w:pPr>
      <w:r w:rsidRPr="00D546C0">
        <w:rPr>
          <w:rFonts w:asciiTheme="majorHAnsi" w:hAnsiTheme="majorHAnsi" w:cstheme="majorHAnsi"/>
          <w:szCs w:val="20"/>
        </w:rPr>
        <w:t xml:space="preserve">Gedurende de looptijd van de overeenkomst </w:t>
      </w:r>
      <w:r w:rsidR="007B017C">
        <w:rPr>
          <w:rFonts w:asciiTheme="majorHAnsi" w:hAnsiTheme="majorHAnsi" w:cstheme="majorHAnsi"/>
          <w:szCs w:val="20"/>
        </w:rPr>
        <w:t>wordt</w:t>
      </w:r>
      <w:r w:rsidRPr="00D546C0">
        <w:rPr>
          <w:rFonts w:asciiTheme="majorHAnsi" w:hAnsiTheme="majorHAnsi" w:cstheme="majorHAnsi"/>
          <w:szCs w:val="20"/>
        </w:rPr>
        <w:t xml:space="preserve"> het kortingsbedrag per 100 liter </w:t>
      </w:r>
      <w:r w:rsidR="00A950BB">
        <w:rPr>
          <w:rFonts w:asciiTheme="majorHAnsi" w:hAnsiTheme="majorHAnsi" w:cstheme="majorHAnsi"/>
          <w:szCs w:val="20"/>
        </w:rPr>
        <w:t>zoals ingediend door de opdrachtnemer</w:t>
      </w:r>
      <w:r w:rsidR="00830594">
        <w:rPr>
          <w:rFonts w:asciiTheme="majorHAnsi" w:hAnsiTheme="majorHAnsi" w:cstheme="majorHAnsi"/>
          <w:szCs w:val="20"/>
        </w:rPr>
        <w:t xml:space="preserve"> gehanteerd</w:t>
      </w:r>
      <w:r w:rsidRPr="00D546C0">
        <w:rPr>
          <w:rFonts w:asciiTheme="majorHAnsi" w:hAnsiTheme="majorHAnsi" w:cstheme="majorHAnsi"/>
          <w:szCs w:val="20"/>
        </w:rPr>
        <w:t>. Dit bedraagt [€ … ]</w:t>
      </w:r>
    </w:p>
    <w:p w14:paraId="578C4F0F" w14:textId="4CAEB842"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zijn vast voor de duur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72D841B0" w14:textId="749DD05C"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4D90AAFB" w14:textId="731362C8"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moet zijn </w:t>
      </w:r>
      <w:r w:rsidR="00E33C0B">
        <w:rPr>
          <w:rFonts w:asciiTheme="majorHAnsi" w:hAnsiTheme="majorHAnsi" w:cstheme="majorHAnsi"/>
          <w:szCs w:val="20"/>
        </w:rPr>
        <w:t>in het programma van eisen.</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7140C10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is jegens derden en de Opdrachtgever aansprakelijk voor diens handelen of na</w:t>
      </w:r>
      <w:r w:rsidR="004010F7">
        <w:rPr>
          <w:rFonts w:asciiTheme="majorHAnsi" w:hAnsiTheme="majorHAnsi" w:cstheme="majorHAnsi"/>
          <w:szCs w:val="20"/>
        </w:rPr>
        <w:t xml:space="preserve">laten bij de uitvoering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3B18FBE6"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lastRenderedPageBreak/>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40ABA254"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 xml:space="preserve">. </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221CCE84"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DC3BF3">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w:t>
      </w:r>
      <w:r w:rsidRPr="00B23E4D">
        <w:rPr>
          <w:rFonts w:asciiTheme="majorHAnsi" w:hAnsiTheme="majorHAnsi" w:cstheme="majorHAnsi"/>
          <w:szCs w:val="20"/>
        </w:rPr>
        <w:lastRenderedPageBreak/>
        <w:t xml:space="preserve">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4ED8B089" w:rsidR="00823052" w:rsidRPr="00823052" w:rsidRDefault="00CE45FD"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Er</w:t>
      </w:r>
      <w:r w:rsidR="00823052" w:rsidRPr="00823052">
        <w:rPr>
          <w:rFonts w:asciiTheme="majorHAnsi" w:hAnsiTheme="majorHAnsi" w:cstheme="majorHAnsi"/>
          <w:szCs w:val="20"/>
        </w:rPr>
        <w:t xml:space="preserve"> zal tenminste </w:t>
      </w:r>
      <w:r w:rsidR="001B6FCF">
        <w:rPr>
          <w:rFonts w:asciiTheme="majorHAnsi" w:hAnsiTheme="majorHAnsi" w:cstheme="majorHAnsi"/>
          <w:szCs w:val="20"/>
        </w:rPr>
        <w:t>1</w:t>
      </w:r>
      <w:r w:rsidR="00823052" w:rsidRPr="00823052">
        <w:rPr>
          <w:rFonts w:asciiTheme="majorHAnsi" w:hAnsiTheme="majorHAnsi" w:cstheme="majorHAnsi"/>
          <w:szCs w:val="20"/>
        </w:rPr>
        <w:t xml:space="preserve"> maal per jaar overleg plaatsvinden tussen </w:t>
      </w:r>
      <w:r>
        <w:rPr>
          <w:rFonts w:asciiTheme="majorHAnsi" w:hAnsiTheme="majorHAnsi" w:cstheme="majorHAnsi"/>
          <w:szCs w:val="20"/>
        </w:rPr>
        <w:t xml:space="preserve">de </w:t>
      </w:r>
      <w:r w:rsidR="00823052">
        <w:rPr>
          <w:rFonts w:asciiTheme="majorHAnsi" w:hAnsiTheme="majorHAnsi" w:cstheme="majorHAnsi"/>
          <w:szCs w:val="20"/>
        </w:rPr>
        <w:t>Opdrachtnemer</w:t>
      </w:r>
      <w:r w:rsidR="00823052" w:rsidRPr="00823052">
        <w:rPr>
          <w:rFonts w:asciiTheme="majorHAnsi" w:hAnsiTheme="majorHAnsi" w:cstheme="majorHAnsi"/>
          <w:szCs w:val="20"/>
        </w:rPr>
        <w:t xml:space="preserve"> en</w:t>
      </w:r>
      <w:r>
        <w:rPr>
          <w:rFonts w:asciiTheme="majorHAnsi" w:hAnsiTheme="majorHAnsi" w:cstheme="majorHAnsi"/>
          <w:szCs w:val="20"/>
        </w:rPr>
        <w:t xml:space="preserve"> </w:t>
      </w:r>
      <w:r w:rsidR="00823052" w:rsidRPr="00823052">
        <w:rPr>
          <w:rFonts w:asciiTheme="majorHAnsi" w:hAnsiTheme="majorHAnsi" w:cstheme="majorHAnsi"/>
          <w:szCs w:val="20"/>
        </w:rPr>
        <w:t xml:space="preserve">de </w:t>
      </w:r>
      <w:r w:rsidR="00823052">
        <w:rPr>
          <w:rFonts w:asciiTheme="majorHAnsi" w:hAnsiTheme="majorHAnsi" w:cstheme="majorHAnsi"/>
          <w:szCs w:val="20"/>
        </w:rPr>
        <w:t xml:space="preserve">Opdrachtgever </w:t>
      </w:r>
      <w:r w:rsidR="00823052"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00823052" w:rsidRPr="00823052">
        <w:rPr>
          <w:rFonts w:asciiTheme="majorHAnsi" w:hAnsiTheme="majorHAnsi" w:cstheme="majorHAnsi"/>
          <w:szCs w:val="20"/>
        </w:rPr>
        <w:t xml:space="preserve"> wordt uitgevoerd. </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lastRenderedPageBreak/>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7F47B78C"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w:t>
      </w:r>
      <w:r w:rsidR="0008377D">
        <w:rPr>
          <w:rFonts w:asciiTheme="majorHAnsi" w:hAnsiTheme="majorHAnsi" w:cstheme="majorHAnsi"/>
          <w:szCs w:val="20"/>
        </w:rPr>
        <w:t>Raamovereenkomst</w:t>
      </w:r>
      <w:r>
        <w:rPr>
          <w:rFonts w:asciiTheme="majorHAnsi" w:hAnsiTheme="majorHAnsi" w:cstheme="majorHAnsi"/>
          <w:szCs w:val="20"/>
        </w:rPr>
        <w:t xml:space="preserve">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6921F771"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08377D">
        <w:rPr>
          <w:rFonts w:asciiTheme="majorHAnsi" w:hAnsiTheme="majorHAnsi" w:cstheme="majorHAnsi"/>
          <w:szCs w:val="20"/>
        </w:rPr>
        <w:t>Raamovereenkomst</w:t>
      </w:r>
      <w:r w:rsidR="00C621C6" w:rsidRPr="00C621C6">
        <w:rPr>
          <w:rFonts w:asciiTheme="majorHAnsi" w:hAnsiTheme="majorHAnsi" w:cstheme="majorHAnsi"/>
          <w:szCs w:val="20"/>
        </w:rPr>
        <w:t xml:space="preserve">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4A883E8D"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 xml:space="preserve">onderzoek, naast ontbinding zoals genoemd in artikel 7 lid 1 van deze </w:t>
      </w:r>
      <w:r w:rsidR="0008377D">
        <w:rPr>
          <w:rFonts w:asciiTheme="majorHAnsi" w:hAnsiTheme="majorHAnsi" w:cstheme="majorHAnsi"/>
          <w:szCs w:val="20"/>
        </w:rPr>
        <w:t>Raamovereenkomst</w:t>
      </w:r>
      <w:r w:rsidRPr="00442976">
        <w:rPr>
          <w:rFonts w:asciiTheme="majorHAnsi" w:hAnsiTheme="majorHAnsi" w:cstheme="majorHAnsi"/>
          <w:szCs w:val="20"/>
        </w:rPr>
        <w: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5C06AFE6"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00014046" w:rsidRPr="003E79FE">
        <w:rPr>
          <w:rFonts w:asciiTheme="majorHAnsi" w:hAnsiTheme="majorHAnsi" w:cstheme="majorHAnsi"/>
          <w:szCs w:val="20"/>
        </w:rPr>
        <w:t xml:space="preserve">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600FC8A6"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welke naar hun aard bestemd zijn om ook na het einde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voort te duren, blijven na beëindiging jegens de betreffende Partij bestaan.</w:t>
      </w:r>
    </w:p>
    <w:p w14:paraId="454F964E" w14:textId="432D84B4"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w:t>
      </w:r>
      <w:r w:rsidR="0008377D">
        <w:rPr>
          <w:rFonts w:asciiTheme="majorHAnsi" w:hAnsiTheme="majorHAnsi" w:cstheme="majorHAnsi"/>
          <w:szCs w:val="20"/>
        </w:rPr>
        <w:t>Raamovereenkomst</w:t>
      </w:r>
      <w:r w:rsidRPr="00823052">
        <w:rPr>
          <w:rFonts w:asciiTheme="majorHAnsi" w:hAnsiTheme="majorHAnsi" w:cstheme="majorHAnsi"/>
          <w:szCs w:val="20"/>
        </w:rPr>
        <w:t xml:space="preserve">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w:t>
      </w:r>
      <w:r w:rsidR="0008377D">
        <w:rPr>
          <w:rFonts w:asciiTheme="majorHAnsi" w:hAnsiTheme="majorHAnsi" w:cstheme="majorHAnsi"/>
          <w:szCs w:val="20"/>
        </w:rPr>
        <w:t>Raamovereenkomst</w:t>
      </w:r>
      <w:r w:rsidRPr="00823052">
        <w:rPr>
          <w:rFonts w:asciiTheme="majorHAnsi" w:hAnsiTheme="majorHAnsi" w:cstheme="majorHAnsi"/>
          <w:szCs w:val="20"/>
        </w:rPr>
        <w:t>.</w:t>
      </w:r>
    </w:p>
    <w:p w14:paraId="7137E77E" w14:textId="3458536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Opdrachtnemer mag de rechten en 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62BC66AE"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Alle geschillen in verband met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671FA114" w14:textId="051242EF"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Indien een of meer bepalingen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Pr>
          <w:rFonts w:asciiTheme="majorHAnsi" w:hAnsiTheme="majorHAnsi" w:cstheme="majorHAnsi"/>
          <w:szCs w:val="20"/>
        </w:rPr>
        <w:t>Raamovereenkomst</w:t>
      </w:r>
      <w:r w:rsidRPr="003E79FE">
        <w:rPr>
          <w:rFonts w:asciiTheme="majorHAnsi" w:hAnsiTheme="majorHAnsi" w:cstheme="majorHAnsi"/>
          <w:szCs w:val="20"/>
        </w:rPr>
        <w: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BB9EAFC" w14:textId="77777777" w:rsidR="00CE45FD" w:rsidRDefault="00CE45FD" w:rsidP="003E79FE">
      <w:pPr>
        <w:tabs>
          <w:tab w:val="left" w:pos="1170"/>
        </w:tabs>
        <w:jc w:val="both"/>
        <w:rPr>
          <w:rFonts w:asciiTheme="majorHAnsi" w:hAnsiTheme="majorHAnsi" w:cstheme="majorHAnsi"/>
          <w:b/>
          <w:szCs w:val="20"/>
        </w:rPr>
      </w:pPr>
    </w:p>
    <w:p w14:paraId="1A8D8167" w14:textId="77777777" w:rsidR="00CE45FD" w:rsidRDefault="00CE45FD"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6E8E2B20" w:rsidR="00014046" w:rsidRPr="003E79FE" w:rsidRDefault="00CE45FD" w:rsidP="003E79FE">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 xml:space="preserve">             </w:t>
      </w:r>
      <w:r w:rsidR="00014046" w:rsidRPr="003E79FE">
        <w:rPr>
          <w:rFonts w:asciiTheme="majorHAnsi" w:hAnsiTheme="majorHAnsi" w:cstheme="majorHAnsi"/>
          <w:szCs w:val="20"/>
        </w:rPr>
        <w:t>&lt;naam&gt;</w:t>
      </w:r>
    </w:p>
    <w:p w14:paraId="7E081007" w14:textId="5F194DAE" w:rsidR="007A7C0A" w:rsidRDefault="00CE45FD" w:rsidP="003E79FE">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0BDAC99B" w14:textId="77777777" w:rsidR="00CE45FD" w:rsidRDefault="00CE45FD" w:rsidP="001A3EA1">
      <w:pPr>
        <w:tabs>
          <w:tab w:val="left" w:pos="1170"/>
        </w:tabs>
        <w:jc w:val="both"/>
      </w:pPr>
    </w:p>
    <w:p w14:paraId="16C12FA5" w14:textId="77777777" w:rsidR="00CE45FD" w:rsidRDefault="00CE45FD" w:rsidP="001A3EA1">
      <w:pPr>
        <w:tabs>
          <w:tab w:val="left" w:pos="1170"/>
        </w:tabs>
        <w:jc w:val="both"/>
      </w:pPr>
    </w:p>
    <w:p w14:paraId="168340AE" w14:textId="77777777" w:rsidR="00CE45FD" w:rsidRDefault="00CE45FD" w:rsidP="001A3EA1">
      <w:pPr>
        <w:tabs>
          <w:tab w:val="left" w:pos="1170"/>
        </w:tabs>
        <w:jc w:val="both"/>
      </w:pPr>
    </w:p>
    <w:p w14:paraId="0FD3FE3F" w14:textId="77777777" w:rsidR="00CE45FD" w:rsidRDefault="00CE45FD" w:rsidP="001A3EA1">
      <w:pPr>
        <w:tabs>
          <w:tab w:val="left" w:pos="1170"/>
        </w:tabs>
        <w:jc w:val="both"/>
      </w:pPr>
    </w:p>
    <w:p w14:paraId="2F08B15A" w14:textId="77777777" w:rsidR="00CE45FD" w:rsidRDefault="00CE45FD" w:rsidP="001A3EA1">
      <w:pPr>
        <w:tabs>
          <w:tab w:val="left" w:pos="1170"/>
        </w:tabs>
        <w:jc w:val="both"/>
      </w:pPr>
    </w:p>
    <w:p w14:paraId="43ABD3CE" w14:textId="77777777" w:rsidR="00CE45FD" w:rsidRDefault="00CE45FD" w:rsidP="001A3EA1">
      <w:pPr>
        <w:tabs>
          <w:tab w:val="left" w:pos="1170"/>
        </w:tabs>
        <w:jc w:val="both"/>
      </w:pPr>
    </w:p>
    <w:p w14:paraId="5FC65001" w14:textId="77777777" w:rsidR="00CE45FD" w:rsidRDefault="00CE45FD" w:rsidP="001A3EA1">
      <w:pPr>
        <w:tabs>
          <w:tab w:val="left" w:pos="1170"/>
        </w:tabs>
        <w:jc w:val="both"/>
      </w:pPr>
    </w:p>
    <w:p w14:paraId="28AF2B45" w14:textId="77777777" w:rsidR="00CE45FD" w:rsidRDefault="00CE45FD" w:rsidP="001A3EA1">
      <w:pPr>
        <w:tabs>
          <w:tab w:val="left" w:pos="1170"/>
        </w:tabs>
        <w:jc w:val="both"/>
      </w:pPr>
    </w:p>
    <w:p w14:paraId="3C854EA5" w14:textId="77777777" w:rsidR="00CE45FD" w:rsidRDefault="00CE45FD" w:rsidP="001A3EA1">
      <w:pPr>
        <w:tabs>
          <w:tab w:val="left" w:pos="1170"/>
        </w:tabs>
        <w:jc w:val="both"/>
      </w:pPr>
    </w:p>
    <w:p w14:paraId="2B3FC236" w14:textId="77777777" w:rsidR="00CE45FD" w:rsidRDefault="00CE45FD" w:rsidP="001A3EA1">
      <w:pPr>
        <w:tabs>
          <w:tab w:val="left" w:pos="1170"/>
        </w:tabs>
        <w:jc w:val="both"/>
      </w:pPr>
    </w:p>
    <w:p w14:paraId="50E64EE7" w14:textId="77777777" w:rsidR="00CE45FD" w:rsidRDefault="00CE45FD" w:rsidP="001A3EA1">
      <w:pPr>
        <w:tabs>
          <w:tab w:val="left" w:pos="1170"/>
        </w:tabs>
        <w:jc w:val="both"/>
      </w:pPr>
    </w:p>
    <w:p w14:paraId="45AF1AD2" w14:textId="77777777" w:rsidR="00CE45FD" w:rsidRDefault="00CE45FD" w:rsidP="001A3EA1">
      <w:pPr>
        <w:tabs>
          <w:tab w:val="left" w:pos="1170"/>
        </w:tabs>
        <w:jc w:val="both"/>
      </w:pPr>
    </w:p>
    <w:p w14:paraId="71557409" w14:textId="77777777" w:rsidR="00CE45FD" w:rsidRDefault="00CE45FD" w:rsidP="001A3EA1">
      <w:pPr>
        <w:tabs>
          <w:tab w:val="left" w:pos="1170"/>
        </w:tabs>
        <w:jc w:val="both"/>
      </w:pPr>
    </w:p>
    <w:p w14:paraId="2F2A9E00" w14:textId="77777777" w:rsidR="00CE45FD" w:rsidRDefault="00CE45FD" w:rsidP="001A3EA1">
      <w:pPr>
        <w:tabs>
          <w:tab w:val="left" w:pos="1170"/>
        </w:tabs>
        <w:jc w:val="both"/>
      </w:pPr>
    </w:p>
    <w:p w14:paraId="33D45EB3" w14:textId="77777777" w:rsidR="00CE45FD" w:rsidRDefault="00CE45FD"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52D6F161" w14:textId="171AACFA" w:rsidR="00C25000" w:rsidRDefault="00C25000" w:rsidP="00C25000">
      <w:pPr>
        <w:pStyle w:val="Geenafstand"/>
        <w:rPr>
          <w:rFonts w:eastAsiaTheme="majorEastAsia" w:cstheme="majorBidi"/>
          <w:b/>
          <w:bCs/>
          <w:sz w:val="24"/>
          <w:szCs w:val="26"/>
          <w:lang w:eastAsia="nl-NL"/>
        </w:rPr>
      </w:pPr>
      <w:bookmarkStart w:id="0" w:name="_Hlk12369980"/>
      <w:r w:rsidRPr="00C25000">
        <w:rPr>
          <w:rFonts w:eastAsia="Calibri" w:cs="Arial"/>
          <w:b/>
          <w:sz w:val="24"/>
        </w:rPr>
        <w:t xml:space="preserve">Bijlagevel </w:t>
      </w:r>
      <w:r w:rsidR="0008377D" w:rsidRPr="00CE45FD">
        <w:rPr>
          <w:rFonts w:eastAsia="Calibri" w:cs="Arial"/>
          <w:b/>
          <w:sz w:val="24"/>
        </w:rPr>
        <w:t>Raamovereenkomst</w:t>
      </w:r>
      <w:r w:rsidRPr="00CE45FD">
        <w:rPr>
          <w:rFonts w:eastAsia="Calibri" w:cs="Arial"/>
          <w:b/>
          <w:sz w:val="24"/>
        </w:rPr>
        <w:t xml:space="preserve"> </w:t>
      </w:r>
      <w:r w:rsidRPr="00CE45FD">
        <w:rPr>
          <w:rFonts w:eastAsiaTheme="majorEastAsia" w:cstheme="majorBidi"/>
          <w:b/>
          <w:bCs/>
          <w:sz w:val="24"/>
          <w:szCs w:val="26"/>
          <w:lang w:eastAsia="nl-NL"/>
        </w:rPr>
        <w:t xml:space="preserve">Europees openbare aanbesteding </w:t>
      </w:r>
      <w:r w:rsidR="00CE45FD">
        <w:rPr>
          <w:rFonts w:eastAsiaTheme="majorEastAsia" w:cstheme="majorBidi"/>
          <w:b/>
          <w:bCs/>
          <w:sz w:val="24"/>
          <w:szCs w:val="26"/>
          <w:lang w:eastAsia="nl-NL"/>
        </w:rPr>
        <w:t>voor de l</w:t>
      </w:r>
      <w:r w:rsidR="00CE45FD" w:rsidRPr="00CE45FD">
        <w:rPr>
          <w:rFonts w:eastAsiaTheme="majorEastAsia" w:cstheme="majorBidi"/>
          <w:b/>
          <w:bCs/>
          <w:sz w:val="24"/>
          <w:szCs w:val="26"/>
          <w:lang w:eastAsia="nl-NL"/>
        </w:rPr>
        <w:t>evering van HVO100-diesel en onderhoud en keuring van de brandstoftanks</w:t>
      </w:r>
    </w:p>
    <w:p w14:paraId="27765653" w14:textId="77777777" w:rsidR="00C25000" w:rsidRPr="00C25000" w:rsidRDefault="00C25000" w:rsidP="00C25000">
      <w:pPr>
        <w:pStyle w:val="Geenafstand"/>
        <w:rPr>
          <w:lang w:eastAsia="nl-NL"/>
        </w:rPr>
      </w:pPr>
    </w:p>
    <w:p w14:paraId="1AF6F22E" w14:textId="2C20CF75"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het </w:t>
      </w:r>
      <w:proofErr w:type="spellStart"/>
      <w:r w:rsidR="004D18D6">
        <w:rPr>
          <w:rFonts w:eastAsia="Arial" w:cs="Arial"/>
        </w:rPr>
        <w:t>Tenderned</w:t>
      </w:r>
      <w:proofErr w:type="spellEnd"/>
      <w:r w:rsidRPr="00C25000">
        <w:rPr>
          <w:rFonts w:eastAsia="Arial" w:cs="Arial"/>
        </w:rPr>
        <w:t xml:space="preserve"> platform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0D23B6A8"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 xml:space="preserve">AANBESTEDINGSLEIDRAAD (INCL. DE DIGITALE, IN </w:t>
      </w:r>
      <w:r w:rsidR="00A361AF">
        <w:rPr>
          <w:rFonts w:eastAsia="Calibri" w:cs="Arial"/>
          <w:b/>
          <w:szCs w:val="20"/>
        </w:rPr>
        <w:t xml:space="preserve">TENDERNED </w:t>
      </w:r>
      <w:r w:rsidRPr="00C25000">
        <w:rPr>
          <w:rFonts w:eastAsia="Calibri" w:cs="Arial"/>
          <w:b/>
          <w:szCs w:val="20"/>
        </w:rPr>
        <w:t>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29C48803" w14:textId="582025A7" w:rsidR="004D18D6" w:rsidRPr="004D18D6" w:rsidRDefault="00C25000" w:rsidP="004D18D6">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73A296F4" w14:textId="77777777" w:rsidR="004D18D6" w:rsidRPr="003E79FE" w:rsidRDefault="004D18D6" w:rsidP="004D18D6">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3F8613DD" w14:textId="77777777" w:rsidR="004D18D6" w:rsidRPr="003E79FE" w:rsidRDefault="004D18D6" w:rsidP="004D18D6">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5B4DDA1" w14:textId="77777777" w:rsidR="004D18D6" w:rsidRPr="003E79FE" w:rsidRDefault="004D18D6" w:rsidP="004D18D6">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 xml:space="preserve">             </w:t>
      </w:r>
      <w:r w:rsidRPr="003E79FE">
        <w:rPr>
          <w:rFonts w:asciiTheme="majorHAnsi" w:hAnsiTheme="majorHAnsi" w:cstheme="majorHAnsi"/>
          <w:szCs w:val="20"/>
        </w:rPr>
        <w:t>&lt;naam&gt;</w:t>
      </w:r>
    </w:p>
    <w:p w14:paraId="56A722E2" w14:textId="77777777" w:rsidR="004D18D6" w:rsidRDefault="004D18D6" w:rsidP="004D18D6">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64F2172F" w14:textId="77777777" w:rsidR="004D18D6" w:rsidRDefault="004D18D6" w:rsidP="004D18D6">
      <w:pPr>
        <w:tabs>
          <w:tab w:val="left" w:pos="1170"/>
        </w:tabs>
        <w:jc w:val="both"/>
        <w:rPr>
          <w:rFonts w:asciiTheme="majorHAnsi" w:hAnsiTheme="majorHAnsi" w:cstheme="majorHAnsi"/>
          <w:szCs w:val="20"/>
        </w:rPr>
      </w:pPr>
    </w:p>
    <w:p w14:paraId="3670532C" w14:textId="77777777" w:rsidR="004D18D6" w:rsidRPr="003E79FE" w:rsidRDefault="004D18D6" w:rsidP="004D18D6">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0E338472" w14:textId="77777777" w:rsidR="004D18D6" w:rsidRDefault="004D18D6" w:rsidP="004D18D6">
      <w:pPr>
        <w:tabs>
          <w:tab w:val="left" w:pos="1170"/>
        </w:tabs>
        <w:jc w:val="both"/>
        <w:rPr>
          <w:rFonts w:asciiTheme="majorHAnsi" w:hAnsiTheme="majorHAnsi" w:cstheme="majorHAnsi"/>
          <w:szCs w:val="20"/>
        </w:rPr>
      </w:pPr>
    </w:p>
    <w:p w14:paraId="696CCB80" w14:textId="77777777" w:rsidR="004D18D6" w:rsidRPr="003E79FE" w:rsidRDefault="004D18D6" w:rsidP="004D18D6">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0DC7CF49" w14:textId="77777777" w:rsidR="004D18D6" w:rsidRPr="003E79FE" w:rsidRDefault="004D18D6" w:rsidP="004D18D6">
      <w:pPr>
        <w:tabs>
          <w:tab w:val="left" w:pos="1170"/>
        </w:tabs>
        <w:jc w:val="both"/>
        <w:rPr>
          <w:rFonts w:asciiTheme="majorHAnsi" w:hAnsiTheme="majorHAnsi" w:cstheme="majorHAnsi"/>
          <w:szCs w:val="20"/>
        </w:rPr>
      </w:pPr>
    </w:p>
    <w:p w14:paraId="4567D892" w14:textId="77777777" w:rsidR="004D18D6" w:rsidRPr="003E79FE" w:rsidRDefault="004D18D6" w:rsidP="004D18D6">
      <w:pPr>
        <w:tabs>
          <w:tab w:val="left" w:pos="1170"/>
        </w:tabs>
        <w:jc w:val="both"/>
        <w:rPr>
          <w:rFonts w:asciiTheme="majorHAnsi" w:hAnsiTheme="majorHAnsi" w:cstheme="majorHAnsi"/>
          <w:szCs w:val="20"/>
        </w:rPr>
      </w:pPr>
    </w:p>
    <w:p w14:paraId="3BEC2398" w14:textId="77777777" w:rsidR="004D18D6" w:rsidRDefault="004D18D6" w:rsidP="004D18D6">
      <w:pPr>
        <w:tabs>
          <w:tab w:val="left" w:pos="1170"/>
        </w:tabs>
        <w:jc w:val="both"/>
        <w:rPr>
          <w:rFonts w:asciiTheme="majorHAnsi" w:hAnsiTheme="majorHAnsi" w:cstheme="majorHAnsi"/>
          <w:szCs w:val="20"/>
        </w:rPr>
      </w:pPr>
    </w:p>
    <w:p w14:paraId="6D1E4DCA" w14:textId="77777777" w:rsidR="004D18D6" w:rsidRPr="003E79FE" w:rsidRDefault="004D18D6" w:rsidP="004D18D6">
      <w:pPr>
        <w:tabs>
          <w:tab w:val="left" w:pos="1170"/>
        </w:tabs>
        <w:jc w:val="both"/>
        <w:rPr>
          <w:rFonts w:asciiTheme="majorHAnsi" w:hAnsiTheme="majorHAnsi" w:cstheme="majorHAnsi"/>
          <w:szCs w:val="20"/>
        </w:rPr>
      </w:pPr>
    </w:p>
    <w:p w14:paraId="3E9B3AD7" w14:textId="77777777" w:rsidR="004D18D6" w:rsidRPr="003E79FE" w:rsidRDefault="004D18D6" w:rsidP="004D18D6">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750E" w14:textId="77777777" w:rsidR="001A3EA1" w:rsidRDefault="001A3EA1" w:rsidP="00E664FA">
      <w:r>
        <w:separator/>
      </w:r>
    </w:p>
  </w:endnote>
  <w:endnote w:type="continuationSeparator" w:id="0">
    <w:p w14:paraId="0F26DE6A" w14:textId="77777777" w:rsidR="001A3EA1" w:rsidRDefault="001A3EA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C2AF" w14:textId="77777777" w:rsidR="001A3EA1" w:rsidRDefault="001A3EA1" w:rsidP="00E664FA">
      <w:r>
        <w:separator/>
      </w:r>
    </w:p>
  </w:footnote>
  <w:footnote w:type="continuationSeparator" w:id="0">
    <w:p w14:paraId="6C33A7B0" w14:textId="77777777" w:rsidR="001A3EA1" w:rsidRDefault="001A3EA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528C0"/>
    <w:rsid w:val="0008377D"/>
    <w:rsid w:val="0008489B"/>
    <w:rsid w:val="000858EA"/>
    <w:rsid w:val="000D4385"/>
    <w:rsid w:val="000D5FEC"/>
    <w:rsid w:val="00123351"/>
    <w:rsid w:val="00130BAE"/>
    <w:rsid w:val="001326E6"/>
    <w:rsid w:val="0013399D"/>
    <w:rsid w:val="00144076"/>
    <w:rsid w:val="00196434"/>
    <w:rsid w:val="001A3EA1"/>
    <w:rsid w:val="001B6FCF"/>
    <w:rsid w:val="001B7C7B"/>
    <w:rsid w:val="00224C85"/>
    <w:rsid w:val="0025194B"/>
    <w:rsid w:val="00280008"/>
    <w:rsid w:val="00284EFA"/>
    <w:rsid w:val="002954E9"/>
    <w:rsid w:val="002B15B8"/>
    <w:rsid w:val="002B3CD8"/>
    <w:rsid w:val="002D0E80"/>
    <w:rsid w:val="002D3A43"/>
    <w:rsid w:val="002E106F"/>
    <w:rsid w:val="002E52AB"/>
    <w:rsid w:val="003037A2"/>
    <w:rsid w:val="00315F5F"/>
    <w:rsid w:val="003305E8"/>
    <w:rsid w:val="00353655"/>
    <w:rsid w:val="00361E27"/>
    <w:rsid w:val="00364842"/>
    <w:rsid w:val="00366BF2"/>
    <w:rsid w:val="003A5838"/>
    <w:rsid w:val="003E79FE"/>
    <w:rsid w:val="004010F7"/>
    <w:rsid w:val="00413354"/>
    <w:rsid w:val="00414E38"/>
    <w:rsid w:val="0042010E"/>
    <w:rsid w:val="00426B15"/>
    <w:rsid w:val="00442976"/>
    <w:rsid w:val="00482F75"/>
    <w:rsid w:val="00486B0A"/>
    <w:rsid w:val="00492A7C"/>
    <w:rsid w:val="004C4E0C"/>
    <w:rsid w:val="004C7C59"/>
    <w:rsid w:val="004D18D6"/>
    <w:rsid w:val="004D2F57"/>
    <w:rsid w:val="004E0F06"/>
    <w:rsid w:val="005123FD"/>
    <w:rsid w:val="005147D1"/>
    <w:rsid w:val="00536F56"/>
    <w:rsid w:val="00570D3A"/>
    <w:rsid w:val="00587ED5"/>
    <w:rsid w:val="005A4B35"/>
    <w:rsid w:val="005B526B"/>
    <w:rsid w:val="005B7759"/>
    <w:rsid w:val="005C798A"/>
    <w:rsid w:val="005F238D"/>
    <w:rsid w:val="00600722"/>
    <w:rsid w:val="0065295A"/>
    <w:rsid w:val="006A0DBE"/>
    <w:rsid w:val="006A419D"/>
    <w:rsid w:val="006B616E"/>
    <w:rsid w:val="006C48BF"/>
    <w:rsid w:val="006D0E53"/>
    <w:rsid w:val="0070050A"/>
    <w:rsid w:val="007018E7"/>
    <w:rsid w:val="00755D54"/>
    <w:rsid w:val="0078085B"/>
    <w:rsid w:val="007866A3"/>
    <w:rsid w:val="007A7C0A"/>
    <w:rsid w:val="007B017C"/>
    <w:rsid w:val="007C2148"/>
    <w:rsid w:val="00810CDA"/>
    <w:rsid w:val="00823052"/>
    <w:rsid w:val="00830594"/>
    <w:rsid w:val="00836384"/>
    <w:rsid w:val="00842A12"/>
    <w:rsid w:val="00880885"/>
    <w:rsid w:val="008A3736"/>
    <w:rsid w:val="008A4E1E"/>
    <w:rsid w:val="008A78EA"/>
    <w:rsid w:val="008D767D"/>
    <w:rsid w:val="009048CA"/>
    <w:rsid w:val="0097505E"/>
    <w:rsid w:val="0098317C"/>
    <w:rsid w:val="00986C9B"/>
    <w:rsid w:val="009B2D4B"/>
    <w:rsid w:val="009C1CC9"/>
    <w:rsid w:val="009D0BB5"/>
    <w:rsid w:val="00A16E7D"/>
    <w:rsid w:val="00A361AF"/>
    <w:rsid w:val="00A36CD4"/>
    <w:rsid w:val="00A43C15"/>
    <w:rsid w:val="00A56169"/>
    <w:rsid w:val="00A57F2F"/>
    <w:rsid w:val="00A6078B"/>
    <w:rsid w:val="00A65260"/>
    <w:rsid w:val="00A84204"/>
    <w:rsid w:val="00A950BB"/>
    <w:rsid w:val="00AA12FE"/>
    <w:rsid w:val="00AF0598"/>
    <w:rsid w:val="00B06E25"/>
    <w:rsid w:val="00B16C2D"/>
    <w:rsid w:val="00B207CB"/>
    <w:rsid w:val="00B23E4D"/>
    <w:rsid w:val="00BA3897"/>
    <w:rsid w:val="00BB2ADC"/>
    <w:rsid w:val="00BD5254"/>
    <w:rsid w:val="00BD55EF"/>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E45FD"/>
    <w:rsid w:val="00CE676E"/>
    <w:rsid w:val="00D16923"/>
    <w:rsid w:val="00D34C18"/>
    <w:rsid w:val="00D42AC1"/>
    <w:rsid w:val="00D546C0"/>
    <w:rsid w:val="00D615B5"/>
    <w:rsid w:val="00D91BD2"/>
    <w:rsid w:val="00DB51C8"/>
    <w:rsid w:val="00DC3BF3"/>
    <w:rsid w:val="00DC7A40"/>
    <w:rsid w:val="00DF21B1"/>
    <w:rsid w:val="00E310DA"/>
    <w:rsid w:val="00E33895"/>
    <w:rsid w:val="00E33C0B"/>
    <w:rsid w:val="00E42C5A"/>
    <w:rsid w:val="00E63168"/>
    <w:rsid w:val="00E664FA"/>
    <w:rsid w:val="00E81C4D"/>
    <w:rsid w:val="00E94B7D"/>
    <w:rsid w:val="00EA3165"/>
    <w:rsid w:val="00EA42E0"/>
    <w:rsid w:val="00EA7E05"/>
    <w:rsid w:val="00EB3531"/>
    <w:rsid w:val="00EB491B"/>
    <w:rsid w:val="00EC0023"/>
    <w:rsid w:val="00ED0FEA"/>
    <w:rsid w:val="00ED1821"/>
    <w:rsid w:val="00EE175F"/>
    <w:rsid w:val="00F03353"/>
    <w:rsid w:val="00F14158"/>
    <w:rsid w:val="00F8200C"/>
    <w:rsid w:val="00FA25FF"/>
    <w:rsid w:val="00FA75EA"/>
    <w:rsid w:val="00FB4A48"/>
    <w:rsid w:val="00FC5ABE"/>
    <w:rsid w:val="00FC7425"/>
    <w:rsid w:val="00FD0587"/>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28e323247ec49318a1c4d013bdaf3d">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5884f931d124a63e4ce24dfd68cbf5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3.xml><?xml version="1.0" encoding="utf-8"?>
<ds:datastoreItem xmlns:ds="http://schemas.openxmlformats.org/officeDocument/2006/customXml" ds:itemID="{DF35E285-34D5-4138-B046-53ED166A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0BEB1-3BE4-4DE0-9568-077175A4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2486</Words>
  <Characters>13673</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43</cp:revision>
  <cp:lastPrinted>2021-08-23T07:44:00Z</cp:lastPrinted>
  <dcterms:created xsi:type="dcterms:W3CDTF">2022-08-01T11:28:00Z</dcterms:created>
  <dcterms:modified xsi:type="dcterms:W3CDTF">2025-12-10T12:12:00Z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