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CAC9" w14:textId="77777777" w:rsidR="00C37C14" w:rsidRPr="008E6FB6" w:rsidRDefault="00C37C14" w:rsidP="00C37C14">
      <w:pPr>
        <w:pStyle w:val="Titel"/>
      </w:pPr>
      <w:r w:rsidRPr="008E6FB6">
        <w:t>Inkoopdocument</w:t>
      </w:r>
    </w:p>
    <w:p w14:paraId="64D85490" w14:textId="77777777" w:rsidR="00C37C14" w:rsidRPr="008E6FB6" w:rsidRDefault="00C37C14" w:rsidP="00C37C14">
      <w:pPr>
        <w:jc w:val="center"/>
      </w:pPr>
      <w:r w:rsidRPr="008E6FB6">
        <w:t>Procedure voor Sociale &amp; Andere Specifieke diensten</w:t>
      </w:r>
    </w:p>
    <w:p w14:paraId="5A310675" w14:textId="77777777" w:rsidR="00C37C14" w:rsidRPr="008E6FB6" w:rsidRDefault="00C37C14" w:rsidP="00C37C14">
      <w:pPr>
        <w:jc w:val="center"/>
      </w:pPr>
      <w:r w:rsidRPr="008E6FB6">
        <w:t>met Economisch Meest Voordelige Inschrijving (EMVI)</w:t>
      </w:r>
    </w:p>
    <w:p w14:paraId="25D190CB" w14:textId="77777777" w:rsidR="00C37C14" w:rsidRPr="008E6FB6" w:rsidRDefault="00C37C14" w:rsidP="00C37C14">
      <w:pPr>
        <w:jc w:val="center"/>
      </w:pPr>
      <w:r w:rsidRPr="008E6FB6">
        <w:t>Artikel 2.38 Aanbestedingswet 2012</w:t>
      </w:r>
    </w:p>
    <w:p w14:paraId="73AC90DD" w14:textId="77777777" w:rsidR="00C37C14" w:rsidRPr="008E6FB6" w:rsidRDefault="00C37C14" w:rsidP="00C37C14"/>
    <w:p w14:paraId="411E7FCF" w14:textId="77777777" w:rsidR="006B6355" w:rsidRDefault="006B6355" w:rsidP="006B6355">
      <w:pPr>
        <w:spacing w:line="280" w:lineRule="atLeast"/>
        <w:jc w:val="center"/>
        <w:rPr>
          <w:rFonts w:cstheme="minorHAnsi"/>
          <w:b/>
          <w:bCs/>
          <w:sz w:val="32"/>
          <w:szCs w:val="32"/>
        </w:rPr>
      </w:pPr>
      <w:r w:rsidRPr="00AF48A4">
        <w:rPr>
          <w:rFonts w:cstheme="minorHAnsi"/>
          <w:b/>
          <w:bCs/>
          <w:sz w:val="32"/>
          <w:szCs w:val="32"/>
        </w:rPr>
        <w:t xml:space="preserve">Maatwerkvoorzieningen </w:t>
      </w:r>
    </w:p>
    <w:p w14:paraId="4A1A06E9" w14:textId="77777777" w:rsidR="006B6355" w:rsidRPr="00AF48A4" w:rsidRDefault="006B6355" w:rsidP="006B6355">
      <w:pPr>
        <w:spacing w:line="280" w:lineRule="atLeast"/>
        <w:jc w:val="center"/>
        <w:rPr>
          <w:rFonts w:cstheme="minorHAnsi"/>
          <w:b/>
          <w:bCs/>
          <w:sz w:val="32"/>
          <w:szCs w:val="32"/>
        </w:rPr>
      </w:pPr>
      <w:r w:rsidRPr="00AF48A4">
        <w:rPr>
          <w:rFonts w:cstheme="minorHAnsi"/>
          <w:b/>
          <w:bCs/>
          <w:sz w:val="32"/>
          <w:szCs w:val="32"/>
        </w:rPr>
        <w:t>maatschappelijke ondersteuning</w:t>
      </w:r>
    </w:p>
    <w:p w14:paraId="785BAE9B" w14:textId="77777777" w:rsidR="00C37C14" w:rsidRPr="008E6FB6" w:rsidRDefault="00C37C14" w:rsidP="00C37C14"/>
    <w:p w14:paraId="70467AA0" w14:textId="5606E9C3" w:rsidR="00C37C14" w:rsidRPr="008E6FB6" w:rsidRDefault="00876837" w:rsidP="00C37C14">
      <w:pPr>
        <w:jc w:val="center"/>
        <w:rPr>
          <w:b/>
          <w:sz w:val="32"/>
          <w:szCs w:val="32"/>
        </w:rPr>
      </w:pPr>
      <w:r>
        <w:rPr>
          <w:b/>
          <w:bCs/>
          <w:sz w:val="32"/>
          <w:szCs w:val="32"/>
        </w:rPr>
        <w:t>Hu</w:t>
      </w:r>
      <w:r w:rsidR="00F416EC">
        <w:rPr>
          <w:b/>
          <w:bCs/>
          <w:sz w:val="32"/>
          <w:szCs w:val="32"/>
        </w:rPr>
        <w:t>ishoudelijke ondersteuning</w:t>
      </w:r>
    </w:p>
    <w:p w14:paraId="261831C9" w14:textId="2EA52DE2" w:rsidR="00C37C14" w:rsidRPr="0032185A" w:rsidRDefault="00C37C14" w:rsidP="0024301C">
      <w:pPr>
        <w:ind w:left="2832" w:firstLine="708"/>
      </w:pPr>
      <w:r w:rsidRPr="0024301C">
        <w:rPr>
          <w:b/>
          <w:bCs/>
          <w:sz w:val="32"/>
          <w:szCs w:val="32"/>
        </w:rPr>
        <w:t>202</w:t>
      </w:r>
      <w:r w:rsidR="00876837" w:rsidRPr="0024301C">
        <w:rPr>
          <w:b/>
          <w:bCs/>
          <w:sz w:val="32"/>
          <w:szCs w:val="32"/>
        </w:rPr>
        <w:t>6</w:t>
      </w:r>
      <w:r w:rsidRPr="0024301C">
        <w:rPr>
          <w:b/>
          <w:bCs/>
          <w:sz w:val="32"/>
          <w:szCs w:val="32"/>
        </w:rPr>
        <w:t xml:space="preserve"> </w:t>
      </w:r>
      <w:r w:rsidR="00143319">
        <w:rPr>
          <w:b/>
          <w:bCs/>
          <w:sz w:val="32"/>
          <w:szCs w:val="32"/>
        </w:rPr>
        <w:t>–</w:t>
      </w:r>
      <w:r w:rsidRPr="0024301C">
        <w:rPr>
          <w:b/>
          <w:bCs/>
          <w:sz w:val="32"/>
          <w:szCs w:val="32"/>
        </w:rPr>
        <w:t xml:space="preserve"> 20</w:t>
      </w:r>
      <w:r w:rsidR="00B16952" w:rsidRPr="0024301C">
        <w:rPr>
          <w:b/>
          <w:bCs/>
          <w:sz w:val="32"/>
          <w:szCs w:val="32"/>
        </w:rPr>
        <w:t>32</w:t>
      </w:r>
      <w:r w:rsidR="00143319">
        <w:rPr>
          <w:b/>
          <w:bCs/>
          <w:sz w:val="32"/>
          <w:szCs w:val="32"/>
        </w:rPr>
        <w:t xml:space="preserve"> </w:t>
      </w:r>
      <w:r w:rsidR="00143319" w:rsidRPr="0032185A">
        <w:t>(incl. verlengingen)</w:t>
      </w:r>
    </w:p>
    <w:p w14:paraId="093AC530" w14:textId="24CF6324" w:rsidR="00C37C14" w:rsidRPr="008E6FB6" w:rsidRDefault="00C37C14" w:rsidP="00C37C14"/>
    <w:p w14:paraId="45443825" w14:textId="50DD3970" w:rsidR="00C37C14" w:rsidRPr="008E6FB6" w:rsidRDefault="00FB1BAD" w:rsidP="00FB1BAD">
      <w:pPr>
        <w:jc w:val="center"/>
        <w:rPr>
          <w:color w:val="12828C"/>
        </w:rPr>
      </w:pPr>
      <w:r w:rsidRPr="00E31BAB">
        <w:rPr>
          <w:rFonts w:ascii="Calibri" w:eastAsia="Arial" w:hAnsi="Calibri" w:cs="Calibri"/>
          <w:b/>
          <w:noProof/>
          <w:sz w:val="22"/>
          <w:szCs w:val="22"/>
        </w:rPr>
        <w:drawing>
          <wp:anchor distT="0" distB="0" distL="114300" distR="114300" simplePos="0" relativeHeight="251658240" behindDoc="1" locked="0" layoutInCell="1" allowOverlap="1" wp14:anchorId="4F79E62E" wp14:editId="1818361F">
            <wp:simplePos x="0" y="0"/>
            <wp:positionH relativeFrom="column">
              <wp:posOffset>345440</wp:posOffset>
            </wp:positionH>
            <wp:positionV relativeFrom="paragraph">
              <wp:posOffset>171450</wp:posOffset>
            </wp:positionV>
            <wp:extent cx="1544417" cy="1544417"/>
            <wp:effectExtent l="0" t="0" r="0" b="0"/>
            <wp:wrapNone/>
            <wp:docPr id="25" name="Afbeelding 25" descr="Afbeelding met Graphics, grafische vormgeving,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Afbeelding met Graphics, grafische vormgeving, logo,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4417" cy="15444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BAB">
        <w:rPr>
          <w:rFonts w:ascii="Calibri" w:eastAsia="Arial" w:hAnsi="Calibri" w:cs="Calibri"/>
          <w:b/>
          <w:noProof/>
          <w:sz w:val="22"/>
          <w:szCs w:val="22"/>
        </w:rPr>
        <w:drawing>
          <wp:anchor distT="0" distB="0" distL="114300" distR="114300" simplePos="0" relativeHeight="251658242" behindDoc="1" locked="0" layoutInCell="1" allowOverlap="1" wp14:anchorId="269755BB" wp14:editId="7326449D">
            <wp:simplePos x="0" y="0"/>
            <wp:positionH relativeFrom="column">
              <wp:posOffset>4608830</wp:posOffset>
            </wp:positionH>
            <wp:positionV relativeFrom="paragraph">
              <wp:posOffset>12065</wp:posOffset>
            </wp:positionV>
            <wp:extent cx="1851509" cy="1703810"/>
            <wp:effectExtent l="0" t="0" r="0" b="0"/>
            <wp:wrapNone/>
            <wp:docPr id="31" name="Afbeelding 31"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Lettertype, Graphics, grafische vormgeving,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509" cy="170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FB6">
        <w:rPr>
          <w:color w:val="12828C"/>
        </w:rPr>
        <w:t xml:space="preserve"> </w:t>
      </w:r>
    </w:p>
    <w:p w14:paraId="652ABF9A" w14:textId="170D5CF0" w:rsidR="00C37C14" w:rsidRPr="008E6FB6" w:rsidRDefault="00C37C14" w:rsidP="00C37C14"/>
    <w:p w14:paraId="340560D2" w14:textId="644E4D95" w:rsidR="00C37C14" w:rsidRPr="008E6FB6" w:rsidRDefault="00FB1BAD" w:rsidP="00C37C14">
      <w:r>
        <w:rPr>
          <w:noProof/>
        </w:rPr>
        <w:drawing>
          <wp:anchor distT="0" distB="0" distL="114300" distR="114300" simplePos="0" relativeHeight="251658241" behindDoc="1" locked="0" layoutInCell="1" allowOverlap="1" wp14:anchorId="5DCF2853" wp14:editId="6ADA86B8">
            <wp:simplePos x="0" y="0"/>
            <wp:positionH relativeFrom="column">
              <wp:posOffset>2088515</wp:posOffset>
            </wp:positionH>
            <wp:positionV relativeFrom="paragraph">
              <wp:posOffset>6985</wp:posOffset>
            </wp:positionV>
            <wp:extent cx="2199190" cy="1131509"/>
            <wp:effectExtent l="0" t="0" r="0" b="0"/>
            <wp:wrapNone/>
            <wp:docPr id="30" name="Afbeelding 30" descr="logo-gemeente-hilvarenbeek - Minicamping De Landeri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gemeente-hilvarenbeek - Minicamping De Landerij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9190" cy="1131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8E44A" w14:textId="77777777" w:rsidR="00C37C14" w:rsidRDefault="00C37C14" w:rsidP="00C37C14"/>
    <w:p w14:paraId="30A42EB3" w14:textId="77777777" w:rsidR="00FB1BAD" w:rsidRDefault="00FB1BAD" w:rsidP="00C37C14"/>
    <w:p w14:paraId="4B0EAADA" w14:textId="77777777" w:rsidR="00FB1BAD" w:rsidRDefault="00FB1BAD" w:rsidP="00C37C14"/>
    <w:p w14:paraId="2E9017A0" w14:textId="77777777" w:rsidR="006E480B" w:rsidRDefault="006E480B" w:rsidP="006E480B">
      <w:pPr>
        <w:spacing w:after="0"/>
      </w:pPr>
      <w:r>
        <w:t>Versienummer</w:t>
      </w:r>
      <w:r>
        <w:tab/>
        <w:t xml:space="preserve">: </w:t>
      </w:r>
      <w:r>
        <w:rPr>
          <w:color w:val="12828C"/>
        </w:rPr>
        <w:t>1.0</w:t>
      </w:r>
    </w:p>
    <w:p w14:paraId="68E71D5B" w14:textId="38CF31E3" w:rsidR="006E480B" w:rsidRDefault="006E480B" w:rsidP="006E480B">
      <w:pPr>
        <w:spacing w:after="0"/>
      </w:pPr>
      <w:r>
        <w:t>Kenmerk</w:t>
      </w:r>
      <w:r>
        <w:tab/>
      </w:r>
      <w:r>
        <w:tab/>
        <w:t xml:space="preserve">: </w:t>
      </w:r>
      <w:r w:rsidRPr="009E53C0">
        <w:rPr>
          <w:color w:val="12828C"/>
        </w:rPr>
        <w:t>K011425</w:t>
      </w:r>
    </w:p>
    <w:p w14:paraId="55B9A62A" w14:textId="77777777" w:rsidR="00FB1BAD" w:rsidRPr="008E6FB6" w:rsidRDefault="00FB1BAD" w:rsidP="00C37C14"/>
    <w:p w14:paraId="17BA70C1" w14:textId="77777777" w:rsidR="0022650B" w:rsidRPr="00573D0A" w:rsidRDefault="0022650B" w:rsidP="0022650B">
      <w:r w:rsidRPr="00573D0A">
        <w:t>Versiebeheer:</w:t>
      </w:r>
    </w:p>
    <w:tbl>
      <w:tblPr>
        <w:tblStyle w:val="Tabelraster"/>
        <w:tblW w:w="0" w:type="auto"/>
        <w:tblLook w:val="04A0" w:firstRow="1" w:lastRow="0" w:firstColumn="1" w:lastColumn="0" w:noHBand="0" w:noVBand="1"/>
      </w:tblPr>
      <w:tblGrid>
        <w:gridCol w:w="747"/>
        <w:gridCol w:w="1641"/>
        <w:gridCol w:w="1860"/>
        <w:gridCol w:w="4814"/>
      </w:tblGrid>
      <w:tr w:rsidR="0022650B" w:rsidRPr="00573D0A" w14:paraId="5AAF57C5" w14:textId="77777777">
        <w:tc>
          <w:tcPr>
            <w:tcW w:w="747" w:type="dxa"/>
          </w:tcPr>
          <w:p w14:paraId="668453A2" w14:textId="77777777" w:rsidR="0022650B" w:rsidRDefault="0022650B">
            <w:r>
              <w:t>1.2</w:t>
            </w:r>
          </w:p>
        </w:tc>
        <w:tc>
          <w:tcPr>
            <w:tcW w:w="1641" w:type="dxa"/>
          </w:tcPr>
          <w:p w14:paraId="7D895E8A" w14:textId="77777777" w:rsidR="0022650B" w:rsidRDefault="0022650B">
            <w:r>
              <w:t>Oktober 2025</w:t>
            </w:r>
          </w:p>
        </w:tc>
        <w:tc>
          <w:tcPr>
            <w:tcW w:w="1860" w:type="dxa"/>
          </w:tcPr>
          <w:p w14:paraId="19FCDB88" w14:textId="77777777" w:rsidR="0022650B" w:rsidRPr="00573D0A" w:rsidRDefault="0022650B">
            <w:r>
              <w:t>Ketenbureau</w:t>
            </w:r>
          </w:p>
        </w:tc>
        <w:tc>
          <w:tcPr>
            <w:tcW w:w="4814" w:type="dxa"/>
          </w:tcPr>
          <w:p w14:paraId="147EAC94" w14:textId="77777777" w:rsidR="0022650B" w:rsidRPr="00B14741" w:rsidRDefault="0022650B">
            <w:r>
              <w:t>Taal en verbeteringen</w:t>
            </w:r>
          </w:p>
        </w:tc>
      </w:tr>
      <w:tr w:rsidR="0022650B" w:rsidRPr="00573D0A" w14:paraId="1329BB63" w14:textId="77777777">
        <w:tc>
          <w:tcPr>
            <w:tcW w:w="747" w:type="dxa"/>
          </w:tcPr>
          <w:p w14:paraId="13C70EA4" w14:textId="77777777" w:rsidR="0022650B" w:rsidRPr="00573D0A" w:rsidRDefault="0022650B">
            <w:r>
              <w:t>1.1</w:t>
            </w:r>
          </w:p>
        </w:tc>
        <w:tc>
          <w:tcPr>
            <w:tcW w:w="1641" w:type="dxa"/>
          </w:tcPr>
          <w:p w14:paraId="56895689" w14:textId="77777777" w:rsidR="0022650B" w:rsidRPr="00573D0A" w:rsidRDefault="0022650B">
            <w:r>
              <w:t>November</w:t>
            </w:r>
            <w:r w:rsidRPr="00573D0A">
              <w:t xml:space="preserve"> 2024</w:t>
            </w:r>
          </w:p>
        </w:tc>
        <w:tc>
          <w:tcPr>
            <w:tcW w:w="1860" w:type="dxa"/>
          </w:tcPr>
          <w:p w14:paraId="6DC99F02" w14:textId="77777777" w:rsidR="0022650B" w:rsidRPr="00573D0A" w:rsidRDefault="0022650B">
            <w:r w:rsidRPr="00573D0A">
              <w:t>Ketenbureau</w:t>
            </w:r>
          </w:p>
        </w:tc>
        <w:tc>
          <w:tcPr>
            <w:tcW w:w="4814" w:type="dxa"/>
          </w:tcPr>
          <w:p w14:paraId="6AE5F660" w14:textId="77777777" w:rsidR="0022650B" w:rsidRPr="00573D0A" w:rsidRDefault="0022650B">
            <w:r w:rsidRPr="00B14741">
              <w:t>Doorvoeren grammaticale wijzigingen en tekstconformiteit met verschillen CSJ, wijziging n.a.v. jurisprudentie inzake geschillenbeslechting en nieuw Model Algemene Inkoopvoorwaarden VNG.</w:t>
            </w:r>
          </w:p>
        </w:tc>
      </w:tr>
      <w:tr w:rsidR="0022650B" w:rsidRPr="00573D0A" w14:paraId="1CAB5F01" w14:textId="77777777">
        <w:tc>
          <w:tcPr>
            <w:tcW w:w="747" w:type="dxa"/>
          </w:tcPr>
          <w:p w14:paraId="430677D7" w14:textId="77777777" w:rsidR="0022650B" w:rsidRPr="00573D0A" w:rsidRDefault="0022650B">
            <w:r w:rsidRPr="00573D0A">
              <w:t>1.</w:t>
            </w:r>
            <w:r>
              <w:t>0</w:t>
            </w:r>
          </w:p>
        </w:tc>
        <w:tc>
          <w:tcPr>
            <w:tcW w:w="1641" w:type="dxa"/>
          </w:tcPr>
          <w:p w14:paraId="6A3059C1" w14:textId="77777777" w:rsidR="0022650B" w:rsidRPr="00573D0A" w:rsidRDefault="0022650B">
            <w:r>
              <w:t>September 2024</w:t>
            </w:r>
          </w:p>
        </w:tc>
        <w:tc>
          <w:tcPr>
            <w:tcW w:w="1860" w:type="dxa"/>
          </w:tcPr>
          <w:p w14:paraId="5BF03B78" w14:textId="77777777" w:rsidR="0022650B" w:rsidRPr="00573D0A" w:rsidRDefault="0022650B">
            <w:r w:rsidRPr="00573D0A">
              <w:t>Ketenbureau</w:t>
            </w:r>
          </w:p>
        </w:tc>
        <w:tc>
          <w:tcPr>
            <w:tcW w:w="4814" w:type="dxa"/>
          </w:tcPr>
          <w:p w14:paraId="2A265C30" w14:textId="77777777" w:rsidR="0022650B" w:rsidRPr="00573D0A" w:rsidRDefault="0022650B">
            <w:r>
              <w:t>Definitieve versie</w:t>
            </w:r>
          </w:p>
        </w:tc>
      </w:tr>
    </w:tbl>
    <w:p w14:paraId="4DFAD704" w14:textId="77777777" w:rsidR="00C37C14" w:rsidRDefault="00C37C14" w:rsidP="00C37C14">
      <w:r w:rsidRPr="008E6FB6">
        <w:br w:type="page"/>
      </w:r>
    </w:p>
    <w:p w14:paraId="6A31E9B4" w14:textId="77777777" w:rsidR="00AC1C46" w:rsidRPr="001013A3" w:rsidRDefault="00AC1C46" w:rsidP="001013A3">
      <w:pPr>
        <w:spacing w:before="360" w:after="240"/>
        <w:rPr>
          <w:b/>
          <w:bCs/>
          <w:color w:val="12828C"/>
          <w:sz w:val="32"/>
          <w:szCs w:val="32"/>
        </w:rPr>
      </w:pPr>
      <w:r w:rsidRPr="001013A3">
        <w:rPr>
          <w:b/>
          <w:bCs/>
          <w:color w:val="12828C"/>
          <w:sz w:val="32"/>
          <w:szCs w:val="32"/>
        </w:rPr>
        <w:lastRenderedPageBreak/>
        <w:t>Wijzigingsbeheer</w:t>
      </w:r>
    </w:p>
    <w:p w14:paraId="7416F577" w14:textId="77777777" w:rsidR="00AC1C46" w:rsidRPr="00AC1C46" w:rsidRDefault="00AC1C46" w:rsidP="00AC1C46">
      <w:r w:rsidRPr="00AC1C46">
        <w:t>Dit inkoopdocument is met zorg samengesteld. Toch kan het fouten of tegenstrijdigheden bevatten.</w:t>
      </w:r>
    </w:p>
    <w:p w14:paraId="68EDDF13" w14:textId="77777777" w:rsidR="00AC1C46" w:rsidRPr="00AC1C46" w:rsidRDefault="00AC1C46" w:rsidP="00AC1C46">
      <w:r w:rsidRPr="00AC1C46">
        <w:t>Vindt een potentiële opdrachtnemer een fout of onduidelijkheid? Dan moet hij hierover een vraag stellen via de Nota van Inlichtingen op het elektronische aanbestedingsplatform.</w:t>
      </w:r>
    </w:p>
    <w:p w14:paraId="28DD8719" w14:textId="77777777" w:rsidR="00AC1C46" w:rsidRPr="00AC1C46" w:rsidRDefault="00AC1C46" w:rsidP="00AC1C46">
      <w:r w:rsidRPr="00AC1C46">
        <w:t>Merkt een potentiële opdrachtnemer later een fout op die hij eerder had kunnen zien? Dan is dit voor eigen risico.</w:t>
      </w:r>
    </w:p>
    <w:p w14:paraId="4002E1B2" w14:textId="77777777" w:rsidR="00AC1C46" w:rsidRPr="00AC1C46" w:rsidRDefault="00AC1C46" w:rsidP="00AC1C46">
      <w:r w:rsidRPr="00AC1C46">
        <w:t>De inkopende organisatie is alleen verplicht om de gekozen procedure te volgen. Andere verplichtingen volgen niet uit dit document.</w:t>
      </w:r>
    </w:p>
    <w:p w14:paraId="15C2B46E" w14:textId="77777777" w:rsidR="00AC1C46" w:rsidRPr="00AC1C46" w:rsidRDefault="00AC1C46" w:rsidP="00AC1C46">
      <w:r w:rsidRPr="00AC1C46">
        <w:t>De inkopende organisatie mag de aanbesteding stoppen, intrekken of tijdelijk stilleggen. Potentiële opdrachtnemers kunnen in dat geval geen schadevergoeding eisen.</w:t>
      </w:r>
    </w:p>
    <w:p w14:paraId="6A77E13A" w14:textId="77777777" w:rsidR="00AC1C46" w:rsidRPr="00AC1C46" w:rsidRDefault="00AC1C46" w:rsidP="00AC1C46">
      <w:r w:rsidRPr="00AC1C46">
        <w:t>Ook in andere gevallen is er geen recht op vergoeding van kosten, tenzij dit document dat anders regelt.</w:t>
      </w:r>
    </w:p>
    <w:p w14:paraId="21CBECFE" w14:textId="77777777" w:rsidR="00AC1C46" w:rsidRPr="00AC1C46" w:rsidRDefault="00AC1C46" w:rsidP="00AC1C46">
      <w:r w:rsidRPr="00AC1C46">
        <w:t>De planning op het elektronische platform kan nog wijzigen. Potentiële opdrachtnemers kunnen daar geen rechten aan ontlenen.</w:t>
      </w:r>
    </w:p>
    <w:p w14:paraId="274F9482" w14:textId="77777777" w:rsidR="00AC1C46" w:rsidRPr="00AC1C46" w:rsidRDefault="00AC1C46" w:rsidP="00AC1C46"/>
    <w:p w14:paraId="327196A4" w14:textId="132951C4" w:rsidR="00AC1C46" w:rsidRDefault="00AC1C46" w:rsidP="00AC1C46">
      <w:r w:rsidRPr="00FD4FC3">
        <w:t>© 202</w:t>
      </w:r>
      <w:r w:rsidR="005662C9" w:rsidRPr="00FD4FC3">
        <w:t>5</w:t>
      </w:r>
      <w:r w:rsidRPr="00FD4FC3">
        <w:t xml:space="preserve"> – </w:t>
      </w:r>
      <w:r w:rsidR="00EA5C65" w:rsidRPr="00FD4FC3">
        <w:t>gemeenten Goirle, Hilvarenbeek en Oisterwijk</w:t>
      </w:r>
    </w:p>
    <w:p w14:paraId="5A4EDB99" w14:textId="77777777" w:rsidR="00AC1C46" w:rsidRDefault="00AC1C46">
      <w:pPr>
        <w:spacing w:after="0"/>
      </w:pPr>
      <w:r>
        <w:br w:type="page"/>
      </w:r>
    </w:p>
    <w:sdt>
      <w:sdtPr>
        <w:rPr>
          <w:rFonts w:asciiTheme="minorHAnsi" w:eastAsiaTheme="minorEastAsia" w:hAnsiTheme="minorHAnsi" w:cstheme="minorBidi"/>
          <w:b w:val="0"/>
          <w:color w:val="auto"/>
          <w:kern w:val="2"/>
          <w:sz w:val="24"/>
          <w:szCs w:val="24"/>
          <w:lang w:eastAsia="en-US"/>
          <w14:ligatures w14:val="standardContextual"/>
        </w:rPr>
        <w:id w:val="-1932650664"/>
        <w:docPartObj>
          <w:docPartGallery w:val="Table of Contents"/>
          <w:docPartUnique/>
        </w:docPartObj>
      </w:sdtPr>
      <w:sdtContent>
        <w:p w14:paraId="50134FD1" w14:textId="4DE7885F" w:rsidR="009B7E58" w:rsidRDefault="009B7E58">
          <w:pPr>
            <w:pStyle w:val="Kopvaninhoudsopgave"/>
          </w:pPr>
          <w:r w:rsidRPr="009B7E58">
            <w:rPr>
              <w:rFonts w:ascii="Calibri" w:hAnsi="Calibri"/>
            </w:rPr>
            <w:t>Inhoud</w:t>
          </w:r>
        </w:p>
        <w:p w14:paraId="38B4B990" w14:textId="54C696BD" w:rsidR="00B11438" w:rsidRDefault="009B7E5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6957385" w:history="1">
            <w:r w:rsidR="00B11438" w:rsidRPr="007E7B4F">
              <w:rPr>
                <w:rStyle w:val="Hyperlink"/>
                <w:noProof/>
              </w:rPr>
              <w:t>Definities</w:t>
            </w:r>
            <w:r w:rsidR="00B11438">
              <w:rPr>
                <w:noProof/>
                <w:webHidden/>
              </w:rPr>
              <w:tab/>
            </w:r>
            <w:r w:rsidR="00B11438">
              <w:rPr>
                <w:noProof/>
                <w:webHidden/>
              </w:rPr>
              <w:fldChar w:fldCharType="begin"/>
            </w:r>
            <w:r w:rsidR="00B11438">
              <w:rPr>
                <w:noProof/>
                <w:webHidden/>
              </w:rPr>
              <w:instrText xml:space="preserve"> PAGEREF _Toc216957385 \h </w:instrText>
            </w:r>
            <w:r w:rsidR="00B11438">
              <w:rPr>
                <w:noProof/>
                <w:webHidden/>
              </w:rPr>
            </w:r>
            <w:r w:rsidR="00B11438">
              <w:rPr>
                <w:noProof/>
                <w:webHidden/>
              </w:rPr>
              <w:fldChar w:fldCharType="separate"/>
            </w:r>
            <w:r w:rsidR="00B11438">
              <w:rPr>
                <w:noProof/>
                <w:webHidden/>
              </w:rPr>
              <w:t>5</w:t>
            </w:r>
            <w:r w:rsidR="00B11438">
              <w:rPr>
                <w:noProof/>
                <w:webHidden/>
              </w:rPr>
              <w:fldChar w:fldCharType="end"/>
            </w:r>
          </w:hyperlink>
        </w:p>
        <w:p w14:paraId="083F91EC" w14:textId="2D607580" w:rsidR="00B11438" w:rsidRDefault="00B11438">
          <w:pPr>
            <w:pStyle w:val="Inhopg1"/>
            <w:tabs>
              <w:tab w:val="left" w:pos="480"/>
              <w:tab w:val="right" w:leader="dot" w:pos="9062"/>
            </w:tabs>
            <w:rPr>
              <w:rFonts w:eastAsiaTheme="minorEastAsia"/>
              <w:noProof/>
              <w:lang w:eastAsia="nl-NL"/>
            </w:rPr>
          </w:pPr>
          <w:hyperlink w:anchor="_Toc216957386" w:history="1">
            <w:r w:rsidRPr="007E7B4F">
              <w:rPr>
                <w:rStyle w:val="Hyperlink"/>
                <w:noProof/>
              </w:rPr>
              <w:t>1.</w:t>
            </w:r>
            <w:r>
              <w:rPr>
                <w:rFonts w:eastAsiaTheme="minorEastAsia"/>
                <w:noProof/>
                <w:lang w:eastAsia="nl-NL"/>
              </w:rPr>
              <w:tab/>
            </w:r>
            <w:r w:rsidRPr="007E7B4F">
              <w:rPr>
                <w:rStyle w:val="Hyperlink"/>
                <w:noProof/>
              </w:rPr>
              <w:t>Inkopende organisatie</w:t>
            </w:r>
            <w:r>
              <w:rPr>
                <w:noProof/>
                <w:webHidden/>
              </w:rPr>
              <w:tab/>
            </w:r>
            <w:r>
              <w:rPr>
                <w:noProof/>
                <w:webHidden/>
              </w:rPr>
              <w:fldChar w:fldCharType="begin"/>
            </w:r>
            <w:r>
              <w:rPr>
                <w:noProof/>
                <w:webHidden/>
              </w:rPr>
              <w:instrText xml:space="preserve"> PAGEREF _Toc216957386 \h </w:instrText>
            </w:r>
            <w:r>
              <w:rPr>
                <w:noProof/>
                <w:webHidden/>
              </w:rPr>
            </w:r>
            <w:r>
              <w:rPr>
                <w:noProof/>
                <w:webHidden/>
              </w:rPr>
              <w:fldChar w:fldCharType="separate"/>
            </w:r>
            <w:r>
              <w:rPr>
                <w:noProof/>
                <w:webHidden/>
              </w:rPr>
              <w:t>6</w:t>
            </w:r>
            <w:r>
              <w:rPr>
                <w:noProof/>
                <w:webHidden/>
              </w:rPr>
              <w:fldChar w:fldCharType="end"/>
            </w:r>
          </w:hyperlink>
        </w:p>
        <w:p w14:paraId="09CDBE97" w14:textId="55F043F8" w:rsidR="00B11438" w:rsidRDefault="00B11438">
          <w:pPr>
            <w:pStyle w:val="Inhopg2"/>
            <w:tabs>
              <w:tab w:val="left" w:pos="960"/>
              <w:tab w:val="right" w:leader="dot" w:pos="9062"/>
            </w:tabs>
            <w:rPr>
              <w:rFonts w:eastAsiaTheme="minorEastAsia"/>
              <w:noProof/>
              <w:lang w:eastAsia="nl-NL"/>
            </w:rPr>
          </w:pPr>
          <w:hyperlink w:anchor="_Toc216957387" w:history="1">
            <w:r w:rsidRPr="007E7B4F">
              <w:rPr>
                <w:rStyle w:val="Hyperlink"/>
                <w:noProof/>
              </w:rPr>
              <w:t>1.1</w:t>
            </w:r>
            <w:r>
              <w:rPr>
                <w:rFonts w:eastAsiaTheme="minorEastAsia"/>
                <w:noProof/>
                <w:lang w:eastAsia="nl-NL"/>
              </w:rPr>
              <w:tab/>
            </w:r>
            <w:r w:rsidRPr="007E7B4F">
              <w:rPr>
                <w:rStyle w:val="Hyperlink"/>
                <w:noProof/>
              </w:rPr>
              <w:t>Inkopende organisatie</w:t>
            </w:r>
            <w:r>
              <w:rPr>
                <w:noProof/>
                <w:webHidden/>
              </w:rPr>
              <w:tab/>
            </w:r>
            <w:r>
              <w:rPr>
                <w:noProof/>
                <w:webHidden/>
              </w:rPr>
              <w:fldChar w:fldCharType="begin"/>
            </w:r>
            <w:r>
              <w:rPr>
                <w:noProof/>
                <w:webHidden/>
              </w:rPr>
              <w:instrText xml:space="preserve"> PAGEREF _Toc216957387 \h </w:instrText>
            </w:r>
            <w:r>
              <w:rPr>
                <w:noProof/>
                <w:webHidden/>
              </w:rPr>
            </w:r>
            <w:r>
              <w:rPr>
                <w:noProof/>
                <w:webHidden/>
              </w:rPr>
              <w:fldChar w:fldCharType="separate"/>
            </w:r>
            <w:r>
              <w:rPr>
                <w:noProof/>
                <w:webHidden/>
              </w:rPr>
              <w:t>6</w:t>
            </w:r>
            <w:r>
              <w:rPr>
                <w:noProof/>
                <w:webHidden/>
              </w:rPr>
              <w:fldChar w:fldCharType="end"/>
            </w:r>
          </w:hyperlink>
        </w:p>
        <w:p w14:paraId="35154EA5" w14:textId="44926A56" w:rsidR="00B11438" w:rsidRDefault="00B11438">
          <w:pPr>
            <w:pStyle w:val="Inhopg2"/>
            <w:tabs>
              <w:tab w:val="left" w:pos="960"/>
              <w:tab w:val="right" w:leader="dot" w:pos="9062"/>
            </w:tabs>
            <w:rPr>
              <w:rFonts w:eastAsiaTheme="minorEastAsia"/>
              <w:noProof/>
              <w:lang w:eastAsia="nl-NL"/>
            </w:rPr>
          </w:pPr>
          <w:hyperlink w:anchor="_Toc216957388" w:history="1">
            <w:r w:rsidRPr="007E7B4F">
              <w:rPr>
                <w:rStyle w:val="Hyperlink"/>
                <w:noProof/>
              </w:rPr>
              <w:t>1.2</w:t>
            </w:r>
            <w:r>
              <w:rPr>
                <w:rFonts w:eastAsiaTheme="minorEastAsia"/>
                <w:noProof/>
                <w:lang w:eastAsia="nl-NL"/>
              </w:rPr>
              <w:tab/>
            </w:r>
            <w:r w:rsidRPr="007E7B4F">
              <w:rPr>
                <w:rStyle w:val="Hyperlink"/>
                <w:noProof/>
              </w:rPr>
              <w:t>Contactpersonen en -gegevens</w:t>
            </w:r>
            <w:r>
              <w:rPr>
                <w:noProof/>
                <w:webHidden/>
              </w:rPr>
              <w:tab/>
            </w:r>
            <w:r>
              <w:rPr>
                <w:noProof/>
                <w:webHidden/>
              </w:rPr>
              <w:fldChar w:fldCharType="begin"/>
            </w:r>
            <w:r>
              <w:rPr>
                <w:noProof/>
                <w:webHidden/>
              </w:rPr>
              <w:instrText xml:space="preserve"> PAGEREF _Toc216957388 \h </w:instrText>
            </w:r>
            <w:r>
              <w:rPr>
                <w:noProof/>
                <w:webHidden/>
              </w:rPr>
            </w:r>
            <w:r>
              <w:rPr>
                <w:noProof/>
                <w:webHidden/>
              </w:rPr>
              <w:fldChar w:fldCharType="separate"/>
            </w:r>
            <w:r>
              <w:rPr>
                <w:noProof/>
                <w:webHidden/>
              </w:rPr>
              <w:t>6</w:t>
            </w:r>
            <w:r>
              <w:rPr>
                <w:noProof/>
                <w:webHidden/>
              </w:rPr>
              <w:fldChar w:fldCharType="end"/>
            </w:r>
          </w:hyperlink>
        </w:p>
        <w:p w14:paraId="0D76D4BB" w14:textId="4A80DC5F" w:rsidR="00B11438" w:rsidRDefault="00B11438">
          <w:pPr>
            <w:pStyle w:val="Inhopg2"/>
            <w:tabs>
              <w:tab w:val="left" w:pos="960"/>
              <w:tab w:val="right" w:leader="dot" w:pos="9062"/>
            </w:tabs>
            <w:rPr>
              <w:rFonts w:eastAsiaTheme="minorEastAsia"/>
              <w:noProof/>
              <w:lang w:eastAsia="nl-NL"/>
            </w:rPr>
          </w:pPr>
          <w:hyperlink w:anchor="_Toc216957389" w:history="1">
            <w:r w:rsidRPr="007E7B4F">
              <w:rPr>
                <w:rStyle w:val="Hyperlink"/>
                <w:noProof/>
              </w:rPr>
              <w:t>1.3</w:t>
            </w:r>
            <w:r>
              <w:rPr>
                <w:rFonts w:eastAsiaTheme="minorEastAsia"/>
                <w:noProof/>
                <w:lang w:eastAsia="nl-NL"/>
              </w:rPr>
              <w:tab/>
            </w:r>
            <w:r w:rsidRPr="007E7B4F">
              <w:rPr>
                <w:rStyle w:val="Hyperlink"/>
                <w:noProof/>
              </w:rPr>
              <w:t>Algemene informatie</w:t>
            </w:r>
            <w:r>
              <w:rPr>
                <w:noProof/>
                <w:webHidden/>
              </w:rPr>
              <w:tab/>
            </w:r>
            <w:r>
              <w:rPr>
                <w:noProof/>
                <w:webHidden/>
              </w:rPr>
              <w:fldChar w:fldCharType="begin"/>
            </w:r>
            <w:r>
              <w:rPr>
                <w:noProof/>
                <w:webHidden/>
              </w:rPr>
              <w:instrText xml:space="preserve"> PAGEREF _Toc216957389 \h </w:instrText>
            </w:r>
            <w:r>
              <w:rPr>
                <w:noProof/>
                <w:webHidden/>
              </w:rPr>
            </w:r>
            <w:r>
              <w:rPr>
                <w:noProof/>
                <w:webHidden/>
              </w:rPr>
              <w:fldChar w:fldCharType="separate"/>
            </w:r>
            <w:r>
              <w:rPr>
                <w:noProof/>
                <w:webHidden/>
              </w:rPr>
              <w:t>6</w:t>
            </w:r>
            <w:r>
              <w:rPr>
                <w:noProof/>
                <w:webHidden/>
              </w:rPr>
              <w:fldChar w:fldCharType="end"/>
            </w:r>
          </w:hyperlink>
        </w:p>
        <w:p w14:paraId="22CBB3AC" w14:textId="3D1EDBC4" w:rsidR="00B11438" w:rsidRDefault="00B11438">
          <w:pPr>
            <w:pStyle w:val="Inhopg1"/>
            <w:tabs>
              <w:tab w:val="left" w:pos="480"/>
              <w:tab w:val="right" w:leader="dot" w:pos="9062"/>
            </w:tabs>
            <w:rPr>
              <w:rFonts w:eastAsiaTheme="minorEastAsia"/>
              <w:noProof/>
              <w:lang w:eastAsia="nl-NL"/>
            </w:rPr>
          </w:pPr>
          <w:hyperlink w:anchor="_Toc216957390" w:history="1">
            <w:r w:rsidRPr="007E7B4F">
              <w:rPr>
                <w:rStyle w:val="Hyperlink"/>
                <w:noProof/>
              </w:rPr>
              <w:t>2.</w:t>
            </w:r>
            <w:r>
              <w:rPr>
                <w:rFonts w:eastAsiaTheme="minorEastAsia"/>
                <w:noProof/>
                <w:lang w:eastAsia="nl-NL"/>
              </w:rPr>
              <w:tab/>
            </w:r>
            <w:r w:rsidRPr="007E7B4F">
              <w:rPr>
                <w:rStyle w:val="Hyperlink"/>
                <w:noProof/>
              </w:rPr>
              <w:t>Beschrijving opdracht</w:t>
            </w:r>
            <w:r>
              <w:rPr>
                <w:noProof/>
                <w:webHidden/>
              </w:rPr>
              <w:tab/>
            </w:r>
            <w:r>
              <w:rPr>
                <w:noProof/>
                <w:webHidden/>
              </w:rPr>
              <w:fldChar w:fldCharType="begin"/>
            </w:r>
            <w:r>
              <w:rPr>
                <w:noProof/>
                <w:webHidden/>
              </w:rPr>
              <w:instrText xml:space="preserve"> PAGEREF _Toc216957390 \h </w:instrText>
            </w:r>
            <w:r>
              <w:rPr>
                <w:noProof/>
                <w:webHidden/>
              </w:rPr>
            </w:r>
            <w:r>
              <w:rPr>
                <w:noProof/>
                <w:webHidden/>
              </w:rPr>
              <w:fldChar w:fldCharType="separate"/>
            </w:r>
            <w:r>
              <w:rPr>
                <w:noProof/>
                <w:webHidden/>
              </w:rPr>
              <w:t>7</w:t>
            </w:r>
            <w:r>
              <w:rPr>
                <w:noProof/>
                <w:webHidden/>
              </w:rPr>
              <w:fldChar w:fldCharType="end"/>
            </w:r>
          </w:hyperlink>
        </w:p>
        <w:p w14:paraId="7BB887A0" w14:textId="685998F1" w:rsidR="00B11438" w:rsidRDefault="00B11438">
          <w:pPr>
            <w:pStyle w:val="Inhopg2"/>
            <w:tabs>
              <w:tab w:val="left" w:pos="960"/>
              <w:tab w:val="right" w:leader="dot" w:pos="9062"/>
            </w:tabs>
            <w:rPr>
              <w:rFonts w:eastAsiaTheme="minorEastAsia"/>
              <w:noProof/>
              <w:lang w:eastAsia="nl-NL"/>
            </w:rPr>
          </w:pPr>
          <w:hyperlink w:anchor="_Toc216957391" w:history="1">
            <w:r w:rsidRPr="007E7B4F">
              <w:rPr>
                <w:rStyle w:val="Hyperlink"/>
                <w:noProof/>
              </w:rPr>
              <w:t>2.1</w:t>
            </w:r>
            <w:r>
              <w:rPr>
                <w:rFonts w:eastAsiaTheme="minorEastAsia"/>
                <w:noProof/>
                <w:lang w:eastAsia="nl-NL"/>
              </w:rPr>
              <w:tab/>
            </w:r>
            <w:r w:rsidRPr="007E7B4F">
              <w:rPr>
                <w:rStyle w:val="Hyperlink"/>
                <w:noProof/>
              </w:rPr>
              <w:t>Uitgangspunten, doelstellingen en voorzieningen</w:t>
            </w:r>
            <w:r>
              <w:rPr>
                <w:noProof/>
                <w:webHidden/>
              </w:rPr>
              <w:tab/>
            </w:r>
            <w:r>
              <w:rPr>
                <w:noProof/>
                <w:webHidden/>
              </w:rPr>
              <w:fldChar w:fldCharType="begin"/>
            </w:r>
            <w:r>
              <w:rPr>
                <w:noProof/>
                <w:webHidden/>
              </w:rPr>
              <w:instrText xml:space="preserve"> PAGEREF _Toc216957391 \h </w:instrText>
            </w:r>
            <w:r>
              <w:rPr>
                <w:noProof/>
                <w:webHidden/>
              </w:rPr>
            </w:r>
            <w:r>
              <w:rPr>
                <w:noProof/>
                <w:webHidden/>
              </w:rPr>
              <w:fldChar w:fldCharType="separate"/>
            </w:r>
            <w:r>
              <w:rPr>
                <w:noProof/>
                <w:webHidden/>
              </w:rPr>
              <w:t>7</w:t>
            </w:r>
            <w:r>
              <w:rPr>
                <w:noProof/>
                <w:webHidden/>
              </w:rPr>
              <w:fldChar w:fldCharType="end"/>
            </w:r>
          </w:hyperlink>
        </w:p>
        <w:p w14:paraId="71380387" w14:textId="3E70065C" w:rsidR="00B11438" w:rsidRDefault="00B11438">
          <w:pPr>
            <w:pStyle w:val="Inhopg3"/>
            <w:tabs>
              <w:tab w:val="left" w:pos="1440"/>
              <w:tab w:val="right" w:leader="dot" w:pos="9062"/>
            </w:tabs>
            <w:rPr>
              <w:rFonts w:eastAsiaTheme="minorEastAsia"/>
              <w:noProof/>
              <w:lang w:eastAsia="nl-NL"/>
            </w:rPr>
          </w:pPr>
          <w:hyperlink w:anchor="_Toc216957392" w:history="1">
            <w:r w:rsidRPr="007E7B4F">
              <w:rPr>
                <w:rStyle w:val="Hyperlink"/>
                <w:noProof/>
              </w:rPr>
              <w:t>2.1.1</w:t>
            </w:r>
            <w:r>
              <w:rPr>
                <w:rFonts w:eastAsiaTheme="minorEastAsia"/>
                <w:noProof/>
                <w:lang w:eastAsia="nl-NL"/>
              </w:rPr>
              <w:tab/>
            </w:r>
            <w:r w:rsidRPr="007E7B4F">
              <w:rPr>
                <w:rStyle w:val="Hyperlink"/>
                <w:noProof/>
              </w:rPr>
              <w:t>Algemene beleidsuitgangspunten</w:t>
            </w:r>
            <w:r>
              <w:rPr>
                <w:noProof/>
                <w:webHidden/>
              </w:rPr>
              <w:tab/>
            </w:r>
            <w:r>
              <w:rPr>
                <w:noProof/>
                <w:webHidden/>
              </w:rPr>
              <w:fldChar w:fldCharType="begin"/>
            </w:r>
            <w:r>
              <w:rPr>
                <w:noProof/>
                <w:webHidden/>
              </w:rPr>
              <w:instrText xml:space="preserve"> PAGEREF _Toc216957392 \h </w:instrText>
            </w:r>
            <w:r>
              <w:rPr>
                <w:noProof/>
                <w:webHidden/>
              </w:rPr>
            </w:r>
            <w:r>
              <w:rPr>
                <w:noProof/>
                <w:webHidden/>
              </w:rPr>
              <w:fldChar w:fldCharType="separate"/>
            </w:r>
            <w:r>
              <w:rPr>
                <w:noProof/>
                <w:webHidden/>
              </w:rPr>
              <w:t>7</w:t>
            </w:r>
            <w:r>
              <w:rPr>
                <w:noProof/>
                <w:webHidden/>
              </w:rPr>
              <w:fldChar w:fldCharType="end"/>
            </w:r>
          </w:hyperlink>
        </w:p>
        <w:p w14:paraId="0CEC3C5F" w14:textId="1B89D253" w:rsidR="00B11438" w:rsidRDefault="00B11438">
          <w:pPr>
            <w:pStyle w:val="Inhopg3"/>
            <w:tabs>
              <w:tab w:val="left" w:pos="1440"/>
              <w:tab w:val="right" w:leader="dot" w:pos="9062"/>
            </w:tabs>
            <w:rPr>
              <w:rFonts w:eastAsiaTheme="minorEastAsia"/>
              <w:noProof/>
              <w:lang w:eastAsia="nl-NL"/>
            </w:rPr>
          </w:pPr>
          <w:hyperlink w:anchor="_Toc216957393" w:history="1">
            <w:r w:rsidRPr="007E7B4F">
              <w:rPr>
                <w:rStyle w:val="Hyperlink"/>
                <w:noProof/>
              </w:rPr>
              <w:t>2.1.2</w:t>
            </w:r>
            <w:r>
              <w:rPr>
                <w:rFonts w:eastAsiaTheme="minorEastAsia"/>
                <w:noProof/>
                <w:lang w:eastAsia="nl-NL"/>
              </w:rPr>
              <w:tab/>
            </w:r>
            <w:r w:rsidRPr="007E7B4F">
              <w:rPr>
                <w:rStyle w:val="Hyperlink"/>
                <w:noProof/>
              </w:rPr>
              <w:t>Norm voor Opdrachtgeverschap</w:t>
            </w:r>
            <w:r>
              <w:rPr>
                <w:noProof/>
                <w:webHidden/>
              </w:rPr>
              <w:tab/>
            </w:r>
            <w:r>
              <w:rPr>
                <w:noProof/>
                <w:webHidden/>
              </w:rPr>
              <w:fldChar w:fldCharType="begin"/>
            </w:r>
            <w:r>
              <w:rPr>
                <w:noProof/>
                <w:webHidden/>
              </w:rPr>
              <w:instrText xml:space="preserve"> PAGEREF _Toc216957393 \h </w:instrText>
            </w:r>
            <w:r>
              <w:rPr>
                <w:noProof/>
                <w:webHidden/>
              </w:rPr>
            </w:r>
            <w:r>
              <w:rPr>
                <w:noProof/>
                <w:webHidden/>
              </w:rPr>
              <w:fldChar w:fldCharType="separate"/>
            </w:r>
            <w:r>
              <w:rPr>
                <w:noProof/>
                <w:webHidden/>
              </w:rPr>
              <w:t>8</w:t>
            </w:r>
            <w:r>
              <w:rPr>
                <w:noProof/>
                <w:webHidden/>
              </w:rPr>
              <w:fldChar w:fldCharType="end"/>
            </w:r>
          </w:hyperlink>
        </w:p>
        <w:p w14:paraId="5DD4B265" w14:textId="3FE01B4F" w:rsidR="00B11438" w:rsidRDefault="00B11438">
          <w:pPr>
            <w:pStyle w:val="Inhopg3"/>
            <w:tabs>
              <w:tab w:val="left" w:pos="1440"/>
              <w:tab w:val="right" w:leader="dot" w:pos="9062"/>
            </w:tabs>
            <w:rPr>
              <w:rFonts w:eastAsiaTheme="minorEastAsia"/>
              <w:noProof/>
              <w:lang w:eastAsia="nl-NL"/>
            </w:rPr>
          </w:pPr>
          <w:hyperlink w:anchor="_Toc216957394" w:history="1">
            <w:r w:rsidRPr="007E7B4F">
              <w:rPr>
                <w:rStyle w:val="Hyperlink"/>
                <w:noProof/>
              </w:rPr>
              <w:t>2.1.3</w:t>
            </w:r>
            <w:r>
              <w:rPr>
                <w:rFonts w:eastAsiaTheme="minorEastAsia"/>
                <w:noProof/>
                <w:lang w:eastAsia="nl-NL"/>
              </w:rPr>
              <w:tab/>
            </w:r>
            <w:r w:rsidRPr="007E7B4F">
              <w:rPr>
                <w:rStyle w:val="Hyperlink"/>
                <w:noProof/>
              </w:rPr>
              <w:t>Inkoopdoelstelling(en)</w:t>
            </w:r>
            <w:r>
              <w:rPr>
                <w:noProof/>
                <w:webHidden/>
              </w:rPr>
              <w:tab/>
            </w:r>
            <w:r>
              <w:rPr>
                <w:noProof/>
                <w:webHidden/>
              </w:rPr>
              <w:fldChar w:fldCharType="begin"/>
            </w:r>
            <w:r>
              <w:rPr>
                <w:noProof/>
                <w:webHidden/>
              </w:rPr>
              <w:instrText xml:space="preserve"> PAGEREF _Toc216957394 \h </w:instrText>
            </w:r>
            <w:r>
              <w:rPr>
                <w:noProof/>
                <w:webHidden/>
              </w:rPr>
            </w:r>
            <w:r>
              <w:rPr>
                <w:noProof/>
                <w:webHidden/>
              </w:rPr>
              <w:fldChar w:fldCharType="separate"/>
            </w:r>
            <w:r>
              <w:rPr>
                <w:noProof/>
                <w:webHidden/>
              </w:rPr>
              <w:t>8</w:t>
            </w:r>
            <w:r>
              <w:rPr>
                <w:noProof/>
                <w:webHidden/>
              </w:rPr>
              <w:fldChar w:fldCharType="end"/>
            </w:r>
          </w:hyperlink>
        </w:p>
        <w:p w14:paraId="43CCBB23" w14:textId="5E8212C4" w:rsidR="00B11438" w:rsidRDefault="00B11438">
          <w:pPr>
            <w:pStyle w:val="Inhopg3"/>
            <w:tabs>
              <w:tab w:val="left" w:pos="1440"/>
              <w:tab w:val="right" w:leader="dot" w:pos="9062"/>
            </w:tabs>
            <w:rPr>
              <w:rFonts w:eastAsiaTheme="minorEastAsia"/>
              <w:noProof/>
              <w:lang w:eastAsia="nl-NL"/>
            </w:rPr>
          </w:pPr>
          <w:hyperlink w:anchor="_Toc216957395" w:history="1">
            <w:r w:rsidRPr="007E7B4F">
              <w:rPr>
                <w:rStyle w:val="Hyperlink"/>
                <w:noProof/>
              </w:rPr>
              <w:t>2.1.4</w:t>
            </w:r>
            <w:r>
              <w:rPr>
                <w:rFonts w:eastAsiaTheme="minorEastAsia"/>
                <w:noProof/>
                <w:lang w:eastAsia="nl-NL"/>
              </w:rPr>
              <w:tab/>
            </w:r>
            <w:r w:rsidRPr="007E7B4F">
              <w:rPr>
                <w:rStyle w:val="Hyperlink"/>
                <w:noProof/>
              </w:rPr>
              <w:t>Omschrijving en afbakening in te kopen voorzieningen</w:t>
            </w:r>
            <w:r>
              <w:rPr>
                <w:noProof/>
                <w:webHidden/>
              </w:rPr>
              <w:tab/>
            </w:r>
            <w:r>
              <w:rPr>
                <w:noProof/>
                <w:webHidden/>
              </w:rPr>
              <w:fldChar w:fldCharType="begin"/>
            </w:r>
            <w:r>
              <w:rPr>
                <w:noProof/>
                <w:webHidden/>
              </w:rPr>
              <w:instrText xml:space="preserve"> PAGEREF _Toc216957395 \h </w:instrText>
            </w:r>
            <w:r>
              <w:rPr>
                <w:noProof/>
                <w:webHidden/>
              </w:rPr>
            </w:r>
            <w:r>
              <w:rPr>
                <w:noProof/>
                <w:webHidden/>
              </w:rPr>
              <w:fldChar w:fldCharType="separate"/>
            </w:r>
            <w:r>
              <w:rPr>
                <w:noProof/>
                <w:webHidden/>
              </w:rPr>
              <w:t>9</w:t>
            </w:r>
            <w:r>
              <w:rPr>
                <w:noProof/>
                <w:webHidden/>
              </w:rPr>
              <w:fldChar w:fldCharType="end"/>
            </w:r>
          </w:hyperlink>
        </w:p>
        <w:p w14:paraId="2033FD84" w14:textId="6B1C6270" w:rsidR="00B11438" w:rsidRDefault="00B11438">
          <w:pPr>
            <w:pStyle w:val="Inhopg2"/>
            <w:tabs>
              <w:tab w:val="left" w:pos="960"/>
              <w:tab w:val="right" w:leader="dot" w:pos="9062"/>
            </w:tabs>
            <w:rPr>
              <w:rFonts w:eastAsiaTheme="minorEastAsia"/>
              <w:noProof/>
              <w:lang w:eastAsia="nl-NL"/>
            </w:rPr>
          </w:pPr>
          <w:hyperlink w:anchor="_Toc216957396" w:history="1">
            <w:r w:rsidRPr="007E7B4F">
              <w:rPr>
                <w:rStyle w:val="Hyperlink"/>
                <w:noProof/>
              </w:rPr>
              <w:t>2.2</w:t>
            </w:r>
            <w:r>
              <w:rPr>
                <w:rFonts w:eastAsiaTheme="minorEastAsia"/>
                <w:noProof/>
                <w:lang w:eastAsia="nl-NL"/>
              </w:rPr>
              <w:tab/>
            </w:r>
            <w:r w:rsidRPr="007E7B4F">
              <w:rPr>
                <w:rStyle w:val="Hyperlink"/>
                <w:noProof/>
              </w:rPr>
              <w:t>Toeleiding van cliënten naar voorzieningen</w:t>
            </w:r>
            <w:r>
              <w:rPr>
                <w:noProof/>
                <w:webHidden/>
              </w:rPr>
              <w:tab/>
            </w:r>
            <w:r>
              <w:rPr>
                <w:noProof/>
                <w:webHidden/>
              </w:rPr>
              <w:fldChar w:fldCharType="begin"/>
            </w:r>
            <w:r>
              <w:rPr>
                <w:noProof/>
                <w:webHidden/>
              </w:rPr>
              <w:instrText xml:space="preserve"> PAGEREF _Toc216957396 \h </w:instrText>
            </w:r>
            <w:r>
              <w:rPr>
                <w:noProof/>
                <w:webHidden/>
              </w:rPr>
            </w:r>
            <w:r>
              <w:rPr>
                <w:noProof/>
                <w:webHidden/>
              </w:rPr>
              <w:fldChar w:fldCharType="separate"/>
            </w:r>
            <w:r>
              <w:rPr>
                <w:noProof/>
                <w:webHidden/>
              </w:rPr>
              <w:t>9</w:t>
            </w:r>
            <w:r>
              <w:rPr>
                <w:noProof/>
                <w:webHidden/>
              </w:rPr>
              <w:fldChar w:fldCharType="end"/>
            </w:r>
          </w:hyperlink>
        </w:p>
        <w:p w14:paraId="05917597" w14:textId="0803C83D" w:rsidR="00B11438" w:rsidRDefault="00B11438">
          <w:pPr>
            <w:pStyle w:val="Inhopg2"/>
            <w:tabs>
              <w:tab w:val="left" w:pos="960"/>
              <w:tab w:val="right" w:leader="dot" w:pos="9062"/>
            </w:tabs>
            <w:rPr>
              <w:rFonts w:eastAsiaTheme="minorEastAsia"/>
              <w:noProof/>
              <w:lang w:eastAsia="nl-NL"/>
            </w:rPr>
          </w:pPr>
          <w:hyperlink w:anchor="_Toc216957397" w:history="1">
            <w:r w:rsidRPr="007E7B4F">
              <w:rPr>
                <w:rStyle w:val="Hyperlink"/>
                <w:noProof/>
              </w:rPr>
              <w:t>2.3</w:t>
            </w:r>
            <w:r>
              <w:rPr>
                <w:rFonts w:eastAsiaTheme="minorEastAsia"/>
                <w:noProof/>
                <w:lang w:eastAsia="nl-NL"/>
              </w:rPr>
              <w:tab/>
            </w:r>
            <w:r w:rsidRPr="007E7B4F">
              <w:rPr>
                <w:rStyle w:val="Hyperlink"/>
                <w:noProof/>
              </w:rPr>
              <w:t>Monitoring, sturing, toezicht en leren</w:t>
            </w:r>
            <w:r>
              <w:rPr>
                <w:noProof/>
                <w:webHidden/>
              </w:rPr>
              <w:tab/>
            </w:r>
            <w:r>
              <w:rPr>
                <w:noProof/>
                <w:webHidden/>
              </w:rPr>
              <w:fldChar w:fldCharType="begin"/>
            </w:r>
            <w:r>
              <w:rPr>
                <w:noProof/>
                <w:webHidden/>
              </w:rPr>
              <w:instrText xml:space="preserve"> PAGEREF _Toc216957397 \h </w:instrText>
            </w:r>
            <w:r>
              <w:rPr>
                <w:noProof/>
                <w:webHidden/>
              </w:rPr>
            </w:r>
            <w:r>
              <w:rPr>
                <w:noProof/>
                <w:webHidden/>
              </w:rPr>
              <w:fldChar w:fldCharType="separate"/>
            </w:r>
            <w:r>
              <w:rPr>
                <w:noProof/>
                <w:webHidden/>
              </w:rPr>
              <w:t>9</w:t>
            </w:r>
            <w:r>
              <w:rPr>
                <w:noProof/>
                <w:webHidden/>
              </w:rPr>
              <w:fldChar w:fldCharType="end"/>
            </w:r>
          </w:hyperlink>
        </w:p>
        <w:p w14:paraId="3858E405" w14:textId="00086616" w:rsidR="00B11438" w:rsidRDefault="00B11438">
          <w:pPr>
            <w:pStyle w:val="Inhopg2"/>
            <w:tabs>
              <w:tab w:val="left" w:pos="960"/>
              <w:tab w:val="right" w:leader="dot" w:pos="9062"/>
            </w:tabs>
            <w:rPr>
              <w:rFonts w:eastAsiaTheme="minorEastAsia"/>
              <w:noProof/>
              <w:lang w:eastAsia="nl-NL"/>
            </w:rPr>
          </w:pPr>
          <w:hyperlink w:anchor="_Toc216957398" w:history="1">
            <w:r w:rsidRPr="007E7B4F">
              <w:rPr>
                <w:rStyle w:val="Hyperlink"/>
                <w:noProof/>
              </w:rPr>
              <w:t>2.4</w:t>
            </w:r>
            <w:r>
              <w:rPr>
                <w:rFonts w:eastAsiaTheme="minorEastAsia"/>
                <w:noProof/>
                <w:lang w:eastAsia="nl-NL"/>
              </w:rPr>
              <w:tab/>
            </w:r>
            <w:r w:rsidRPr="007E7B4F">
              <w:rPr>
                <w:rStyle w:val="Hyperlink"/>
                <w:noProof/>
              </w:rPr>
              <w:t>Bekostiging</w:t>
            </w:r>
            <w:r>
              <w:rPr>
                <w:noProof/>
                <w:webHidden/>
              </w:rPr>
              <w:tab/>
            </w:r>
            <w:r>
              <w:rPr>
                <w:noProof/>
                <w:webHidden/>
              </w:rPr>
              <w:fldChar w:fldCharType="begin"/>
            </w:r>
            <w:r>
              <w:rPr>
                <w:noProof/>
                <w:webHidden/>
              </w:rPr>
              <w:instrText xml:space="preserve"> PAGEREF _Toc216957398 \h </w:instrText>
            </w:r>
            <w:r>
              <w:rPr>
                <w:noProof/>
                <w:webHidden/>
              </w:rPr>
            </w:r>
            <w:r>
              <w:rPr>
                <w:noProof/>
                <w:webHidden/>
              </w:rPr>
              <w:fldChar w:fldCharType="separate"/>
            </w:r>
            <w:r>
              <w:rPr>
                <w:noProof/>
                <w:webHidden/>
              </w:rPr>
              <w:t>10</w:t>
            </w:r>
            <w:r>
              <w:rPr>
                <w:noProof/>
                <w:webHidden/>
              </w:rPr>
              <w:fldChar w:fldCharType="end"/>
            </w:r>
          </w:hyperlink>
        </w:p>
        <w:p w14:paraId="45305634" w14:textId="23106D62" w:rsidR="00B11438" w:rsidRDefault="00B11438">
          <w:pPr>
            <w:pStyle w:val="Inhopg3"/>
            <w:tabs>
              <w:tab w:val="left" w:pos="1440"/>
              <w:tab w:val="right" w:leader="dot" w:pos="9062"/>
            </w:tabs>
            <w:rPr>
              <w:rFonts w:eastAsiaTheme="minorEastAsia"/>
              <w:noProof/>
              <w:lang w:eastAsia="nl-NL"/>
            </w:rPr>
          </w:pPr>
          <w:hyperlink w:anchor="_Toc216957399" w:history="1">
            <w:r w:rsidRPr="007E7B4F">
              <w:rPr>
                <w:rStyle w:val="Hyperlink"/>
                <w:noProof/>
              </w:rPr>
              <w:t>2.4.1</w:t>
            </w:r>
            <w:r>
              <w:rPr>
                <w:rFonts w:eastAsiaTheme="minorEastAsia"/>
                <w:noProof/>
                <w:lang w:eastAsia="nl-NL"/>
              </w:rPr>
              <w:tab/>
            </w:r>
            <w:r w:rsidRPr="007E7B4F">
              <w:rPr>
                <w:rStyle w:val="Hyperlink"/>
                <w:noProof/>
              </w:rPr>
              <w:t>Uitvoeringsvariant</w:t>
            </w:r>
            <w:r>
              <w:rPr>
                <w:noProof/>
                <w:webHidden/>
              </w:rPr>
              <w:tab/>
            </w:r>
            <w:r>
              <w:rPr>
                <w:noProof/>
                <w:webHidden/>
              </w:rPr>
              <w:fldChar w:fldCharType="begin"/>
            </w:r>
            <w:r>
              <w:rPr>
                <w:noProof/>
                <w:webHidden/>
              </w:rPr>
              <w:instrText xml:space="preserve"> PAGEREF _Toc216957399 \h </w:instrText>
            </w:r>
            <w:r>
              <w:rPr>
                <w:noProof/>
                <w:webHidden/>
              </w:rPr>
            </w:r>
            <w:r>
              <w:rPr>
                <w:noProof/>
                <w:webHidden/>
              </w:rPr>
              <w:fldChar w:fldCharType="separate"/>
            </w:r>
            <w:r>
              <w:rPr>
                <w:noProof/>
                <w:webHidden/>
              </w:rPr>
              <w:t>10</w:t>
            </w:r>
            <w:r>
              <w:rPr>
                <w:noProof/>
                <w:webHidden/>
              </w:rPr>
              <w:fldChar w:fldCharType="end"/>
            </w:r>
          </w:hyperlink>
        </w:p>
        <w:p w14:paraId="6A67E02E" w14:textId="01862C42" w:rsidR="00B11438" w:rsidRDefault="00B11438">
          <w:pPr>
            <w:pStyle w:val="Inhopg3"/>
            <w:tabs>
              <w:tab w:val="left" w:pos="1440"/>
              <w:tab w:val="right" w:leader="dot" w:pos="9062"/>
            </w:tabs>
            <w:rPr>
              <w:rFonts w:eastAsiaTheme="minorEastAsia"/>
              <w:noProof/>
              <w:lang w:eastAsia="nl-NL"/>
            </w:rPr>
          </w:pPr>
          <w:hyperlink w:anchor="_Toc216957400" w:history="1">
            <w:r w:rsidRPr="007E7B4F">
              <w:rPr>
                <w:rStyle w:val="Hyperlink"/>
                <w:noProof/>
              </w:rPr>
              <w:t>2.4.2</w:t>
            </w:r>
            <w:r>
              <w:rPr>
                <w:rFonts w:eastAsiaTheme="minorEastAsia"/>
                <w:noProof/>
                <w:lang w:eastAsia="nl-NL"/>
              </w:rPr>
              <w:tab/>
            </w:r>
            <w:r w:rsidRPr="007E7B4F">
              <w:rPr>
                <w:rStyle w:val="Hyperlink"/>
                <w:noProof/>
              </w:rPr>
              <w:t>Berekening tarieven</w:t>
            </w:r>
            <w:r>
              <w:rPr>
                <w:noProof/>
                <w:webHidden/>
              </w:rPr>
              <w:tab/>
            </w:r>
            <w:r>
              <w:rPr>
                <w:noProof/>
                <w:webHidden/>
              </w:rPr>
              <w:fldChar w:fldCharType="begin"/>
            </w:r>
            <w:r>
              <w:rPr>
                <w:noProof/>
                <w:webHidden/>
              </w:rPr>
              <w:instrText xml:space="preserve"> PAGEREF _Toc216957400 \h </w:instrText>
            </w:r>
            <w:r>
              <w:rPr>
                <w:noProof/>
                <w:webHidden/>
              </w:rPr>
            </w:r>
            <w:r>
              <w:rPr>
                <w:noProof/>
                <w:webHidden/>
              </w:rPr>
              <w:fldChar w:fldCharType="separate"/>
            </w:r>
            <w:r>
              <w:rPr>
                <w:noProof/>
                <w:webHidden/>
              </w:rPr>
              <w:t>10</w:t>
            </w:r>
            <w:r>
              <w:rPr>
                <w:noProof/>
                <w:webHidden/>
              </w:rPr>
              <w:fldChar w:fldCharType="end"/>
            </w:r>
          </w:hyperlink>
        </w:p>
        <w:p w14:paraId="2E103601" w14:textId="62523226" w:rsidR="00B11438" w:rsidRDefault="00B11438">
          <w:pPr>
            <w:pStyle w:val="Inhopg3"/>
            <w:tabs>
              <w:tab w:val="left" w:pos="1440"/>
              <w:tab w:val="right" w:leader="dot" w:pos="9062"/>
            </w:tabs>
            <w:rPr>
              <w:rFonts w:eastAsiaTheme="minorEastAsia"/>
              <w:noProof/>
              <w:lang w:eastAsia="nl-NL"/>
            </w:rPr>
          </w:pPr>
          <w:hyperlink w:anchor="_Toc216957401" w:history="1">
            <w:r w:rsidRPr="007E7B4F">
              <w:rPr>
                <w:rStyle w:val="Hyperlink"/>
                <w:noProof/>
              </w:rPr>
              <w:t>2.4.3</w:t>
            </w:r>
            <w:r>
              <w:rPr>
                <w:rFonts w:eastAsiaTheme="minorEastAsia"/>
                <w:noProof/>
                <w:lang w:eastAsia="nl-NL"/>
              </w:rPr>
              <w:tab/>
            </w:r>
            <w:r w:rsidRPr="007E7B4F">
              <w:rPr>
                <w:rStyle w:val="Hyperlink"/>
                <w:noProof/>
              </w:rPr>
              <w:t>Declaratie</w:t>
            </w:r>
            <w:r>
              <w:rPr>
                <w:noProof/>
                <w:webHidden/>
              </w:rPr>
              <w:tab/>
            </w:r>
            <w:r>
              <w:rPr>
                <w:noProof/>
                <w:webHidden/>
              </w:rPr>
              <w:fldChar w:fldCharType="begin"/>
            </w:r>
            <w:r>
              <w:rPr>
                <w:noProof/>
                <w:webHidden/>
              </w:rPr>
              <w:instrText xml:space="preserve"> PAGEREF _Toc216957401 \h </w:instrText>
            </w:r>
            <w:r>
              <w:rPr>
                <w:noProof/>
                <w:webHidden/>
              </w:rPr>
            </w:r>
            <w:r>
              <w:rPr>
                <w:noProof/>
                <w:webHidden/>
              </w:rPr>
              <w:fldChar w:fldCharType="separate"/>
            </w:r>
            <w:r>
              <w:rPr>
                <w:noProof/>
                <w:webHidden/>
              </w:rPr>
              <w:t>10</w:t>
            </w:r>
            <w:r>
              <w:rPr>
                <w:noProof/>
                <w:webHidden/>
              </w:rPr>
              <w:fldChar w:fldCharType="end"/>
            </w:r>
          </w:hyperlink>
        </w:p>
        <w:p w14:paraId="3EF4906A" w14:textId="617CF68F" w:rsidR="00B11438" w:rsidRDefault="00B11438">
          <w:pPr>
            <w:pStyle w:val="Inhopg2"/>
            <w:tabs>
              <w:tab w:val="left" w:pos="960"/>
              <w:tab w:val="right" w:leader="dot" w:pos="9062"/>
            </w:tabs>
            <w:rPr>
              <w:rFonts w:eastAsiaTheme="minorEastAsia"/>
              <w:noProof/>
              <w:lang w:eastAsia="nl-NL"/>
            </w:rPr>
          </w:pPr>
          <w:hyperlink w:anchor="_Toc216957402" w:history="1">
            <w:r w:rsidRPr="007E7B4F">
              <w:rPr>
                <w:rStyle w:val="Hyperlink"/>
                <w:noProof/>
              </w:rPr>
              <w:t>2.5</w:t>
            </w:r>
            <w:r>
              <w:rPr>
                <w:rFonts w:eastAsiaTheme="minorEastAsia"/>
                <w:noProof/>
                <w:lang w:eastAsia="nl-NL"/>
              </w:rPr>
              <w:tab/>
            </w:r>
            <w:r w:rsidRPr="007E7B4F">
              <w:rPr>
                <w:rStyle w:val="Hyperlink"/>
                <w:noProof/>
              </w:rPr>
              <w:t>Overeenkomst en algemene voorwaarden</w:t>
            </w:r>
            <w:r>
              <w:rPr>
                <w:noProof/>
                <w:webHidden/>
              </w:rPr>
              <w:tab/>
            </w:r>
            <w:r>
              <w:rPr>
                <w:noProof/>
                <w:webHidden/>
              </w:rPr>
              <w:fldChar w:fldCharType="begin"/>
            </w:r>
            <w:r>
              <w:rPr>
                <w:noProof/>
                <w:webHidden/>
              </w:rPr>
              <w:instrText xml:space="preserve"> PAGEREF _Toc216957402 \h </w:instrText>
            </w:r>
            <w:r>
              <w:rPr>
                <w:noProof/>
                <w:webHidden/>
              </w:rPr>
            </w:r>
            <w:r>
              <w:rPr>
                <w:noProof/>
                <w:webHidden/>
              </w:rPr>
              <w:fldChar w:fldCharType="separate"/>
            </w:r>
            <w:r>
              <w:rPr>
                <w:noProof/>
                <w:webHidden/>
              </w:rPr>
              <w:t>11</w:t>
            </w:r>
            <w:r>
              <w:rPr>
                <w:noProof/>
                <w:webHidden/>
              </w:rPr>
              <w:fldChar w:fldCharType="end"/>
            </w:r>
          </w:hyperlink>
        </w:p>
        <w:p w14:paraId="47551A5C" w14:textId="69140C4E" w:rsidR="00B11438" w:rsidRDefault="00B11438">
          <w:pPr>
            <w:pStyle w:val="Inhopg3"/>
            <w:tabs>
              <w:tab w:val="left" w:pos="1440"/>
              <w:tab w:val="right" w:leader="dot" w:pos="9062"/>
            </w:tabs>
            <w:rPr>
              <w:rFonts w:eastAsiaTheme="minorEastAsia"/>
              <w:noProof/>
              <w:lang w:eastAsia="nl-NL"/>
            </w:rPr>
          </w:pPr>
          <w:hyperlink w:anchor="_Toc216957403" w:history="1">
            <w:r w:rsidRPr="007E7B4F">
              <w:rPr>
                <w:rStyle w:val="Hyperlink"/>
                <w:noProof/>
              </w:rPr>
              <w:t>2.5.1</w:t>
            </w:r>
            <w:r>
              <w:rPr>
                <w:rFonts w:eastAsiaTheme="minorEastAsia"/>
                <w:noProof/>
                <w:lang w:eastAsia="nl-NL"/>
              </w:rPr>
              <w:tab/>
            </w:r>
            <w:r w:rsidRPr="007E7B4F">
              <w:rPr>
                <w:rStyle w:val="Hyperlink"/>
                <w:noProof/>
              </w:rPr>
              <w:t>Type overeenkomst</w:t>
            </w:r>
            <w:r>
              <w:rPr>
                <w:noProof/>
                <w:webHidden/>
              </w:rPr>
              <w:tab/>
            </w:r>
            <w:r>
              <w:rPr>
                <w:noProof/>
                <w:webHidden/>
              </w:rPr>
              <w:fldChar w:fldCharType="begin"/>
            </w:r>
            <w:r>
              <w:rPr>
                <w:noProof/>
                <w:webHidden/>
              </w:rPr>
              <w:instrText xml:space="preserve"> PAGEREF _Toc216957403 \h </w:instrText>
            </w:r>
            <w:r>
              <w:rPr>
                <w:noProof/>
                <w:webHidden/>
              </w:rPr>
            </w:r>
            <w:r>
              <w:rPr>
                <w:noProof/>
                <w:webHidden/>
              </w:rPr>
              <w:fldChar w:fldCharType="separate"/>
            </w:r>
            <w:r>
              <w:rPr>
                <w:noProof/>
                <w:webHidden/>
              </w:rPr>
              <w:t>11</w:t>
            </w:r>
            <w:r>
              <w:rPr>
                <w:noProof/>
                <w:webHidden/>
              </w:rPr>
              <w:fldChar w:fldCharType="end"/>
            </w:r>
          </w:hyperlink>
        </w:p>
        <w:p w14:paraId="26E10BD2" w14:textId="5B240639" w:rsidR="00B11438" w:rsidRDefault="00B11438">
          <w:pPr>
            <w:pStyle w:val="Inhopg3"/>
            <w:tabs>
              <w:tab w:val="left" w:pos="1440"/>
              <w:tab w:val="right" w:leader="dot" w:pos="9062"/>
            </w:tabs>
            <w:rPr>
              <w:rFonts w:eastAsiaTheme="minorEastAsia"/>
              <w:noProof/>
              <w:lang w:eastAsia="nl-NL"/>
            </w:rPr>
          </w:pPr>
          <w:hyperlink w:anchor="_Toc216957404" w:history="1">
            <w:r w:rsidRPr="007E7B4F">
              <w:rPr>
                <w:rStyle w:val="Hyperlink"/>
                <w:noProof/>
              </w:rPr>
              <w:t>2.5.2</w:t>
            </w:r>
            <w:r>
              <w:rPr>
                <w:rFonts w:eastAsiaTheme="minorEastAsia"/>
                <w:noProof/>
                <w:lang w:eastAsia="nl-NL"/>
              </w:rPr>
              <w:tab/>
            </w:r>
            <w:r w:rsidRPr="007E7B4F">
              <w:rPr>
                <w:rStyle w:val="Hyperlink"/>
                <w:noProof/>
              </w:rPr>
              <w:t>Algemene voorwaarden</w:t>
            </w:r>
            <w:r>
              <w:rPr>
                <w:noProof/>
                <w:webHidden/>
              </w:rPr>
              <w:tab/>
            </w:r>
            <w:r>
              <w:rPr>
                <w:noProof/>
                <w:webHidden/>
              </w:rPr>
              <w:fldChar w:fldCharType="begin"/>
            </w:r>
            <w:r>
              <w:rPr>
                <w:noProof/>
                <w:webHidden/>
              </w:rPr>
              <w:instrText xml:space="preserve"> PAGEREF _Toc216957404 \h </w:instrText>
            </w:r>
            <w:r>
              <w:rPr>
                <w:noProof/>
                <w:webHidden/>
              </w:rPr>
            </w:r>
            <w:r>
              <w:rPr>
                <w:noProof/>
                <w:webHidden/>
              </w:rPr>
              <w:fldChar w:fldCharType="separate"/>
            </w:r>
            <w:r>
              <w:rPr>
                <w:noProof/>
                <w:webHidden/>
              </w:rPr>
              <w:t>12</w:t>
            </w:r>
            <w:r>
              <w:rPr>
                <w:noProof/>
                <w:webHidden/>
              </w:rPr>
              <w:fldChar w:fldCharType="end"/>
            </w:r>
          </w:hyperlink>
        </w:p>
        <w:p w14:paraId="228F4D4F" w14:textId="41BD87CA" w:rsidR="00B11438" w:rsidRDefault="00B11438">
          <w:pPr>
            <w:pStyle w:val="Inhopg3"/>
            <w:tabs>
              <w:tab w:val="left" w:pos="1440"/>
              <w:tab w:val="right" w:leader="dot" w:pos="9062"/>
            </w:tabs>
            <w:rPr>
              <w:rFonts w:eastAsiaTheme="minorEastAsia"/>
              <w:noProof/>
              <w:lang w:eastAsia="nl-NL"/>
            </w:rPr>
          </w:pPr>
          <w:hyperlink w:anchor="_Toc216957405" w:history="1">
            <w:r w:rsidRPr="007E7B4F">
              <w:rPr>
                <w:rStyle w:val="Hyperlink"/>
                <w:noProof/>
              </w:rPr>
              <w:t>2.5.3</w:t>
            </w:r>
            <w:r>
              <w:rPr>
                <w:rFonts w:eastAsiaTheme="minorEastAsia"/>
                <w:noProof/>
                <w:lang w:eastAsia="nl-NL"/>
              </w:rPr>
              <w:tab/>
            </w:r>
            <w:r w:rsidRPr="007E7B4F">
              <w:rPr>
                <w:rStyle w:val="Hyperlink"/>
                <w:noProof/>
              </w:rPr>
              <w:t>Looptijd</w:t>
            </w:r>
            <w:r>
              <w:rPr>
                <w:noProof/>
                <w:webHidden/>
              </w:rPr>
              <w:tab/>
            </w:r>
            <w:r>
              <w:rPr>
                <w:noProof/>
                <w:webHidden/>
              </w:rPr>
              <w:fldChar w:fldCharType="begin"/>
            </w:r>
            <w:r>
              <w:rPr>
                <w:noProof/>
                <w:webHidden/>
              </w:rPr>
              <w:instrText xml:space="preserve"> PAGEREF _Toc216957405 \h </w:instrText>
            </w:r>
            <w:r>
              <w:rPr>
                <w:noProof/>
                <w:webHidden/>
              </w:rPr>
            </w:r>
            <w:r>
              <w:rPr>
                <w:noProof/>
                <w:webHidden/>
              </w:rPr>
              <w:fldChar w:fldCharType="separate"/>
            </w:r>
            <w:r>
              <w:rPr>
                <w:noProof/>
                <w:webHidden/>
              </w:rPr>
              <w:t>12</w:t>
            </w:r>
            <w:r>
              <w:rPr>
                <w:noProof/>
                <w:webHidden/>
              </w:rPr>
              <w:fldChar w:fldCharType="end"/>
            </w:r>
          </w:hyperlink>
        </w:p>
        <w:p w14:paraId="6E959741" w14:textId="22582F74" w:rsidR="00B11438" w:rsidRDefault="00B11438">
          <w:pPr>
            <w:pStyle w:val="Inhopg1"/>
            <w:tabs>
              <w:tab w:val="left" w:pos="480"/>
              <w:tab w:val="right" w:leader="dot" w:pos="9062"/>
            </w:tabs>
            <w:rPr>
              <w:rFonts w:eastAsiaTheme="minorEastAsia"/>
              <w:noProof/>
              <w:lang w:eastAsia="nl-NL"/>
            </w:rPr>
          </w:pPr>
          <w:hyperlink w:anchor="_Toc216957406" w:history="1">
            <w:r w:rsidRPr="007E7B4F">
              <w:rPr>
                <w:rStyle w:val="Hyperlink"/>
                <w:noProof/>
              </w:rPr>
              <w:t>3.</w:t>
            </w:r>
            <w:r>
              <w:rPr>
                <w:rFonts w:eastAsiaTheme="minorEastAsia"/>
                <w:noProof/>
                <w:lang w:eastAsia="nl-NL"/>
              </w:rPr>
              <w:tab/>
            </w:r>
            <w:r w:rsidRPr="007E7B4F">
              <w:rPr>
                <w:rStyle w:val="Hyperlink"/>
                <w:noProof/>
              </w:rPr>
              <w:t>Voorwaarden inkoopprocedure</w:t>
            </w:r>
            <w:r>
              <w:rPr>
                <w:noProof/>
                <w:webHidden/>
              </w:rPr>
              <w:tab/>
            </w:r>
            <w:r>
              <w:rPr>
                <w:noProof/>
                <w:webHidden/>
              </w:rPr>
              <w:fldChar w:fldCharType="begin"/>
            </w:r>
            <w:r>
              <w:rPr>
                <w:noProof/>
                <w:webHidden/>
              </w:rPr>
              <w:instrText xml:space="preserve"> PAGEREF _Toc216957406 \h </w:instrText>
            </w:r>
            <w:r>
              <w:rPr>
                <w:noProof/>
                <w:webHidden/>
              </w:rPr>
            </w:r>
            <w:r>
              <w:rPr>
                <w:noProof/>
                <w:webHidden/>
              </w:rPr>
              <w:fldChar w:fldCharType="separate"/>
            </w:r>
            <w:r>
              <w:rPr>
                <w:noProof/>
                <w:webHidden/>
              </w:rPr>
              <w:t>14</w:t>
            </w:r>
            <w:r>
              <w:rPr>
                <w:noProof/>
                <w:webHidden/>
              </w:rPr>
              <w:fldChar w:fldCharType="end"/>
            </w:r>
          </w:hyperlink>
        </w:p>
        <w:p w14:paraId="7BD8845B" w14:textId="10173BF4" w:rsidR="00B11438" w:rsidRDefault="00B11438">
          <w:pPr>
            <w:pStyle w:val="Inhopg2"/>
            <w:tabs>
              <w:tab w:val="left" w:pos="960"/>
              <w:tab w:val="right" w:leader="dot" w:pos="9062"/>
            </w:tabs>
            <w:rPr>
              <w:rFonts w:eastAsiaTheme="minorEastAsia"/>
              <w:noProof/>
              <w:lang w:eastAsia="nl-NL"/>
            </w:rPr>
          </w:pPr>
          <w:hyperlink w:anchor="_Toc216957407" w:history="1">
            <w:r w:rsidRPr="007E7B4F">
              <w:rPr>
                <w:rStyle w:val="Hyperlink"/>
                <w:noProof/>
              </w:rPr>
              <w:t>3.1</w:t>
            </w:r>
            <w:r>
              <w:rPr>
                <w:rFonts w:eastAsiaTheme="minorEastAsia"/>
                <w:noProof/>
                <w:lang w:eastAsia="nl-NL"/>
              </w:rPr>
              <w:tab/>
            </w:r>
            <w:r w:rsidRPr="007E7B4F">
              <w:rPr>
                <w:rStyle w:val="Hyperlink"/>
                <w:noProof/>
              </w:rPr>
              <w:t>Inleiding</w:t>
            </w:r>
            <w:r>
              <w:rPr>
                <w:noProof/>
                <w:webHidden/>
              </w:rPr>
              <w:tab/>
            </w:r>
            <w:r>
              <w:rPr>
                <w:noProof/>
                <w:webHidden/>
              </w:rPr>
              <w:fldChar w:fldCharType="begin"/>
            </w:r>
            <w:r>
              <w:rPr>
                <w:noProof/>
                <w:webHidden/>
              </w:rPr>
              <w:instrText xml:space="preserve"> PAGEREF _Toc216957407 \h </w:instrText>
            </w:r>
            <w:r>
              <w:rPr>
                <w:noProof/>
                <w:webHidden/>
              </w:rPr>
            </w:r>
            <w:r>
              <w:rPr>
                <w:noProof/>
                <w:webHidden/>
              </w:rPr>
              <w:fldChar w:fldCharType="separate"/>
            </w:r>
            <w:r>
              <w:rPr>
                <w:noProof/>
                <w:webHidden/>
              </w:rPr>
              <w:t>14</w:t>
            </w:r>
            <w:r>
              <w:rPr>
                <w:noProof/>
                <w:webHidden/>
              </w:rPr>
              <w:fldChar w:fldCharType="end"/>
            </w:r>
          </w:hyperlink>
        </w:p>
        <w:p w14:paraId="3C5A9F0E" w14:textId="186B6820" w:rsidR="00B11438" w:rsidRDefault="00B11438">
          <w:pPr>
            <w:pStyle w:val="Inhopg2"/>
            <w:tabs>
              <w:tab w:val="left" w:pos="960"/>
              <w:tab w:val="right" w:leader="dot" w:pos="9062"/>
            </w:tabs>
            <w:rPr>
              <w:rFonts w:eastAsiaTheme="minorEastAsia"/>
              <w:noProof/>
              <w:lang w:eastAsia="nl-NL"/>
            </w:rPr>
          </w:pPr>
          <w:hyperlink w:anchor="_Toc216957408" w:history="1">
            <w:r w:rsidRPr="007E7B4F">
              <w:rPr>
                <w:rStyle w:val="Hyperlink"/>
                <w:noProof/>
              </w:rPr>
              <w:t>3.2</w:t>
            </w:r>
            <w:r>
              <w:rPr>
                <w:rFonts w:eastAsiaTheme="minorEastAsia"/>
                <w:noProof/>
                <w:lang w:eastAsia="nl-NL"/>
              </w:rPr>
              <w:tab/>
            </w:r>
            <w:r w:rsidRPr="007E7B4F">
              <w:rPr>
                <w:rStyle w:val="Hyperlink"/>
                <w:noProof/>
              </w:rPr>
              <w:t>Algemeen</w:t>
            </w:r>
            <w:r>
              <w:rPr>
                <w:noProof/>
                <w:webHidden/>
              </w:rPr>
              <w:tab/>
            </w:r>
            <w:r>
              <w:rPr>
                <w:noProof/>
                <w:webHidden/>
              </w:rPr>
              <w:fldChar w:fldCharType="begin"/>
            </w:r>
            <w:r>
              <w:rPr>
                <w:noProof/>
                <w:webHidden/>
              </w:rPr>
              <w:instrText xml:space="preserve"> PAGEREF _Toc216957408 \h </w:instrText>
            </w:r>
            <w:r>
              <w:rPr>
                <w:noProof/>
                <w:webHidden/>
              </w:rPr>
            </w:r>
            <w:r>
              <w:rPr>
                <w:noProof/>
                <w:webHidden/>
              </w:rPr>
              <w:fldChar w:fldCharType="separate"/>
            </w:r>
            <w:r>
              <w:rPr>
                <w:noProof/>
                <w:webHidden/>
              </w:rPr>
              <w:t>15</w:t>
            </w:r>
            <w:r>
              <w:rPr>
                <w:noProof/>
                <w:webHidden/>
              </w:rPr>
              <w:fldChar w:fldCharType="end"/>
            </w:r>
          </w:hyperlink>
        </w:p>
        <w:p w14:paraId="7B94A9A2" w14:textId="1DA1113C" w:rsidR="00B11438" w:rsidRDefault="00B11438">
          <w:pPr>
            <w:pStyle w:val="Inhopg2"/>
            <w:tabs>
              <w:tab w:val="left" w:pos="960"/>
              <w:tab w:val="right" w:leader="dot" w:pos="9062"/>
            </w:tabs>
            <w:rPr>
              <w:rFonts w:eastAsiaTheme="minorEastAsia"/>
              <w:noProof/>
              <w:lang w:eastAsia="nl-NL"/>
            </w:rPr>
          </w:pPr>
          <w:hyperlink w:anchor="_Toc216957409" w:history="1">
            <w:r w:rsidRPr="007E7B4F">
              <w:rPr>
                <w:rStyle w:val="Hyperlink"/>
                <w:noProof/>
              </w:rPr>
              <w:t>3.3</w:t>
            </w:r>
            <w:r>
              <w:rPr>
                <w:rFonts w:eastAsiaTheme="minorEastAsia"/>
                <w:noProof/>
                <w:lang w:eastAsia="nl-NL"/>
              </w:rPr>
              <w:tab/>
            </w:r>
            <w:r w:rsidRPr="007E7B4F">
              <w:rPr>
                <w:rStyle w:val="Hyperlink"/>
                <w:noProof/>
              </w:rPr>
              <w:t>Uitsluitingsgronden</w:t>
            </w:r>
            <w:r>
              <w:rPr>
                <w:noProof/>
                <w:webHidden/>
              </w:rPr>
              <w:tab/>
            </w:r>
            <w:r>
              <w:rPr>
                <w:noProof/>
                <w:webHidden/>
              </w:rPr>
              <w:fldChar w:fldCharType="begin"/>
            </w:r>
            <w:r>
              <w:rPr>
                <w:noProof/>
                <w:webHidden/>
              </w:rPr>
              <w:instrText xml:space="preserve"> PAGEREF _Toc216957409 \h </w:instrText>
            </w:r>
            <w:r>
              <w:rPr>
                <w:noProof/>
                <w:webHidden/>
              </w:rPr>
            </w:r>
            <w:r>
              <w:rPr>
                <w:noProof/>
                <w:webHidden/>
              </w:rPr>
              <w:fldChar w:fldCharType="separate"/>
            </w:r>
            <w:r>
              <w:rPr>
                <w:noProof/>
                <w:webHidden/>
              </w:rPr>
              <w:t>15</w:t>
            </w:r>
            <w:r>
              <w:rPr>
                <w:noProof/>
                <w:webHidden/>
              </w:rPr>
              <w:fldChar w:fldCharType="end"/>
            </w:r>
          </w:hyperlink>
        </w:p>
        <w:p w14:paraId="113CABFB" w14:textId="08755BC2" w:rsidR="00B11438" w:rsidRDefault="00B11438">
          <w:pPr>
            <w:pStyle w:val="Inhopg2"/>
            <w:tabs>
              <w:tab w:val="left" w:pos="960"/>
              <w:tab w:val="right" w:leader="dot" w:pos="9062"/>
            </w:tabs>
            <w:rPr>
              <w:rFonts w:eastAsiaTheme="minorEastAsia"/>
              <w:noProof/>
              <w:lang w:eastAsia="nl-NL"/>
            </w:rPr>
          </w:pPr>
          <w:hyperlink w:anchor="_Toc216957410" w:history="1">
            <w:r w:rsidRPr="007E7B4F">
              <w:rPr>
                <w:rStyle w:val="Hyperlink"/>
                <w:noProof/>
              </w:rPr>
              <w:t>3.4</w:t>
            </w:r>
            <w:r>
              <w:rPr>
                <w:rFonts w:eastAsiaTheme="minorEastAsia"/>
                <w:noProof/>
                <w:lang w:eastAsia="nl-NL"/>
              </w:rPr>
              <w:tab/>
            </w:r>
            <w:r w:rsidRPr="007E7B4F">
              <w:rPr>
                <w:rStyle w:val="Hyperlink"/>
                <w:noProof/>
              </w:rPr>
              <w:t>Geschiktheidseisen</w:t>
            </w:r>
            <w:r>
              <w:rPr>
                <w:noProof/>
                <w:webHidden/>
              </w:rPr>
              <w:tab/>
            </w:r>
            <w:r>
              <w:rPr>
                <w:noProof/>
                <w:webHidden/>
              </w:rPr>
              <w:fldChar w:fldCharType="begin"/>
            </w:r>
            <w:r>
              <w:rPr>
                <w:noProof/>
                <w:webHidden/>
              </w:rPr>
              <w:instrText xml:space="preserve"> PAGEREF _Toc216957410 \h </w:instrText>
            </w:r>
            <w:r>
              <w:rPr>
                <w:noProof/>
                <w:webHidden/>
              </w:rPr>
            </w:r>
            <w:r>
              <w:rPr>
                <w:noProof/>
                <w:webHidden/>
              </w:rPr>
              <w:fldChar w:fldCharType="separate"/>
            </w:r>
            <w:r>
              <w:rPr>
                <w:noProof/>
                <w:webHidden/>
              </w:rPr>
              <w:t>15</w:t>
            </w:r>
            <w:r>
              <w:rPr>
                <w:noProof/>
                <w:webHidden/>
              </w:rPr>
              <w:fldChar w:fldCharType="end"/>
            </w:r>
          </w:hyperlink>
        </w:p>
        <w:p w14:paraId="5F9E8709" w14:textId="598DAAB5" w:rsidR="00B11438" w:rsidRDefault="00B11438">
          <w:pPr>
            <w:pStyle w:val="Inhopg1"/>
            <w:tabs>
              <w:tab w:val="left" w:pos="480"/>
              <w:tab w:val="right" w:leader="dot" w:pos="9062"/>
            </w:tabs>
            <w:rPr>
              <w:rFonts w:eastAsiaTheme="minorEastAsia"/>
              <w:noProof/>
              <w:lang w:eastAsia="nl-NL"/>
            </w:rPr>
          </w:pPr>
          <w:hyperlink w:anchor="_Toc216957411" w:history="1">
            <w:r w:rsidRPr="007E7B4F">
              <w:rPr>
                <w:rStyle w:val="Hyperlink"/>
                <w:noProof/>
              </w:rPr>
              <w:t>4.</w:t>
            </w:r>
            <w:r>
              <w:rPr>
                <w:rFonts w:eastAsiaTheme="minorEastAsia"/>
                <w:noProof/>
                <w:lang w:eastAsia="nl-NL"/>
              </w:rPr>
              <w:tab/>
            </w:r>
            <w:r w:rsidRPr="007E7B4F">
              <w:rPr>
                <w:rStyle w:val="Hyperlink"/>
                <w:noProof/>
              </w:rPr>
              <w:t>Gunningscriteria</w:t>
            </w:r>
            <w:r>
              <w:rPr>
                <w:noProof/>
                <w:webHidden/>
              </w:rPr>
              <w:tab/>
            </w:r>
            <w:r>
              <w:rPr>
                <w:noProof/>
                <w:webHidden/>
              </w:rPr>
              <w:fldChar w:fldCharType="begin"/>
            </w:r>
            <w:r>
              <w:rPr>
                <w:noProof/>
                <w:webHidden/>
              </w:rPr>
              <w:instrText xml:space="preserve"> PAGEREF _Toc216957411 \h </w:instrText>
            </w:r>
            <w:r>
              <w:rPr>
                <w:noProof/>
                <w:webHidden/>
              </w:rPr>
            </w:r>
            <w:r>
              <w:rPr>
                <w:noProof/>
                <w:webHidden/>
              </w:rPr>
              <w:fldChar w:fldCharType="separate"/>
            </w:r>
            <w:r>
              <w:rPr>
                <w:noProof/>
                <w:webHidden/>
              </w:rPr>
              <w:t>18</w:t>
            </w:r>
            <w:r>
              <w:rPr>
                <w:noProof/>
                <w:webHidden/>
              </w:rPr>
              <w:fldChar w:fldCharType="end"/>
            </w:r>
          </w:hyperlink>
        </w:p>
        <w:p w14:paraId="5FAF4FB7" w14:textId="280A5D79" w:rsidR="00B11438" w:rsidRDefault="00B11438">
          <w:pPr>
            <w:pStyle w:val="Inhopg1"/>
            <w:tabs>
              <w:tab w:val="left" w:pos="480"/>
              <w:tab w:val="right" w:leader="dot" w:pos="9062"/>
            </w:tabs>
            <w:rPr>
              <w:rFonts w:eastAsiaTheme="minorEastAsia"/>
              <w:noProof/>
              <w:lang w:eastAsia="nl-NL"/>
            </w:rPr>
          </w:pPr>
          <w:hyperlink w:anchor="_Toc216957412" w:history="1">
            <w:r w:rsidRPr="007E7B4F">
              <w:rPr>
                <w:rStyle w:val="Hyperlink"/>
                <w:noProof/>
              </w:rPr>
              <w:t>5.</w:t>
            </w:r>
            <w:r>
              <w:rPr>
                <w:rFonts w:eastAsiaTheme="minorEastAsia"/>
                <w:noProof/>
                <w:lang w:eastAsia="nl-NL"/>
              </w:rPr>
              <w:tab/>
            </w:r>
            <w:r w:rsidRPr="007E7B4F">
              <w:rPr>
                <w:rStyle w:val="Hyperlink"/>
                <w:noProof/>
              </w:rPr>
              <w:t>Procedure voor deelneming en/of inschrijving en beoordeling</w:t>
            </w:r>
            <w:r>
              <w:rPr>
                <w:noProof/>
                <w:webHidden/>
              </w:rPr>
              <w:tab/>
            </w:r>
            <w:r>
              <w:rPr>
                <w:noProof/>
                <w:webHidden/>
              </w:rPr>
              <w:fldChar w:fldCharType="begin"/>
            </w:r>
            <w:r>
              <w:rPr>
                <w:noProof/>
                <w:webHidden/>
              </w:rPr>
              <w:instrText xml:space="preserve"> PAGEREF _Toc216957412 \h </w:instrText>
            </w:r>
            <w:r>
              <w:rPr>
                <w:noProof/>
                <w:webHidden/>
              </w:rPr>
            </w:r>
            <w:r>
              <w:rPr>
                <w:noProof/>
                <w:webHidden/>
              </w:rPr>
              <w:fldChar w:fldCharType="separate"/>
            </w:r>
            <w:r>
              <w:rPr>
                <w:noProof/>
                <w:webHidden/>
              </w:rPr>
              <w:t>23</w:t>
            </w:r>
            <w:r>
              <w:rPr>
                <w:noProof/>
                <w:webHidden/>
              </w:rPr>
              <w:fldChar w:fldCharType="end"/>
            </w:r>
          </w:hyperlink>
        </w:p>
        <w:p w14:paraId="63920B73" w14:textId="07106814" w:rsidR="00B11438" w:rsidRDefault="00B11438">
          <w:pPr>
            <w:pStyle w:val="Inhopg2"/>
            <w:tabs>
              <w:tab w:val="left" w:pos="960"/>
              <w:tab w:val="right" w:leader="dot" w:pos="9062"/>
            </w:tabs>
            <w:rPr>
              <w:rFonts w:eastAsiaTheme="minorEastAsia"/>
              <w:noProof/>
              <w:lang w:eastAsia="nl-NL"/>
            </w:rPr>
          </w:pPr>
          <w:hyperlink w:anchor="_Toc216957413" w:history="1">
            <w:r w:rsidRPr="007E7B4F">
              <w:rPr>
                <w:rStyle w:val="Hyperlink"/>
                <w:noProof/>
              </w:rPr>
              <w:t>5.1</w:t>
            </w:r>
            <w:r>
              <w:rPr>
                <w:rFonts w:eastAsiaTheme="minorEastAsia"/>
                <w:noProof/>
                <w:lang w:eastAsia="nl-NL"/>
              </w:rPr>
              <w:tab/>
            </w:r>
            <w:r w:rsidRPr="007E7B4F">
              <w:rPr>
                <w:rStyle w:val="Hyperlink"/>
                <w:noProof/>
              </w:rPr>
              <w:t>Procedure</w:t>
            </w:r>
            <w:r>
              <w:rPr>
                <w:noProof/>
                <w:webHidden/>
              </w:rPr>
              <w:tab/>
            </w:r>
            <w:r>
              <w:rPr>
                <w:noProof/>
                <w:webHidden/>
              </w:rPr>
              <w:fldChar w:fldCharType="begin"/>
            </w:r>
            <w:r>
              <w:rPr>
                <w:noProof/>
                <w:webHidden/>
              </w:rPr>
              <w:instrText xml:space="preserve"> PAGEREF _Toc216957413 \h </w:instrText>
            </w:r>
            <w:r>
              <w:rPr>
                <w:noProof/>
                <w:webHidden/>
              </w:rPr>
            </w:r>
            <w:r>
              <w:rPr>
                <w:noProof/>
                <w:webHidden/>
              </w:rPr>
              <w:fldChar w:fldCharType="separate"/>
            </w:r>
            <w:r>
              <w:rPr>
                <w:noProof/>
                <w:webHidden/>
              </w:rPr>
              <w:t>23</w:t>
            </w:r>
            <w:r>
              <w:rPr>
                <w:noProof/>
                <w:webHidden/>
              </w:rPr>
              <w:fldChar w:fldCharType="end"/>
            </w:r>
          </w:hyperlink>
        </w:p>
        <w:p w14:paraId="74CE3129" w14:textId="07F4FA0A" w:rsidR="00B11438" w:rsidRDefault="00B11438">
          <w:pPr>
            <w:pStyle w:val="Inhopg2"/>
            <w:tabs>
              <w:tab w:val="left" w:pos="960"/>
              <w:tab w:val="right" w:leader="dot" w:pos="9062"/>
            </w:tabs>
            <w:rPr>
              <w:rFonts w:eastAsiaTheme="minorEastAsia"/>
              <w:noProof/>
              <w:lang w:eastAsia="nl-NL"/>
            </w:rPr>
          </w:pPr>
          <w:hyperlink w:anchor="_Toc216957414" w:history="1">
            <w:r w:rsidRPr="007E7B4F">
              <w:rPr>
                <w:rStyle w:val="Hyperlink"/>
                <w:noProof/>
              </w:rPr>
              <w:t>5.2</w:t>
            </w:r>
            <w:r>
              <w:rPr>
                <w:rFonts w:eastAsiaTheme="minorEastAsia"/>
                <w:noProof/>
                <w:lang w:eastAsia="nl-NL"/>
              </w:rPr>
              <w:tab/>
            </w:r>
            <w:r w:rsidRPr="007E7B4F">
              <w:rPr>
                <w:rStyle w:val="Hyperlink"/>
                <w:noProof/>
              </w:rPr>
              <w:t>Procedurevoorschriften</w:t>
            </w:r>
            <w:r>
              <w:rPr>
                <w:noProof/>
                <w:webHidden/>
              </w:rPr>
              <w:tab/>
            </w:r>
            <w:r>
              <w:rPr>
                <w:noProof/>
                <w:webHidden/>
              </w:rPr>
              <w:fldChar w:fldCharType="begin"/>
            </w:r>
            <w:r>
              <w:rPr>
                <w:noProof/>
                <w:webHidden/>
              </w:rPr>
              <w:instrText xml:space="preserve"> PAGEREF _Toc216957414 \h </w:instrText>
            </w:r>
            <w:r>
              <w:rPr>
                <w:noProof/>
                <w:webHidden/>
              </w:rPr>
            </w:r>
            <w:r>
              <w:rPr>
                <w:noProof/>
                <w:webHidden/>
              </w:rPr>
              <w:fldChar w:fldCharType="separate"/>
            </w:r>
            <w:r>
              <w:rPr>
                <w:noProof/>
                <w:webHidden/>
              </w:rPr>
              <w:t>23</w:t>
            </w:r>
            <w:r>
              <w:rPr>
                <w:noProof/>
                <w:webHidden/>
              </w:rPr>
              <w:fldChar w:fldCharType="end"/>
            </w:r>
          </w:hyperlink>
        </w:p>
        <w:p w14:paraId="2540F1CD" w14:textId="2DDB07A7" w:rsidR="00B11438" w:rsidRDefault="00B11438">
          <w:pPr>
            <w:pStyle w:val="Inhopg2"/>
            <w:tabs>
              <w:tab w:val="left" w:pos="960"/>
              <w:tab w:val="right" w:leader="dot" w:pos="9062"/>
            </w:tabs>
            <w:rPr>
              <w:rFonts w:eastAsiaTheme="minorEastAsia"/>
              <w:noProof/>
              <w:lang w:eastAsia="nl-NL"/>
            </w:rPr>
          </w:pPr>
          <w:hyperlink w:anchor="_Toc216957415" w:history="1">
            <w:r w:rsidRPr="007E7B4F">
              <w:rPr>
                <w:rStyle w:val="Hyperlink"/>
                <w:noProof/>
              </w:rPr>
              <w:t>5.3</w:t>
            </w:r>
            <w:r>
              <w:rPr>
                <w:rFonts w:eastAsiaTheme="minorEastAsia"/>
                <w:noProof/>
                <w:lang w:eastAsia="nl-NL"/>
              </w:rPr>
              <w:tab/>
            </w:r>
            <w:r w:rsidRPr="007E7B4F">
              <w:rPr>
                <w:rStyle w:val="Hyperlink"/>
                <w:noProof/>
              </w:rPr>
              <w:t>Beoordeling van inschrijvingen</w:t>
            </w:r>
            <w:r>
              <w:rPr>
                <w:noProof/>
                <w:webHidden/>
              </w:rPr>
              <w:tab/>
            </w:r>
            <w:r>
              <w:rPr>
                <w:noProof/>
                <w:webHidden/>
              </w:rPr>
              <w:fldChar w:fldCharType="begin"/>
            </w:r>
            <w:r>
              <w:rPr>
                <w:noProof/>
                <w:webHidden/>
              </w:rPr>
              <w:instrText xml:space="preserve"> PAGEREF _Toc216957415 \h </w:instrText>
            </w:r>
            <w:r>
              <w:rPr>
                <w:noProof/>
                <w:webHidden/>
              </w:rPr>
            </w:r>
            <w:r>
              <w:rPr>
                <w:noProof/>
                <w:webHidden/>
              </w:rPr>
              <w:fldChar w:fldCharType="separate"/>
            </w:r>
            <w:r>
              <w:rPr>
                <w:noProof/>
                <w:webHidden/>
              </w:rPr>
              <w:t>23</w:t>
            </w:r>
            <w:r>
              <w:rPr>
                <w:noProof/>
                <w:webHidden/>
              </w:rPr>
              <w:fldChar w:fldCharType="end"/>
            </w:r>
          </w:hyperlink>
        </w:p>
        <w:p w14:paraId="4788FB59" w14:textId="057429D5" w:rsidR="00B11438" w:rsidRDefault="00B11438">
          <w:pPr>
            <w:pStyle w:val="Inhopg3"/>
            <w:tabs>
              <w:tab w:val="left" w:pos="1440"/>
              <w:tab w:val="right" w:leader="dot" w:pos="9062"/>
            </w:tabs>
            <w:rPr>
              <w:rFonts w:eastAsiaTheme="minorEastAsia"/>
              <w:noProof/>
              <w:lang w:eastAsia="nl-NL"/>
            </w:rPr>
          </w:pPr>
          <w:hyperlink w:anchor="_Toc216957416" w:history="1">
            <w:r w:rsidRPr="007E7B4F">
              <w:rPr>
                <w:rStyle w:val="Hyperlink"/>
                <w:noProof/>
              </w:rPr>
              <w:t>5.3.1</w:t>
            </w:r>
            <w:r>
              <w:rPr>
                <w:rFonts w:eastAsiaTheme="minorEastAsia"/>
                <w:noProof/>
                <w:lang w:eastAsia="nl-NL"/>
              </w:rPr>
              <w:tab/>
            </w:r>
            <w:r w:rsidRPr="007E7B4F">
              <w:rPr>
                <w:rStyle w:val="Hyperlink"/>
                <w:noProof/>
              </w:rPr>
              <w:t>Beoordelingscommissie</w:t>
            </w:r>
            <w:r>
              <w:rPr>
                <w:noProof/>
                <w:webHidden/>
              </w:rPr>
              <w:tab/>
            </w:r>
            <w:r>
              <w:rPr>
                <w:noProof/>
                <w:webHidden/>
              </w:rPr>
              <w:fldChar w:fldCharType="begin"/>
            </w:r>
            <w:r>
              <w:rPr>
                <w:noProof/>
                <w:webHidden/>
              </w:rPr>
              <w:instrText xml:space="preserve"> PAGEREF _Toc216957416 \h </w:instrText>
            </w:r>
            <w:r>
              <w:rPr>
                <w:noProof/>
                <w:webHidden/>
              </w:rPr>
            </w:r>
            <w:r>
              <w:rPr>
                <w:noProof/>
                <w:webHidden/>
              </w:rPr>
              <w:fldChar w:fldCharType="separate"/>
            </w:r>
            <w:r>
              <w:rPr>
                <w:noProof/>
                <w:webHidden/>
              </w:rPr>
              <w:t>25</w:t>
            </w:r>
            <w:r>
              <w:rPr>
                <w:noProof/>
                <w:webHidden/>
              </w:rPr>
              <w:fldChar w:fldCharType="end"/>
            </w:r>
          </w:hyperlink>
        </w:p>
        <w:p w14:paraId="6D1F4FCF" w14:textId="3CDCE862" w:rsidR="00B11438" w:rsidRDefault="00B11438">
          <w:pPr>
            <w:pStyle w:val="Inhopg3"/>
            <w:tabs>
              <w:tab w:val="left" w:pos="1440"/>
              <w:tab w:val="right" w:leader="dot" w:pos="9062"/>
            </w:tabs>
            <w:rPr>
              <w:rFonts w:eastAsiaTheme="minorEastAsia"/>
              <w:noProof/>
              <w:lang w:eastAsia="nl-NL"/>
            </w:rPr>
          </w:pPr>
          <w:hyperlink w:anchor="_Toc216957417" w:history="1">
            <w:r w:rsidRPr="007E7B4F">
              <w:rPr>
                <w:rStyle w:val="Hyperlink"/>
                <w:noProof/>
              </w:rPr>
              <w:t>5.3.2</w:t>
            </w:r>
            <w:r>
              <w:rPr>
                <w:rFonts w:eastAsiaTheme="minorEastAsia"/>
                <w:noProof/>
                <w:lang w:eastAsia="nl-NL"/>
              </w:rPr>
              <w:tab/>
            </w:r>
            <w:r w:rsidRPr="007E7B4F">
              <w:rPr>
                <w:rStyle w:val="Hyperlink"/>
                <w:noProof/>
              </w:rPr>
              <w:t>Planning</w:t>
            </w:r>
            <w:r>
              <w:rPr>
                <w:noProof/>
                <w:webHidden/>
              </w:rPr>
              <w:tab/>
            </w:r>
            <w:r>
              <w:rPr>
                <w:noProof/>
                <w:webHidden/>
              </w:rPr>
              <w:fldChar w:fldCharType="begin"/>
            </w:r>
            <w:r>
              <w:rPr>
                <w:noProof/>
                <w:webHidden/>
              </w:rPr>
              <w:instrText xml:space="preserve"> PAGEREF _Toc216957417 \h </w:instrText>
            </w:r>
            <w:r>
              <w:rPr>
                <w:noProof/>
                <w:webHidden/>
              </w:rPr>
            </w:r>
            <w:r>
              <w:rPr>
                <w:noProof/>
                <w:webHidden/>
              </w:rPr>
              <w:fldChar w:fldCharType="separate"/>
            </w:r>
            <w:r>
              <w:rPr>
                <w:noProof/>
                <w:webHidden/>
              </w:rPr>
              <w:t>25</w:t>
            </w:r>
            <w:r>
              <w:rPr>
                <w:noProof/>
                <w:webHidden/>
              </w:rPr>
              <w:fldChar w:fldCharType="end"/>
            </w:r>
          </w:hyperlink>
        </w:p>
        <w:p w14:paraId="6545A72B" w14:textId="042022DD" w:rsidR="00B11438" w:rsidRDefault="00B11438">
          <w:pPr>
            <w:pStyle w:val="Inhopg2"/>
            <w:tabs>
              <w:tab w:val="left" w:pos="960"/>
              <w:tab w:val="right" w:leader="dot" w:pos="9062"/>
            </w:tabs>
            <w:rPr>
              <w:rFonts w:eastAsiaTheme="minorEastAsia"/>
              <w:noProof/>
              <w:lang w:eastAsia="nl-NL"/>
            </w:rPr>
          </w:pPr>
          <w:hyperlink w:anchor="_Toc216957418" w:history="1">
            <w:r w:rsidRPr="007E7B4F">
              <w:rPr>
                <w:rStyle w:val="Hyperlink"/>
                <w:noProof/>
              </w:rPr>
              <w:t>5.4</w:t>
            </w:r>
            <w:r>
              <w:rPr>
                <w:rFonts w:eastAsiaTheme="minorEastAsia"/>
                <w:noProof/>
                <w:lang w:eastAsia="nl-NL"/>
              </w:rPr>
              <w:tab/>
            </w:r>
            <w:r w:rsidRPr="007E7B4F">
              <w:rPr>
                <w:rStyle w:val="Hyperlink"/>
                <w:noProof/>
              </w:rPr>
              <w:t>Aanmelden als hoofdaannemer, combinatie of groepsonderneming</w:t>
            </w:r>
            <w:r>
              <w:rPr>
                <w:noProof/>
                <w:webHidden/>
              </w:rPr>
              <w:tab/>
            </w:r>
            <w:r>
              <w:rPr>
                <w:noProof/>
                <w:webHidden/>
              </w:rPr>
              <w:fldChar w:fldCharType="begin"/>
            </w:r>
            <w:r>
              <w:rPr>
                <w:noProof/>
                <w:webHidden/>
              </w:rPr>
              <w:instrText xml:space="preserve"> PAGEREF _Toc216957418 \h </w:instrText>
            </w:r>
            <w:r>
              <w:rPr>
                <w:noProof/>
                <w:webHidden/>
              </w:rPr>
            </w:r>
            <w:r>
              <w:rPr>
                <w:noProof/>
                <w:webHidden/>
              </w:rPr>
              <w:fldChar w:fldCharType="separate"/>
            </w:r>
            <w:r>
              <w:rPr>
                <w:noProof/>
                <w:webHidden/>
              </w:rPr>
              <w:t>26</w:t>
            </w:r>
            <w:r>
              <w:rPr>
                <w:noProof/>
                <w:webHidden/>
              </w:rPr>
              <w:fldChar w:fldCharType="end"/>
            </w:r>
          </w:hyperlink>
        </w:p>
        <w:p w14:paraId="3C2AF6E9" w14:textId="1BF602D6" w:rsidR="00B11438" w:rsidRDefault="00B11438">
          <w:pPr>
            <w:pStyle w:val="Inhopg3"/>
            <w:tabs>
              <w:tab w:val="left" w:pos="1440"/>
              <w:tab w:val="right" w:leader="dot" w:pos="9062"/>
            </w:tabs>
            <w:rPr>
              <w:rFonts w:eastAsiaTheme="minorEastAsia"/>
              <w:noProof/>
              <w:lang w:eastAsia="nl-NL"/>
            </w:rPr>
          </w:pPr>
          <w:hyperlink w:anchor="_Toc216957419" w:history="1">
            <w:r w:rsidRPr="007E7B4F">
              <w:rPr>
                <w:rStyle w:val="Hyperlink"/>
                <w:noProof/>
              </w:rPr>
              <w:t>5.4.1</w:t>
            </w:r>
            <w:r>
              <w:rPr>
                <w:rFonts w:eastAsiaTheme="minorEastAsia"/>
                <w:noProof/>
                <w:lang w:eastAsia="nl-NL"/>
              </w:rPr>
              <w:tab/>
            </w:r>
            <w:r w:rsidRPr="007E7B4F">
              <w:rPr>
                <w:rStyle w:val="Hyperlink"/>
                <w:noProof/>
              </w:rPr>
              <w:t>Hoofdaannemer</w:t>
            </w:r>
            <w:r>
              <w:rPr>
                <w:noProof/>
                <w:webHidden/>
              </w:rPr>
              <w:tab/>
            </w:r>
            <w:r>
              <w:rPr>
                <w:noProof/>
                <w:webHidden/>
              </w:rPr>
              <w:fldChar w:fldCharType="begin"/>
            </w:r>
            <w:r>
              <w:rPr>
                <w:noProof/>
                <w:webHidden/>
              </w:rPr>
              <w:instrText xml:space="preserve"> PAGEREF _Toc216957419 \h </w:instrText>
            </w:r>
            <w:r>
              <w:rPr>
                <w:noProof/>
                <w:webHidden/>
              </w:rPr>
            </w:r>
            <w:r>
              <w:rPr>
                <w:noProof/>
                <w:webHidden/>
              </w:rPr>
              <w:fldChar w:fldCharType="separate"/>
            </w:r>
            <w:r>
              <w:rPr>
                <w:noProof/>
                <w:webHidden/>
              </w:rPr>
              <w:t>26</w:t>
            </w:r>
            <w:r>
              <w:rPr>
                <w:noProof/>
                <w:webHidden/>
              </w:rPr>
              <w:fldChar w:fldCharType="end"/>
            </w:r>
          </w:hyperlink>
        </w:p>
        <w:p w14:paraId="574F1DC3" w14:textId="32DEE601" w:rsidR="00B11438" w:rsidRDefault="00B11438">
          <w:pPr>
            <w:pStyle w:val="Inhopg3"/>
            <w:tabs>
              <w:tab w:val="left" w:pos="1440"/>
              <w:tab w:val="right" w:leader="dot" w:pos="9062"/>
            </w:tabs>
            <w:rPr>
              <w:rFonts w:eastAsiaTheme="minorEastAsia"/>
              <w:noProof/>
              <w:lang w:eastAsia="nl-NL"/>
            </w:rPr>
          </w:pPr>
          <w:hyperlink w:anchor="_Toc216957420" w:history="1">
            <w:r w:rsidRPr="007E7B4F">
              <w:rPr>
                <w:rStyle w:val="Hyperlink"/>
                <w:noProof/>
              </w:rPr>
              <w:t>5.4.2</w:t>
            </w:r>
            <w:r>
              <w:rPr>
                <w:rFonts w:eastAsiaTheme="minorEastAsia"/>
                <w:noProof/>
                <w:lang w:eastAsia="nl-NL"/>
              </w:rPr>
              <w:tab/>
            </w:r>
            <w:r w:rsidRPr="007E7B4F">
              <w:rPr>
                <w:rStyle w:val="Hyperlink"/>
                <w:noProof/>
              </w:rPr>
              <w:t>Combinatie</w:t>
            </w:r>
            <w:r>
              <w:rPr>
                <w:noProof/>
                <w:webHidden/>
              </w:rPr>
              <w:tab/>
            </w:r>
            <w:r>
              <w:rPr>
                <w:noProof/>
                <w:webHidden/>
              </w:rPr>
              <w:fldChar w:fldCharType="begin"/>
            </w:r>
            <w:r>
              <w:rPr>
                <w:noProof/>
                <w:webHidden/>
              </w:rPr>
              <w:instrText xml:space="preserve"> PAGEREF _Toc216957420 \h </w:instrText>
            </w:r>
            <w:r>
              <w:rPr>
                <w:noProof/>
                <w:webHidden/>
              </w:rPr>
            </w:r>
            <w:r>
              <w:rPr>
                <w:noProof/>
                <w:webHidden/>
              </w:rPr>
              <w:fldChar w:fldCharType="separate"/>
            </w:r>
            <w:r>
              <w:rPr>
                <w:noProof/>
                <w:webHidden/>
              </w:rPr>
              <w:t>27</w:t>
            </w:r>
            <w:r>
              <w:rPr>
                <w:noProof/>
                <w:webHidden/>
              </w:rPr>
              <w:fldChar w:fldCharType="end"/>
            </w:r>
          </w:hyperlink>
        </w:p>
        <w:p w14:paraId="1135A8DF" w14:textId="78C0857F" w:rsidR="00B11438" w:rsidRDefault="00B11438">
          <w:pPr>
            <w:pStyle w:val="Inhopg3"/>
            <w:tabs>
              <w:tab w:val="left" w:pos="1440"/>
              <w:tab w:val="right" w:leader="dot" w:pos="9062"/>
            </w:tabs>
            <w:rPr>
              <w:rFonts w:eastAsiaTheme="minorEastAsia"/>
              <w:noProof/>
              <w:lang w:eastAsia="nl-NL"/>
            </w:rPr>
          </w:pPr>
          <w:hyperlink w:anchor="_Toc216957421" w:history="1">
            <w:r w:rsidRPr="007E7B4F">
              <w:rPr>
                <w:rStyle w:val="Hyperlink"/>
                <w:noProof/>
              </w:rPr>
              <w:t>5.4.3</w:t>
            </w:r>
            <w:r>
              <w:rPr>
                <w:rFonts w:eastAsiaTheme="minorEastAsia"/>
                <w:noProof/>
                <w:lang w:eastAsia="nl-NL"/>
              </w:rPr>
              <w:tab/>
            </w:r>
            <w:r w:rsidRPr="007E7B4F">
              <w:rPr>
                <w:rStyle w:val="Hyperlink"/>
                <w:noProof/>
              </w:rPr>
              <w:t>Groepsonderneming</w:t>
            </w:r>
            <w:r>
              <w:rPr>
                <w:noProof/>
                <w:webHidden/>
              </w:rPr>
              <w:tab/>
            </w:r>
            <w:r>
              <w:rPr>
                <w:noProof/>
                <w:webHidden/>
              </w:rPr>
              <w:fldChar w:fldCharType="begin"/>
            </w:r>
            <w:r>
              <w:rPr>
                <w:noProof/>
                <w:webHidden/>
              </w:rPr>
              <w:instrText xml:space="preserve"> PAGEREF _Toc216957421 \h </w:instrText>
            </w:r>
            <w:r>
              <w:rPr>
                <w:noProof/>
                <w:webHidden/>
              </w:rPr>
            </w:r>
            <w:r>
              <w:rPr>
                <w:noProof/>
                <w:webHidden/>
              </w:rPr>
              <w:fldChar w:fldCharType="separate"/>
            </w:r>
            <w:r>
              <w:rPr>
                <w:noProof/>
                <w:webHidden/>
              </w:rPr>
              <w:t>27</w:t>
            </w:r>
            <w:r>
              <w:rPr>
                <w:noProof/>
                <w:webHidden/>
              </w:rPr>
              <w:fldChar w:fldCharType="end"/>
            </w:r>
          </w:hyperlink>
        </w:p>
        <w:p w14:paraId="529C1D1F" w14:textId="6412473E" w:rsidR="00B11438" w:rsidRDefault="00B11438">
          <w:pPr>
            <w:pStyle w:val="Inhopg2"/>
            <w:tabs>
              <w:tab w:val="left" w:pos="960"/>
              <w:tab w:val="right" w:leader="dot" w:pos="9062"/>
            </w:tabs>
            <w:rPr>
              <w:rFonts w:eastAsiaTheme="minorEastAsia"/>
              <w:noProof/>
              <w:lang w:eastAsia="nl-NL"/>
            </w:rPr>
          </w:pPr>
          <w:hyperlink w:anchor="_Toc216957422" w:history="1">
            <w:r w:rsidRPr="007E7B4F">
              <w:rPr>
                <w:rStyle w:val="Hyperlink"/>
                <w:noProof/>
              </w:rPr>
              <w:t>5.5</w:t>
            </w:r>
            <w:r>
              <w:rPr>
                <w:rFonts w:eastAsiaTheme="minorEastAsia"/>
                <w:noProof/>
                <w:lang w:eastAsia="nl-NL"/>
              </w:rPr>
              <w:tab/>
            </w:r>
            <w:r w:rsidRPr="007E7B4F">
              <w:rPr>
                <w:rStyle w:val="Hyperlink"/>
                <w:noProof/>
              </w:rPr>
              <w:t>Vragen over de procedure en/of documenten</w:t>
            </w:r>
            <w:r>
              <w:rPr>
                <w:noProof/>
                <w:webHidden/>
              </w:rPr>
              <w:tab/>
            </w:r>
            <w:r>
              <w:rPr>
                <w:noProof/>
                <w:webHidden/>
              </w:rPr>
              <w:fldChar w:fldCharType="begin"/>
            </w:r>
            <w:r>
              <w:rPr>
                <w:noProof/>
                <w:webHidden/>
              </w:rPr>
              <w:instrText xml:space="preserve"> PAGEREF _Toc216957422 \h </w:instrText>
            </w:r>
            <w:r>
              <w:rPr>
                <w:noProof/>
                <w:webHidden/>
              </w:rPr>
            </w:r>
            <w:r>
              <w:rPr>
                <w:noProof/>
                <w:webHidden/>
              </w:rPr>
              <w:fldChar w:fldCharType="separate"/>
            </w:r>
            <w:r>
              <w:rPr>
                <w:noProof/>
                <w:webHidden/>
              </w:rPr>
              <w:t>27</w:t>
            </w:r>
            <w:r>
              <w:rPr>
                <w:noProof/>
                <w:webHidden/>
              </w:rPr>
              <w:fldChar w:fldCharType="end"/>
            </w:r>
          </w:hyperlink>
        </w:p>
        <w:p w14:paraId="4A160B3F" w14:textId="496D047A" w:rsidR="00B11438" w:rsidRDefault="00B11438">
          <w:pPr>
            <w:pStyle w:val="Inhopg2"/>
            <w:tabs>
              <w:tab w:val="left" w:pos="960"/>
              <w:tab w:val="right" w:leader="dot" w:pos="9062"/>
            </w:tabs>
            <w:rPr>
              <w:rFonts w:eastAsiaTheme="minorEastAsia"/>
              <w:noProof/>
              <w:lang w:eastAsia="nl-NL"/>
            </w:rPr>
          </w:pPr>
          <w:hyperlink w:anchor="_Toc216957423" w:history="1">
            <w:r w:rsidRPr="007E7B4F">
              <w:rPr>
                <w:rStyle w:val="Hyperlink"/>
                <w:noProof/>
              </w:rPr>
              <w:t>5.6</w:t>
            </w:r>
            <w:r>
              <w:rPr>
                <w:rFonts w:eastAsiaTheme="minorEastAsia"/>
                <w:noProof/>
                <w:lang w:eastAsia="nl-NL"/>
              </w:rPr>
              <w:tab/>
            </w:r>
            <w:r w:rsidRPr="007E7B4F">
              <w:rPr>
                <w:rStyle w:val="Hyperlink"/>
                <w:noProof/>
              </w:rPr>
              <w:t>Vertrouwelijkheid</w:t>
            </w:r>
            <w:r>
              <w:rPr>
                <w:noProof/>
                <w:webHidden/>
              </w:rPr>
              <w:tab/>
            </w:r>
            <w:r>
              <w:rPr>
                <w:noProof/>
                <w:webHidden/>
              </w:rPr>
              <w:fldChar w:fldCharType="begin"/>
            </w:r>
            <w:r>
              <w:rPr>
                <w:noProof/>
                <w:webHidden/>
              </w:rPr>
              <w:instrText xml:space="preserve"> PAGEREF _Toc216957423 \h </w:instrText>
            </w:r>
            <w:r>
              <w:rPr>
                <w:noProof/>
                <w:webHidden/>
              </w:rPr>
            </w:r>
            <w:r>
              <w:rPr>
                <w:noProof/>
                <w:webHidden/>
              </w:rPr>
              <w:fldChar w:fldCharType="separate"/>
            </w:r>
            <w:r>
              <w:rPr>
                <w:noProof/>
                <w:webHidden/>
              </w:rPr>
              <w:t>27</w:t>
            </w:r>
            <w:r>
              <w:rPr>
                <w:noProof/>
                <w:webHidden/>
              </w:rPr>
              <w:fldChar w:fldCharType="end"/>
            </w:r>
          </w:hyperlink>
        </w:p>
        <w:p w14:paraId="4ABA59AF" w14:textId="33C0CBA5" w:rsidR="00B11438" w:rsidRDefault="00B11438">
          <w:pPr>
            <w:pStyle w:val="Inhopg2"/>
            <w:tabs>
              <w:tab w:val="left" w:pos="960"/>
              <w:tab w:val="right" w:leader="dot" w:pos="9062"/>
            </w:tabs>
            <w:rPr>
              <w:rFonts w:eastAsiaTheme="minorEastAsia"/>
              <w:noProof/>
              <w:lang w:eastAsia="nl-NL"/>
            </w:rPr>
          </w:pPr>
          <w:hyperlink w:anchor="_Toc216957424" w:history="1">
            <w:r w:rsidRPr="007E7B4F">
              <w:rPr>
                <w:rStyle w:val="Hyperlink"/>
                <w:noProof/>
              </w:rPr>
              <w:t>5.7</w:t>
            </w:r>
            <w:r>
              <w:rPr>
                <w:rFonts w:eastAsiaTheme="minorEastAsia"/>
                <w:noProof/>
                <w:lang w:eastAsia="nl-NL"/>
              </w:rPr>
              <w:tab/>
            </w:r>
            <w:r w:rsidRPr="007E7B4F">
              <w:rPr>
                <w:rStyle w:val="Hyperlink"/>
                <w:noProof/>
              </w:rPr>
              <w:t>Gestanddoeningstermijn</w:t>
            </w:r>
            <w:r>
              <w:rPr>
                <w:noProof/>
                <w:webHidden/>
              </w:rPr>
              <w:tab/>
            </w:r>
            <w:r>
              <w:rPr>
                <w:noProof/>
                <w:webHidden/>
              </w:rPr>
              <w:fldChar w:fldCharType="begin"/>
            </w:r>
            <w:r>
              <w:rPr>
                <w:noProof/>
                <w:webHidden/>
              </w:rPr>
              <w:instrText xml:space="preserve"> PAGEREF _Toc216957424 \h </w:instrText>
            </w:r>
            <w:r>
              <w:rPr>
                <w:noProof/>
                <w:webHidden/>
              </w:rPr>
            </w:r>
            <w:r>
              <w:rPr>
                <w:noProof/>
                <w:webHidden/>
              </w:rPr>
              <w:fldChar w:fldCharType="separate"/>
            </w:r>
            <w:r>
              <w:rPr>
                <w:noProof/>
                <w:webHidden/>
              </w:rPr>
              <w:t>27</w:t>
            </w:r>
            <w:r>
              <w:rPr>
                <w:noProof/>
                <w:webHidden/>
              </w:rPr>
              <w:fldChar w:fldCharType="end"/>
            </w:r>
          </w:hyperlink>
        </w:p>
        <w:p w14:paraId="6A0F7AB2" w14:textId="7674B042" w:rsidR="00B11438" w:rsidRDefault="00B11438">
          <w:pPr>
            <w:pStyle w:val="Inhopg2"/>
            <w:tabs>
              <w:tab w:val="left" w:pos="960"/>
              <w:tab w:val="right" w:leader="dot" w:pos="9062"/>
            </w:tabs>
            <w:rPr>
              <w:rFonts w:eastAsiaTheme="minorEastAsia"/>
              <w:noProof/>
              <w:lang w:eastAsia="nl-NL"/>
            </w:rPr>
          </w:pPr>
          <w:hyperlink w:anchor="_Toc216957425" w:history="1">
            <w:r w:rsidRPr="007E7B4F">
              <w:rPr>
                <w:rStyle w:val="Hyperlink"/>
                <w:noProof/>
              </w:rPr>
              <w:t>5.8</w:t>
            </w:r>
            <w:r>
              <w:rPr>
                <w:rFonts w:eastAsiaTheme="minorEastAsia"/>
                <w:noProof/>
                <w:lang w:eastAsia="nl-NL"/>
              </w:rPr>
              <w:tab/>
            </w:r>
            <w:r w:rsidRPr="007E7B4F">
              <w:rPr>
                <w:rStyle w:val="Hyperlink"/>
                <w:noProof/>
              </w:rPr>
              <w:t>Klachten en rechtsgang</w:t>
            </w:r>
            <w:r>
              <w:rPr>
                <w:noProof/>
                <w:webHidden/>
              </w:rPr>
              <w:tab/>
            </w:r>
            <w:r>
              <w:rPr>
                <w:noProof/>
                <w:webHidden/>
              </w:rPr>
              <w:fldChar w:fldCharType="begin"/>
            </w:r>
            <w:r>
              <w:rPr>
                <w:noProof/>
                <w:webHidden/>
              </w:rPr>
              <w:instrText xml:space="preserve"> PAGEREF _Toc216957425 \h </w:instrText>
            </w:r>
            <w:r>
              <w:rPr>
                <w:noProof/>
                <w:webHidden/>
              </w:rPr>
            </w:r>
            <w:r>
              <w:rPr>
                <w:noProof/>
                <w:webHidden/>
              </w:rPr>
              <w:fldChar w:fldCharType="separate"/>
            </w:r>
            <w:r>
              <w:rPr>
                <w:noProof/>
                <w:webHidden/>
              </w:rPr>
              <w:t>28</w:t>
            </w:r>
            <w:r>
              <w:rPr>
                <w:noProof/>
                <w:webHidden/>
              </w:rPr>
              <w:fldChar w:fldCharType="end"/>
            </w:r>
          </w:hyperlink>
        </w:p>
        <w:p w14:paraId="6EE2DC9F" w14:textId="50E46DC8" w:rsidR="00B11438" w:rsidRDefault="00B11438">
          <w:pPr>
            <w:pStyle w:val="Inhopg3"/>
            <w:tabs>
              <w:tab w:val="left" w:pos="1440"/>
              <w:tab w:val="right" w:leader="dot" w:pos="9062"/>
            </w:tabs>
            <w:rPr>
              <w:rFonts w:eastAsiaTheme="minorEastAsia"/>
              <w:noProof/>
              <w:lang w:eastAsia="nl-NL"/>
            </w:rPr>
          </w:pPr>
          <w:hyperlink w:anchor="_Toc216957426" w:history="1">
            <w:r w:rsidRPr="007E7B4F">
              <w:rPr>
                <w:rStyle w:val="Hyperlink"/>
                <w:noProof/>
              </w:rPr>
              <w:t>5.8.1</w:t>
            </w:r>
            <w:r>
              <w:rPr>
                <w:rFonts w:eastAsiaTheme="minorEastAsia"/>
                <w:noProof/>
                <w:lang w:eastAsia="nl-NL"/>
              </w:rPr>
              <w:tab/>
            </w:r>
            <w:r w:rsidRPr="007E7B4F">
              <w:rPr>
                <w:rStyle w:val="Hyperlink"/>
                <w:noProof/>
              </w:rPr>
              <w:t>Klachten</w:t>
            </w:r>
            <w:r>
              <w:rPr>
                <w:noProof/>
                <w:webHidden/>
              </w:rPr>
              <w:tab/>
            </w:r>
            <w:r>
              <w:rPr>
                <w:noProof/>
                <w:webHidden/>
              </w:rPr>
              <w:fldChar w:fldCharType="begin"/>
            </w:r>
            <w:r>
              <w:rPr>
                <w:noProof/>
                <w:webHidden/>
              </w:rPr>
              <w:instrText xml:space="preserve"> PAGEREF _Toc216957426 \h </w:instrText>
            </w:r>
            <w:r>
              <w:rPr>
                <w:noProof/>
                <w:webHidden/>
              </w:rPr>
            </w:r>
            <w:r>
              <w:rPr>
                <w:noProof/>
                <w:webHidden/>
              </w:rPr>
              <w:fldChar w:fldCharType="separate"/>
            </w:r>
            <w:r>
              <w:rPr>
                <w:noProof/>
                <w:webHidden/>
              </w:rPr>
              <w:t>28</w:t>
            </w:r>
            <w:r>
              <w:rPr>
                <w:noProof/>
                <w:webHidden/>
              </w:rPr>
              <w:fldChar w:fldCharType="end"/>
            </w:r>
          </w:hyperlink>
        </w:p>
        <w:p w14:paraId="1036B76D" w14:textId="53614E21" w:rsidR="00B11438" w:rsidRDefault="00B11438">
          <w:pPr>
            <w:pStyle w:val="Inhopg3"/>
            <w:tabs>
              <w:tab w:val="left" w:pos="1440"/>
              <w:tab w:val="right" w:leader="dot" w:pos="9062"/>
            </w:tabs>
            <w:rPr>
              <w:rFonts w:eastAsiaTheme="minorEastAsia"/>
              <w:noProof/>
              <w:lang w:eastAsia="nl-NL"/>
            </w:rPr>
          </w:pPr>
          <w:hyperlink w:anchor="_Toc216957427" w:history="1">
            <w:r w:rsidRPr="007E7B4F">
              <w:rPr>
                <w:rStyle w:val="Hyperlink"/>
                <w:noProof/>
              </w:rPr>
              <w:t>5.8.2</w:t>
            </w:r>
            <w:r>
              <w:rPr>
                <w:rFonts w:eastAsiaTheme="minorEastAsia"/>
                <w:noProof/>
                <w:lang w:eastAsia="nl-NL"/>
              </w:rPr>
              <w:tab/>
            </w:r>
            <w:r w:rsidRPr="007E7B4F">
              <w:rPr>
                <w:rStyle w:val="Hyperlink"/>
                <w:noProof/>
              </w:rPr>
              <w:t>Rechtsgang</w:t>
            </w:r>
            <w:r>
              <w:rPr>
                <w:noProof/>
                <w:webHidden/>
              </w:rPr>
              <w:tab/>
            </w:r>
            <w:r>
              <w:rPr>
                <w:noProof/>
                <w:webHidden/>
              </w:rPr>
              <w:fldChar w:fldCharType="begin"/>
            </w:r>
            <w:r>
              <w:rPr>
                <w:noProof/>
                <w:webHidden/>
              </w:rPr>
              <w:instrText xml:space="preserve"> PAGEREF _Toc216957427 \h </w:instrText>
            </w:r>
            <w:r>
              <w:rPr>
                <w:noProof/>
                <w:webHidden/>
              </w:rPr>
            </w:r>
            <w:r>
              <w:rPr>
                <w:noProof/>
                <w:webHidden/>
              </w:rPr>
              <w:fldChar w:fldCharType="separate"/>
            </w:r>
            <w:r>
              <w:rPr>
                <w:noProof/>
                <w:webHidden/>
              </w:rPr>
              <w:t>28</w:t>
            </w:r>
            <w:r>
              <w:rPr>
                <w:noProof/>
                <w:webHidden/>
              </w:rPr>
              <w:fldChar w:fldCharType="end"/>
            </w:r>
          </w:hyperlink>
        </w:p>
        <w:p w14:paraId="1E278739" w14:textId="17DAEFFF" w:rsidR="00B11438" w:rsidRDefault="00B11438">
          <w:pPr>
            <w:pStyle w:val="Inhopg1"/>
            <w:tabs>
              <w:tab w:val="right" w:leader="dot" w:pos="9062"/>
            </w:tabs>
            <w:rPr>
              <w:rFonts w:eastAsiaTheme="minorEastAsia"/>
              <w:noProof/>
              <w:lang w:eastAsia="nl-NL"/>
            </w:rPr>
          </w:pPr>
          <w:hyperlink w:anchor="_Toc216957428" w:history="1">
            <w:r w:rsidRPr="007E7B4F">
              <w:rPr>
                <w:rStyle w:val="Hyperlink"/>
                <w:noProof/>
              </w:rPr>
              <w:t>Overzicht bijlagen</w:t>
            </w:r>
            <w:r>
              <w:rPr>
                <w:noProof/>
                <w:webHidden/>
              </w:rPr>
              <w:tab/>
            </w:r>
            <w:r>
              <w:rPr>
                <w:noProof/>
                <w:webHidden/>
              </w:rPr>
              <w:fldChar w:fldCharType="begin"/>
            </w:r>
            <w:r>
              <w:rPr>
                <w:noProof/>
                <w:webHidden/>
              </w:rPr>
              <w:instrText xml:space="preserve"> PAGEREF _Toc216957428 \h </w:instrText>
            </w:r>
            <w:r>
              <w:rPr>
                <w:noProof/>
                <w:webHidden/>
              </w:rPr>
            </w:r>
            <w:r>
              <w:rPr>
                <w:noProof/>
                <w:webHidden/>
              </w:rPr>
              <w:fldChar w:fldCharType="separate"/>
            </w:r>
            <w:r>
              <w:rPr>
                <w:noProof/>
                <w:webHidden/>
              </w:rPr>
              <w:t>29</w:t>
            </w:r>
            <w:r>
              <w:rPr>
                <w:noProof/>
                <w:webHidden/>
              </w:rPr>
              <w:fldChar w:fldCharType="end"/>
            </w:r>
          </w:hyperlink>
        </w:p>
        <w:p w14:paraId="6D7B5924" w14:textId="3B98FCB4" w:rsidR="00B11438" w:rsidRDefault="00B11438">
          <w:pPr>
            <w:pStyle w:val="Inhopg1"/>
            <w:tabs>
              <w:tab w:val="right" w:leader="dot" w:pos="9062"/>
            </w:tabs>
            <w:rPr>
              <w:rFonts w:eastAsiaTheme="minorEastAsia"/>
              <w:noProof/>
              <w:lang w:eastAsia="nl-NL"/>
            </w:rPr>
          </w:pPr>
          <w:hyperlink w:anchor="_Toc216957429" w:history="1">
            <w:r w:rsidRPr="007E7B4F">
              <w:rPr>
                <w:rStyle w:val="Hyperlink"/>
                <w:noProof/>
              </w:rPr>
              <w:t>Bijlage 1: Aan te leveren documenten/bewijsmiddelen</w:t>
            </w:r>
            <w:r>
              <w:rPr>
                <w:noProof/>
                <w:webHidden/>
              </w:rPr>
              <w:tab/>
            </w:r>
            <w:r>
              <w:rPr>
                <w:noProof/>
                <w:webHidden/>
              </w:rPr>
              <w:fldChar w:fldCharType="begin"/>
            </w:r>
            <w:r>
              <w:rPr>
                <w:noProof/>
                <w:webHidden/>
              </w:rPr>
              <w:instrText xml:space="preserve"> PAGEREF _Toc216957429 \h </w:instrText>
            </w:r>
            <w:r>
              <w:rPr>
                <w:noProof/>
                <w:webHidden/>
              </w:rPr>
            </w:r>
            <w:r>
              <w:rPr>
                <w:noProof/>
                <w:webHidden/>
              </w:rPr>
              <w:fldChar w:fldCharType="separate"/>
            </w:r>
            <w:r>
              <w:rPr>
                <w:noProof/>
                <w:webHidden/>
              </w:rPr>
              <w:t>30</w:t>
            </w:r>
            <w:r>
              <w:rPr>
                <w:noProof/>
                <w:webHidden/>
              </w:rPr>
              <w:fldChar w:fldCharType="end"/>
            </w:r>
          </w:hyperlink>
        </w:p>
        <w:p w14:paraId="0FE9DC72" w14:textId="3017A633" w:rsidR="009B7E58" w:rsidRDefault="009B7E58">
          <w:r>
            <w:rPr>
              <w:b/>
              <w:bCs/>
            </w:rPr>
            <w:fldChar w:fldCharType="end"/>
          </w:r>
        </w:p>
      </w:sdtContent>
    </w:sdt>
    <w:p w14:paraId="2FFE7341" w14:textId="77777777" w:rsidR="0079681E" w:rsidRDefault="0079681E" w:rsidP="0079681E"/>
    <w:p w14:paraId="6DE41C55" w14:textId="2DEE74AA" w:rsidR="00D10522" w:rsidRDefault="00D10522">
      <w:pPr>
        <w:spacing w:after="0"/>
      </w:pPr>
      <w:r>
        <w:br w:type="page"/>
      </w:r>
    </w:p>
    <w:p w14:paraId="0523516D" w14:textId="77777777" w:rsidR="00BA2FEB" w:rsidRDefault="00BA2FEB" w:rsidP="00645A07">
      <w:pPr>
        <w:pStyle w:val="Kop1"/>
      </w:pPr>
      <w:bookmarkStart w:id="0" w:name="_Toc216957385"/>
      <w:r>
        <w:lastRenderedPageBreak/>
        <w:t>Definities</w:t>
      </w:r>
      <w:bookmarkEnd w:id="0"/>
    </w:p>
    <w:p w14:paraId="4DA7B204" w14:textId="77777777" w:rsidR="00BA2FEB" w:rsidRDefault="00BA2FEB" w:rsidP="00BA2FEB">
      <w:r>
        <w:t>De betekenis van de woorden in dit document is hetzelfde in enkelvoud en meervoud.</w:t>
      </w:r>
    </w:p>
    <w:p w14:paraId="356516C6" w14:textId="77777777" w:rsidR="00BA2FEB" w:rsidRDefault="00BA2FEB" w:rsidP="00645A07">
      <w:pPr>
        <w:spacing w:after="0"/>
      </w:pPr>
      <w:r>
        <w:t>De volgende definities gelden automatisch:</w:t>
      </w:r>
    </w:p>
    <w:p w14:paraId="40DFEF46" w14:textId="69D5A9F2" w:rsidR="00BA2FEB" w:rsidRDefault="00BA2FEB" w:rsidP="00645A07">
      <w:pPr>
        <w:pStyle w:val="Lijstalinea"/>
        <w:numPr>
          <w:ilvl w:val="0"/>
          <w:numId w:val="2"/>
        </w:numPr>
        <w:spacing w:after="0"/>
      </w:pPr>
      <w:r>
        <w:t>artikel 1.1.1 Wet maatschappelijke ondersteuning 2015,</w:t>
      </w:r>
    </w:p>
    <w:p w14:paraId="69EB246D" w14:textId="3DF78D2E" w:rsidR="00BA2FEB" w:rsidRDefault="00BA2FEB" w:rsidP="00645A07">
      <w:pPr>
        <w:pStyle w:val="Lijstalinea"/>
        <w:numPr>
          <w:ilvl w:val="0"/>
          <w:numId w:val="2"/>
        </w:numPr>
        <w:spacing w:after="0"/>
      </w:pPr>
      <w:r>
        <w:t>artikel 1.1 Uitvoeringsbesluit Wet maatschappelijke ondersteuning 2015,</w:t>
      </w:r>
    </w:p>
    <w:p w14:paraId="7CE14BD3" w14:textId="63893A03" w:rsidR="00BA2FEB" w:rsidRDefault="00BA2FEB" w:rsidP="00645A07">
      <w:pPr>
        <w:pStyle w:val="Lijstalinea"/>
        <w:numPr>
          <w:ilvl w:val="0"/>
          <w:numId w:val="2"/>
        </w:numPr>
        <w:spacing w:after="0"/>
      </w:pPr>
      <w:r>
        <w:t>artikel 1 Uitvoeringsregeling Wet maatschappelijke ondersteuning 2015</w:t>
      </w:r>
    </w:p>
    <w:p w14:paraId="6A26E2DF" w14:textId="2D4AB7CE" w:rsidR="00BA2FEB" w:rsidRDefault="00BA2FEB" w:rsidP="00645A07">
      <w:pPr>
        <w:pStyle w:val="Lijstalinea"/>
        <w:numPr>
          <w:ilvl w:val="0"/>
          <w:numId w:val="2"/>
        </w:numPr>
        <w:spacing w:after="0"/>
      </w:pPr>
      <w:r>
        <w:t xml:space="preserve">de Gemeentelijke verordeningen, beleids- en nadere regels; en </w:t>
      </w:r>
    </w:p>
    <w:p w14:paraId="70DA83B6" w14:textId="1C2DFDC3" w:rsidR="00BA2FEB" w:rsidRDefault="00BA2FEB" w:rsidP="00645A07">
      <w:pPr>
        <w:pStyle w:val="Lijstalinea"/>
        <w:numPr>
          <w:ilvl w:val="0"/>
          <w:numId w:val="2"/>
        </w:numPr>
      </w:pPr>
      <w:r>
        <w:t xml:space="preserve">Artikel 1.1 Aanbestedingswet 2012 </w:t>
      </w:r>
    </w:p>
    <w:p w14:paraId="336C178E" w14:textId="1908C9D4" w:rsidR="00BA2FEB" w:rsidRDefault="00BA2FEB" w:rsidP="00BA2FEB">
      <w:r>
        <w:t>Daarnaast gelden ook de definities uit de overeenkomst.</w:t>
      </w:r>
    </w:p>
    <w:p w14:paraId="01337A33" w14:textId="77777777" w:rsidR="00BA2FEB" w:rsidRDefault="00BA2FEB">
      <w:r>
        <w:br w:type="page"/>
      </w:r>
    </w:p>
    <w:p w14:paraId="1F553B92" w14:textId="77777777" w:rsidR="00BD36DC" w:rsidRDefault="00BD36DC" w:rsidP="00645A07">
      <w:pPr>
        <w:pStyle w:val="Kop1"/>
      </w:pPr>
      <w:bookmarkStart w:id="1" w:name="_Toc216957386"/>
      <w:r>
        <w:lastRenderedPageBreak/>
        <w:t>1.</w:t>
      </w:r>
      <w:r>
        <w:tab/>
        <w:t>Inkopende organisatie</w:t>
      </w:r>
      <w:bookmarkEnd w:id="1"/>
    </w:p>
    <w:p w14:paraId="23B5758B" w14:textId="77777777" w:rsidR="00BD36DC" w:rsidRDefault="00BD36DC" w:rsidP="00645A07">
      <w:pPr>
        <w:pStyle w:val="Kop2"/>
      </w:pPr>
      <w:bookmarkStart w:id="2" w:name="_Toc216957387"/>
      <w:r>
        <w:t>1.1</w:t>
      </w:r>
      <w:r>
        <w:tab/>
        <w:t>Inkopende organisatie</w:t>
      </w:r>
      <w:bookmarkEnd w:id="2"/>
    </w:p>
    <w:p w14:paraId="01700550" w14:textId="7ADD67EA" w:rsidR="00216BC7" w:rsidRDefault="00216BC7" w:rsidP="00216BC7">
      <w:r>
        <w:t>Het College van Burgemeester en Wethouders van de gemeente</w:t>
      </w:r>
      <w:r w:rsidR="00FD4FC3">
        <w:t>n Goirle, Hilvarenbeek en Oisterwijk</w:t>
      </w:r>
      <w:r>
        <w:t xml:space="preserve">, hierna te noemen opdrachtgever, is voornemens de opdracht voor </w:t>
      </w:r>
      <w:r w:rsidR="00795A9C">
        <w:t xml:space="preserve">maatschappelijke ondersteuning in de vorm van </w:t>
      </w:r>
      <w:r w:rsidR="00DB61AB">
        <w:t xml:space="preserve">hulp bij het huishouden </w:t>
      </w:r>
      <w:r>
        <w:t xml:space="preserve">aan te besteden. De </w:t>
      </w:r>
      <w:r w:rsidR="00776268">
        <w:t>aanbieder</w:t>
      </w:r>
      <w:r>
        <w:t xml:space="preserve"> wordt hierna aangeduid als (potentiële) inschrijver of opdrachtnemer.</w:t>
      </w:r>
    </w:p>
    <w:p w14:paraId="1B2C5172" w14:textId="41887B8B" w:rsidR="00BD36DC" w:rsidRDefault="00216BC7" w:rsidP="00216BC7">
      <w:r>
        <w:t>Dit beschrijvend document is bedoeld om partijen de mogelijkheid te bieden op een goede en juiste wijze mee te dingen naar de gunning van de opdracht.</w:t>
      </w:r>
    </w:p>
    <w:p w14:paraId="45B16754" w14:textId="0FE9FEA5" w:rsidR="00AD6C88" w:rsidRPr="00646521" w:rsidRDefault="00AD6C88" w:rsidP="00AD6C88">
      <w:r w:rsidRPr="00646521">
        <w:t xml:space="preserve">De drie gemeenten Goirle, Hilvarenbeek en Oisterwijk gaan individueel de raamovereenkomst aan, maar trekken wel in het gehele inkooptraject, te weten de aanbesteding en het contractmanagement gedurende de totale looptijd van de overeenkomst, gezamenlijk op. Gunning van deze opdracht betekent dat aanbieder met deze drie gemeenten een individuele raamovereenkomst aangaat. De aanbestedende dienst zal met maximaal 8 zorgaanbieders raamovereenkomsten afsluiten. </w:t>
      </w:r>
    </w:p>
    <w:p w14:paraId="41D5D9A2" w14:textId="77777777" w:rsidR="00AD6C88" w:rsidRPr="00646521" w:rsidRDefault="00AD6C88" w:rsidP="00AD6C88">
      <w:r w:rsidRPr="00646521">
        <w:t>LET WEL: het is dus alléén mogelijk om de raamovereenkomst met alle drie de gemeenten aan te gaan. Het is NIET mogelijk om met één van de drie gemeenten een overeenkomst aan te gaan.</w:t>
      </w:r>
    </w:p>
    <w:p w14:paraId="7898F1DC" w14:textId="5A5023E6" w:rsidR="00AD6C88" w:rsidRDefault="009C546B" w:rsidP="00216BC7">
      <w:r>
        <w:t>De penvoerder voor de aanbesteding is gemeente Oisterwijk.</w:t>
      </w:r>
    </w:p>
    <w:p w14:paraId="0E3D37C4" w14:textId="77777777" w:rsidR="00BD36DC" w:rsidRDefault="00BD36DC" w:rsidP="00E51D01">
      <w:pPr>
        <w:pStyle w:val="Kop2"/>
      </w:pPr>
      <w:bookmarkStart w:id="3" w:name="_Toc216957388"/>
      <w:r>
        <w:t>1.2</w:t>
      </w:r>
      <w:r>
        <w:tab/>
        <w:t>Contactpersonen en -gegevens</w:t>
      </w:r>
      <w:bookmarkEnd w:id="3"/>
    </w:p>
    <w:p w14:paraId="5994D801" w14:textId="77777777" w:rsidR="00565B7D" w:rsidRDefault="00565B7D" w:rsidP="00565B7D">
      <w:r>
        <w:t xml:space="preserve">De aanbestedende dienst wordt bij de aanbesteding begeleid door </w:t>
      </w:r>
      <w:r w:rsidRPr="00565B7D">
        <w:rPr>
          <w:b/>
          <w:bCs/>
          <w:color w:val="12828C"/>
        </w:rPr>
        <w:t>Karel</w:t>
      </w:r>
      <w:r>
        <w:t>. Adviespartner voor inkoop- en contractmanagement.</w:t>
      </w:r>
    </w:p>
    <w:p w14:paraId="3E2F816B" w14:textId="77777777" w:rsidR="00565B7D" w:rsidRDefault="00565B7D" w:rsidP="00565B7D">
      <w:r>
        <w:t>De contactpersoon namens de aanbestedende dienst is:</w:t>
      </w:r>
    </w:p>
    <w:p w14:paraId="3F84C4A8" w14:textId="3BFD3783" w:rsidR="00565B7D" w:rsidRPr="005356D5" w:rsidRDefault="005356D5" w:rsidP="00565B7D">
      <w:pPr>
        <w:rPr>
          <w:color w:val="12828C"/>
        </w:rPr>
      </w:pPr>
      <w:r w:rsidRPr="005356D5">
        <w:rPr>
          <w:color w:val="12828C"/>
        </w:rPr>
        <w:t>Mevrouw N. (Nathalie)</w:t>
      </w:r>
      <w:r w:rsidR="00B56F7B" w:rsidRPr="005356D5">
        <w:rPr>
          <w:color w:val="12828C"/>
        </w:rPr>
        <w:t xml:space="preserve"> de Raaff</w:t>
      </w:r>
    </w:p>
    <w:p w14:paraId="15311211" w14:textId="0E9C71D3" w:rsidR="00BD36DC" w:rsidRPr="0078492E" w:rsidRDefault="00BD36DC" w:rsidP="00BD36DC">
      <w:r w:rsidRPr="0078492E">
        <w:t xml:space="preserve">Communicatie over deze inkoopprocedure verloopt uitsluitend via </w:t>
      </w:r>
      <w:proofErr w:type="spellStart"/>
      <w:r w:rsidR="005356D5" w:rsidRPr="0078492E">
        <w:t>TenderNed</w:t>
      </w:r>
      <w:proofErr w:type="spellEnd"/>
      <w:r w:rsidRPr="0078492E">
        <w:t>.</w:t>
      </w:r>
      <w:r w:rsidR="008E17AB">
        <w:t xml:space="preserve"> (</w:t>
      </w:r>
      <w:hyperlink r:id="rId13" w:history="1">
        <w:r w:rsidR="008E17AB" w:rsidRPr="004B4DBE">
          <w:rPr>
            <w:rStyle w:val="Hyperlink"/>
          </w:rPr>
          <w:t>www.TenderNed.nl</w:t>
        </w:r>
      </w:hyperlink>
      <w:r w:rsidR="008E17AB">
        <w:t>)</w:t>
      </w:r>
    </w:p>
    <w:p w14:paraId="00114F60" w14:textId="77777777" w:rsidR="00BD36DC" w:rsidRDefault="00BD36DC" w:rsidP="00BD36DC">
      <w:r>
        <w:t>Tijdens de inkoopprocedure mag u geen contact opnemen met medewerkers van de inkopende organisatie over de inkoopprocedure, op geen enkele andere manier. De inkooporganisatie kan u dan uitsluiten van verdere deelname.</w:t>
      </w:r>
    </w:p>
    <w:p w14:paraId="415879C3" w14:textId="77777777" w:rsidR="00BD36DC" w:rsidRDefault="00BD36DC" w:rsidP="009D7A7F">
      <w:pPr>
        <w:pStyle w:val="Kop2"/>
      </w:pPr>
      <w:bookmarkStart w:id="4" w:name="_Toc216957389"/>
      <w:r>
        <w:t>1.3</w:t>
      </w:r>
      <w:r>
        <w:tab/>
        <w:t>Algemene informatie</w:t>
      </w:r>
      <w:bookmarkEnd w:id="4"/>
    </w:p>
    <w:p w14:paraId="2FF4AFCD" w14:textId="198E4F5B" w:rsidR="0085797C" w:rsidRPr="00646521" w:rsidRDefault="0085797C" w:rsidP="00AD6C88">
      <w:r w:rsidRPr="00646521">
        <w:t xml:space="preserve">De gemeenten Goirle, Hilvarenbeek en Oisterwijk (hierna te noemen: GHO-gemeenten) werken samen bij de inkoop en uitvoering van verschillende maatwerkvoorzieningen binnen de </w:t>
      </w:r>
      <w:proofErr w:type="spellStart"/>
      <w:r w:rsidRPr="00646521">
        <w:t>Wmo</w:t>
      </w:r>
      <w:proofErr w:type="spellEnd"/>
      <w:r w:rsidRPr="00646521">
        <w:t xml:space="preserve">. De GHO-gemeenten werken ook samen met betrekking tot de inkoop van de maatwerkvoorziening </w:t>
      </w:r>
      <w:r w:rsidR="00646521">
        <w:t>Huishoudelijke ondersteuning</w:t>
      </w:r>
      <w:r w:rsidR="00351FA6">
        <w:t>.</w:t>
      </w:r>
      <w:r w:rsidRPr="00646521">
        <w:t xml:space="preserve"> </w:t>
      </w:r>
    </w:p>
    <w:p w14:paraId="3542B1C5" w14:textId="3A1FE2F3" w:rsidR="00456753" w:rsidRDefault="004941AD" w:rsidP="00BD36DC">
      <w:r>
        <w:t xml:space="preserve">Gemeente Goirle: </w:t>
      </w:r>
      <w:r w:rsidRPr="004941AD">
        <w:t>Oranjeplein 1, 5051 LT Goirle</w:t>
      </w:r>
    </w:p>
    <w:p w14:paraId="151CEBA7" w14:textId="60F6965E" w:rsidR="004941AD" w:rsidRDefault="004941AD" w:rsidP="00BD36DC">
      <w:r>
        <w:t>Gemeente Hilvarenbeek:</w:t>
      </w:r>
      <w:r w:rsidR="009B5D7B">
        <w:t xml:space="preserve"> </w:t>
      </w:r>
      <w:r w:rsidR="009B5D7B" w:rsidRPr="009B5D7B">
        <w:t>Vrijthof 10, 5081 CA Hilvarenbeek</w:t>
      </w:r>
    </w:p>
    <w:p w14:paraId="6FBBCF92" w14:textId="0E8596B8" w:rsidR="004941AD" w:rsidRPr="00456753" w:rsidRDefault="004941AD" w:rsidP="00BD36DC">
      <w:r>
        <w:t xml:space="preserve">Gemeente Oisterwijk: </w:t>
      </w:r>
      <w:r w:rsidR="006562C1" w:rsidRPr="006562C1">
        <w:t>De Lind 44, 5061 HX Oisterwijk</w:t>
      </w:r>
    </w:p>
    <w:p w14:paraId="39D9598F" w14:textId="77777777" w:rsidR="008A06C6" w:rsidRDefault="008A06C6">
      <w:pPr>
        <w:spacing w:after="0"/>
      </w:pPr>
      <w:r>
        <w:br w:type="page"/>
      </w:r>
    </w:p>
    <w:p w14:paraId="69958DC6" w14:textId="77777777" w:rsidR="00BD36DC" w:rsidRDefault="00BD36DC" w:rsidP="00F43125">
      <w:pPr>
        <w:pStyle w:val="Kop1"/>
      </w:pPr>
      <w:bookmarkStart w:id="5" w:name="_Toc216957390"/>
      <w:r>
        <w:lastRenderedPageBreak/>
        <w:t>2.</w:t>
      </w:r>
      <w:r>
        <w:tab/>
        <w:t>Beschrijving opdracht</w:t>
      </w:r>
      <w:bookmarkEnd w:id="5"/>
    </w:p>
    <w:p w14:paraId="4D2FAE1B" w14:textId="77777777" w:rsidR="00BD36DC" w:rsidRDefault="00BD36DC" w:rsidP="00F43125">
      <w:pPr>
        <w:pStyle w:val="Kop2"/>
      </w:pPr>
      <w:bookmarkStart w:id="6" w:name="_Toc216957391"/>
      <w:r>
        <w:t>2.1</w:t>
      </w:r>
      <w:r>
        <w:tab/>
        <w:t>Uitgangspunten, doelstellingen en voorzieningen</w:t>
      </w:r>
      <w:bookmarkEnd w:id="6"/>
    </w:p>
    <w:p w14:paraId="1496852D" w14:textId="77777777" w:rsidR="00BD36DC" w:rsidRDefault="00BD36DC" w:rsidP="00F43125">
      <w:pPr>
        <w:pStyle w:val="Kop3"/>
      </w:pPr>
      <w:bookmarkStart w:id="7" w:name="_Toc216957392"/>
      <w:r>
        <w:t>2.1.1</w:t>
      </w:r>
      <w:r>
        <w:tab/>
        <w:t>Algemene beleidsuitgangspunten</w:t>
      </w:r>
      <w:bookmarkEnd w:id="7"/>
    </w:p>
    <w:p w14:paraId="1EFC406F" w14:textId="67DB6279" w:rsidR="0057163C" w:rsidRDefault="0057163C" w:rsidP="0057163C">
      <w:r>
        <w:t>De gemeenten hebben de wettelijke taak om hu</w:t>
      </w:r>
      <w:r w:rsidR="0BD4086C">
        <w:t>ishoudelijke ondersteuning</w:t>
      </w:r>
      <w:r>
        <w:t xml:space="preserve"> als maatwerkvoorziening te bieden aan inwoners die niet in staat zijn om zelfstandig een schoon en leefbaar huishouden te behouden. Het </w:t>
      </w:r>
      <w:proofErr w:type="spellStart"/>
      <w:r>
        <w:t>Wmo</w:t>
      </w:r>
      <w:proofErr w:type="spellEnd"/>
      <w:r>
        <w:t>-beleid is erop gericht om inwoners zoveel mogelijk in hun eigen leefomgeving te ondersteunen, waarbij zelfredzaamheid en maatschappelijke participatie worden bevorderd. In dit kader hanteren de gemeenten de volgende beleidsuitgangspunten:</w:t>
      </w:r>
    </w:p>
    <w:p w14:paraId="12418139" w14:textId="77777777" w:rsidR="00770048" w:rsidRPr="00021DE5" w:rsidRDefault="00770048" w:rsidP="00770048">
      <w:r w:rsidRPr="00021DE5">
        <w:t xml:space="preserve">De GHO-gemeenten bieden op basis van de Wet maatschappelijke ondersteuning 2015 inwoners die dat nodig hebben passende ondersteuning bij de huishoudelijke taken die zij niet zelf, met gebruik van algemene of algemeen gebruikelijke voorzieningen of met behulp van hun partner/gezin of sociale netwerk kunnen uitvoeren. De GHO-gemeenten gaan uit van het gedachtengoed van positieve gezondheid. Normaliseren blijft daarbij ook een belangrijk uitgangspunt voor de aanbestedende dienst. </w:t>
      </w:r>
    </w:p>
    <w:p w14:paraId="0D53C197" w14:textId="5959327F" w:rsidR="00770048" w:rsidRPr="00021DE5" w:rsidRDefault="00770048" w:rsidP="00770048">
      <w:pPr>
        <w:spacing w:line="300" w:lineRule="exact"/>
      </w:pPr>
      <w:r w:rsidRPr="00021DE5">
        <w:t xml:space="preserve">Met normaliseren zetten wij in op de beweging dat hulp vragen aan je directe omgeving normaal is. Bij lichtere problematiek </w:t>
      </w:r>
      <w:r w:rsidR="00021DE5" w:rsidRPr="00021DE5">
        <w:t>kijkt de gemeente</w:t>
      </w:r>
      <w:r w:rsidRPr="00021DE5">
        <w:t xml:space="preserve"> naar wat mensen zelf en/of met hulp van hun omgeving kunnen. Gemeenten kunnen hierbij </w:t>
      </w:r>
      <w:proofErr w:type="spellStart"/>
      <w:r w:rsidRPr="00021DE5">
        <w:t>reablement</w:t>
      </w:r>
      <w:proofErr w:type="spellEnd"/>
      <w:r w:rsidRPr="00021DE5">
        <w:t xml:space="preserve"> inzetten om de eigen kracht van inwoners optimaal in te zetten. Hierbij stimuleren wij het gebruik van algemene, algemeen gebruikelijke en voorliggende voorzieningen (zoals </w:t>
      </w:r>
      <w:proofErr w:type="spellStart"/>
      <w:r w:rsidRPr="00021DE5">
        <w:t>wasservice</w:t>
      </w:r>
      <w:proofErr w:type="spellEnd"/>
      <w:r w:rsidRPr="00021DE5">
        <w:t xml:space="preserve">). Pas als inwoners dan nog steeds niet verder komen, onderzoeken we de mogelijkheid van het inzetten van huishoudelijke ondersteuning als maatwerkvoorziening. </w:t>
      </w:r>
    </w:p>
    <w:p w14:paraId="00789DA0" w14:textId="77777777" w:rsidR="00770048" w:rsidRPr="00021DE5" w:rsidRDefault="00770048" w:rsidP="00770048">
      <w:pPr>
        <w:autoSpaceDE w:val="0"/>
        <w:autoSpaceDN w:val="0"/>
        <w:adjustRightInd w:val="0"/>
      </w:pPr>
      <w:r w:rsidRPr="00021DE5">
        <w:t xml:space="preserve">Opdrachtgever hanteert het actueel geldende HHM Normenkader Huishoudelijke Ondersteuning voor de uitvoering van de HO. De in deze opdracht bedoelde resultaten uit het HHM Normenkader zijn: </w:t>
      </w:r>
    </w:p>
    <w:p w14:paraId="2E43AB5D" w14:textId="77777777" w:rsidR="00770048" w:rsidRPr="00021DE5" w:rsidRDefault="00770048" w:rsidP="00770048">
      <w:pPr>
        <w:numPr>
          <w:ilvl w:val="0"/>
          <w:numId w:val="44"/>
        </w:numPr>
        <w:spacing w:after="200" w:line="276" w:lineRule="auto"/>
        <w:contextualSpacing/>
      </w:pPr>
      <w:r w:rsidRPr="00021DE5">
        <w:t>Een schoon en leefbaar huis</w:t>
      </w:r>
    </w:p>
    <w:p w14:paraId="7511D704" w14:textId="77777777" w:rsidR="00770048" w:rsidRPr="00021DE5" w:rsidRDefault="00770048" w:rsidP="00770048">
      <w:pPr>
        <w:numPr>
          <w:ilvl w:val="0"/>
          <w:numId w:val="44"/>
        </w:numPr>
        <w:spacing w:after="200" w:line="276" w:lineRule="auto"/>
        <w:contextualSpacing/>
      </w:pPr>
      <w:r w:rsidRPr="00021DE5">
        <w:t>Was-verzorging</w:t>
      </w:r>
    </w:p>
    <w:p w14:paraId="44E61C35" w14:textId="77777777" w:rsidR="00770048" w:rsidRDefault="00770048" w:rsidP="0057163C"/>
    <w:p w14:paraId="1BCC2890" w14:textId="77777777" w:rsidR="00DF11FE" w:rsidRPr="00200651" w:rsidRDefault="00DF11FE" w:rsidP="00DF11FE">
      <w:pPr>
        <w:spacing w:line="240" w:lineRule="atLeast"/>
        <w:rPr>
          <w:u w:val="single"/>
        </w:rPr>
      </w:pPr>
      <w:r w:rsidRPr="00200651">
        <w:rPr>
          <w:u w:val="single"/>
        </w:rPr>
        <w:t>Maatwerkvoorziening Huishoudelijke ondersteuning – het actuele geldende HHM Normenkader Huishoudelijke Ondersteuning</w:t>
      </w:r>
    </w:p>
    <w:p w14:paraId="023CE752" w14:textId="77777777" w:rsidR="00DF11FE" w:rsidRPr="00200651" w:rsidRDefault="00DF11FE" w:rsidP="00DF11FE">
      <w:pPr>
        <w:pStyle w:val="Tekstopmerking"/>
        <w:rPr>
          <w:sz w:val="24"/>
          <w:szCs w:val="24"/>
        </w:rPr>
      </w:pPr>
      <w:r w:rsidRPr="00200651">
        <w:rPr>
          <w:sz w:val="24"/>
          <w:szCs w:val="24"/>
        </w:rPr>
        <w:t xml:space="preserve">Het HHM Normenkader Huishoudelijke Ondersteuning heeft twee doelen. Ten eerste geeft het gemeenten een juridische grondslag om de tarieven te kunnen berekenen, waarbij mag worden verondersteld dat het resultaatgebied ‘schoon en leefbaar huis’ wordt behaald. Ten tweede biedt het opdrachtgever een richtlijn voor de uitvoering van taken en de omvang op basis waarvan de opdrachtnemer huishoudelijke ondersteuning inzet. Het Normenkader gaat uit van een ‘gemiddelde cliëntsituatie’. De gemeente moet onderzoeken of er in de situatie van de client sprake is van een ‘gemiddelde cliëntsituatie' of dat er eventueel sprake is van een meer dan wel minder dan gemiddelde cliëntsituatie. De taken en omvang zoals opgenomen in het Normenkader moeten ertoe leiden dat cliënten wonen in een ‘schoon en leefbaar huis’. Dat is het geval indien de woning normaal bewoond en gebruikt kan worden en voldoet aan basis hygiëne-eisen. Welke taken en met welke omvang daarbij horen met </w:t>
      </w:r>
      <w:r w:rsidRPr="00200651">
        <w:rPr>
          <w:sz w:val="24"/>
          <w:szCs w:val="24"/>
        </w:rPr>
        <w:lastRenderedPageBreak/>
        <w:t>betrekking tot de maatwerkvoorziening HO, is afhankelijk van de situatie van de cliënt. De gemeenten leggen dit vast in de beleidsregels.</w:t>
      </w:r>
    </w:p>
    <w:p w14:paraId="7582E172" w14:textId="77777777" w:rsidR="00DF11FE" w:rsidRPr="00200651" w:rsidRDefault="00DF11FE" w:rsidP="00DF11FE">
      <w:pPr>
        <w:pStyle w:val="Tekstopmerking"/>
        <w:rPr>
          <w:sz w:val="24"/>
          <w:szCs w:val="24"/>
        </w:rPr>
      </w:pPr>
    </w:p>
    <w:p w14:paraId="390FB626" w14:textId="77777777" w:rsidR="00DF11FE" w:rsidRPr="00200651" w:rsidRDefault="00DF11FE" w:rsidP="00DF11FE">
      <w:pPr>
        <w:autoSpaceDE w:val="0"/>
        <w:autoSpaceDN w:val="0"/>
        <w:adjustRightInd w:val="0"/>
        <w:rPr>
          <w:u w:val="single"/>
        </w:rPr>
      </w:pPr>
      <w:r w:rsidRPr="00200651">
        <w:rPr>
          <w:u w:val="single"/>
        </w:rPr>
        <w:t xml:space="preserve">Algemene </w:t>
      </w:r>
      <w:proofErr w:type="spellStart"/>
      <w:r w:rsidRPr="00200651">
        <w:rPr>
          <w:u w:val="single"/>
        </w:rPr>
        <w:t>wasvoorziening</w:t>
      </w:r>
      <w:proofErr w:type="spellEnd"/>
      <w:r w:rsidRPr="00200651">
        <w:rPr>
          <w:u w:val="single"/>
        </w:rPr>
        <w:t xml:space="preserve"> </w:t>
      </w:r>
    </w:p>
    <w:p w14:paraId="2ACB9138" w14:textId="77777777" w:rsidR="00DF11FE" w:rsidRPr="00200651" w:rsidRDefault="00DF11FE" w:rsidP="00DF11FE">
      <w:pPr>
        <w:autoSpaceDE w:val="0"/>
        <w:autoSpaceDN w:val="0"/>
        <w:adjustRightInd w:val="0"/>
      </w:pPr>
      <w:r w:rsidRPr="00200651">
        <w:t xml:space="preserve">Als een algemene voorziening voor de was-verzorging beschikbaar is, gaat deze algemene voorziening voor op inzet van de module was- verzorging in de maatwerkvoorziening. </w:t>
      </w:r>
    </w:p>
    <w:p w14:paraId="0C678671" w14:textId="77777777" w:rsidR="00BD36DC" w:rsidRDefault="00BD36DC" w:rsidP="00CE2131">
      <w:pPr>
        <w:pStyle w:val="Kop3"/>
      </w:pPr>
      <w:bookmarkStart w:id="8" w:name="_Toc216957393"/>
      <w:r>
        <w:t>2.1.2</w:t>
      </w:r>
      <w:r>
        <w:tab/>
        <w:t>Norm voor Opdrachtgeverschap</w:t>
      </w:r>
      <w:bookmarkEnd w:id="8"/>
    </w:p>
    <w:p w14:paraId="11D74BCE" w14:textId="36E45676" w:rsidR="00431002" w:rsidRPr="005E390B" w:rsidRDefault="00431002" w:rsidP="00431002">
      <w:r>
        <w:t>Deze norm geldt niet voor hu</w:t>
      </w:r>
      <w:r w:rsidR="718889DB">
        <w:t>ishoudelijke ondersteuning</w:t>
      </w:r>
      <w:r>
        <w:t>.</w:t>
      </w:r>
    </w:p>
    <w:p w14:paraId="25B0C200" w14:textId="77777777" w:rsidR="00BD36DC" w:rsidRDefault="00BD36DC" w:rsidP="00CE2131">
      <w:pPr>
        <w:pStyle w:val="Kop3"/>
      </w:pPr>
      <w:bookmarkStart w:id="9" w:name="_Toc216957394"/>
      <w:r>
        <w:t>2.1.3</w:t>
      </w:r>
      <w:r>
        <w:tab/>
        <w:t>Inkoopdoelstelling(en)</w:t>
      </w:r>
      <w:bookmarkEnd w:id="9"/>
    </w:p>
    <w:p w14:paraId="7F4A5A74" w14:textId="77777777" w:rsidR="008074D0" w:rsidRPr="005E390B" w:rsidRDefault="008074D0" w:rsidP="008074D0">
      <w:r>
        <w:t>De gemeenten streven onderstaande inkoopdoelstellingen na:</w:t>
      </w:r>
    </w:p>
    <w:p w14:paraId="627CFE76" w14:textId="1BC49A9C" w:rsidR="008074D0" w:rsidRPr="00ED56F5" w:rsidRDefault="008074D0" w:rsidP="008074D0">
      <w:pPr>
        <w:spacing w:before="240"/>
        <w:rPr>
          <w:u w:val="single"/>
        </w:rPr>
      </w:pPr>
      <w:r w:rsidRPr="00ED56F5">
        <w:rPr>
          <w:u w:val="single"/>
        </w:rPr>
        <w:t xml:space="preserve">1. Continuïteit van </w:t>
      </w:r>
      <w:r>
        <w:rPr>
          <w:u w:val="single"/>
        </w:rPr>
        <w:t>z</w:t>
      </w:r>
      <w:r w:rsidRPr="00ED56F5">
        <w:rPr>
          <w:u w:val="single"/>
        </w:rPr>
        <w:t>org</w:t>
      </w:r>
    </w:p>
    <w:p w14:paraId="703AEB7A" w14:textId="5D06767C" w:rsidR="008074D0" w:rsidRPr="00ED56F5" w:rsidRDefault="008074D0" w:rsidP="008074D0">
      <w:pPr>
        <w:numPr>
          <w:ilvl w:val="0"/>
          <w:numId w:val="25"/>
        </w:numPr>
      </w:pPr>
      <w:r w:rsidRPr="00ED56F5">
        <w:t xml:space="preserve">Waarborgen dat alle inwoners die in aanmerking komen voor </w:t>
      </w:r>
      <w:r>
        <w:t>hu</w:t>
      </w:r>
      <w:r w:rsidR="686072BD">
        <w:t>ishoudelijke ondersteuning</w:t>
      </w:r>
      <w:r w:rsidRPr="00ED56F5">
        <w:t xml:space="preserve"> toegang hebben </w:t>
      </w:r>
      <w:r w:rsidR="00AC4D01">
        <w:t>tot</w:t>
      </w:r>
      <w:r w:rsidR="004F6BF2">
        <w:t xml:space="preserve"> voldoende</w:t>
      </w:r>
      <w:r w:rsidRPr="00ED56F5">
        <w:t xml:space="preserve"> gekwalificeerde aanbieders.</w:t>
      </w:r>
    </w:p>
    <w:p w14:paraId="1F6895C4" w14:textId="77777777" w:rsidR="008074D0" w:rsidRPr="00ED56F5" w:rsidRDefault="008074D0" w:rsidP="008074D0">
      <w:pPr>
        <w:numPr>
          <w:ilvl w:val="0"/>
          <w:numId w:val="25"/>
        </w:numPr>
      </w:pPr>
      <w:r w:rsidRPr="00ED56F5">
        <w:t>Garanderen van een stabiel en betrouwbaar aanbod van huishoudelijke ondersteuning, ook bij uitval of beëindiging van contracten door aanbieders.</w:t>
      </w:r>
    </w:p>
    <w:p w14:paraId="467DBABD" w14:textId="415429C1" w:rsidR="008074D0" w:rsidRPr="00ED56F5" w:rsidRDefault="008074D0" w:rsidP="008074D0">
      <w:pPr>
        <w:spacing w:before="240"/>
        <w:rPr>
          <w:u w:val="single"/>
        </w:rPr>
      </w:pPr>
      <w:r w:rsidRPr="00ED56F5">
        <w:rPr>
          <w:u w:val="single"/>
        </w:rPr>
        <w:t xml:space="preserve">2. Kwaliteit en </w:t>
      </w:r>
      <w:r w:rsidR="00A35A0D">
        <w:rPr>
          <w:u w:val="single"/>
        </w:rPr>
        <w:t>p</w:t>
      </w:r>
      <w:r w:rsidRPr="00ED56F5">
        <w:rPr>
          <w:u w:val="single"/>
        </w:rPr>
        <w:t xml:space="preserve">rofessionaliteit van </w:t>
      </w:r>
      <w:r>
        <w:rPr>
          <w:u w:val="single"/>
        </w:rPr>
        <w:t>a</w:t>
      </w:r>
      <w:r w:rsidRPr="00ED56F5">
        <w:rPr>
          <w:u w:val="single"/>
        </w:rPr>
        <w:t>anbieders</w:t>
      </w:r>
    </w:p>
    <w:p w14:paraId="6071C4F1" w14:textId="77777777" w:rsidR="008074D0" w:rsidRPr="00ED56F5" w:rsidRDefault="008074D0" w:rsidP="008074D0">
      <w:pPr>
        <w:numPr>
          <w:ilvl w:val="0"/>
          <w:numId w:val="26"/>
        </w:numPr>
      </w:pPr>
      <w:r w:rsidRPr="00ED56F5">
        <w:t>Waarborgen dat gecontracteerde aanbieders voldoen aan vastgestelde kwaliteitscriteria.</w:t>
      </w:r>
    </w:p>
    <w:p w14:paraId="079D3B0E" w14:textId="77777777" w:rsidR="008074D0" w:rsidRPr="00ED56F5" w:rsidRDefault="008074D0" w:rsidP="008074D0">
      <w:pPr>
        <w:numPr>
          <w:ilvl w:val="0"/>
          <w:numId w:val="26"/>
        </w:numPr>
      </w:pPr>
      <w:r w:rsidRPr="00ED56F5">
        <w:t>Stimuleren van innovatie en verbetering in de dienstverlening, bijvoorbeeld door gebruik van slimme technologie of training van medewerkers in signalering van bredere zorgbehoeften.</w:t>
      </w:r>
    </w:p>
    <w:p w14:paraId="35EF31F9" w14:textId="77777777" w:rsidR="008074D0" w:rsidRPr="00ED56F5" w:rsidRDefault="008074D0" w:rsidP="008074D0">
      <w:pPr>
        <w:numPr>
          <w:ilvl w:val="0"/>
          <w:numId w:val="26"/>
        </w:numPr>
      </w:pPr>
      <w:r w:rsidRPr="00ED56F5">
        <w:t>Bewaken van cliënttevredenheid door middel van periodieke metingen en evaluaties.</w:t>
      </w:r>
    </w:p>
    <w:p w14:paraId="345CE58A" w14:textId="0BA362BB" w:rsidR="008074D0" w:rsidRPr="00ED56F5" w:rsidRDefault="008074D0" w:rsidP="008074D0">
      <w:pPr>
        <w:spacing w:before="240"/>
        <w:rPr>
          <w:u w:val="single"/>
        </w:rPr>
      </w:pPr>
      <w:r w:rsidRPr="00ED56F5">
        <w:rPr>
          <w:u w:val="single"/>
        </w:rPr>
        <w:t xml:space="preserve">3. Doelmatigheid en </w:t>
      </w:r>
      <w:r w:rsidR="007A77C4">
        <w:rPr>
          <w:u w:val="single"/>
        </w:rPr>
        <w:t>b</w:t>
      </w:r>
      <w:r w:rsidRPr="00ED56F5">
        <w:rPr>
          <w:u w:val="single"/>
        </w:rPr>
        <w:t>etaalbaarheid</w:t>
      </w:r>
    </w:p>
    <w:p w14:paraId="6ADEAEEE" w14:textId="77777777" w:rsidR="008074D0" w:rsidRPr="00ED56F5" w:rsidRDefault="008074D0" w:rsidP="008074D0">
      <w:pPr>
        <w:numPr>
          <w:ilvl w:val="0"/>
          <w:numId w:val="27"/>
        </w:numPr>
      </w:pPr>
      <w:r w:rsidRPr="00ED56F5">
        <w:t>Efficiënt inzetten van publieke middelen door een evenwicht te vinden tussen kosten en kwaliteit, met een transparante en eerlijke vergoedingensystematiek.</w:t>
      </w:r>
    </w:p>
    <w:p w14:paraId="7BE9CB75" w14:textId="1C173FA0" w:rsidR="008074D0" w:rsidRPr="00ED56F5" w:rsidRDefault="008074D0" w:rsidP="008074D0">
      <w:pPr>
        <w:numPr>
          <w:ilvl w:val="0"/>
          <w:numId w:val="27"/>
        </w:numPr>
      </w:pPr>
      <w:r w:rsidRPr="00ED56F5">
        <w:t>Kostenbeheersing door middel van een realistische, kostendekkende vergoeding per uur</w:t>
      </w:r>
      <w:r w:rsidR="00333F62">
        <w:t>.</w:t>
      </w:r>
    </w:p>
    <w:p w14:paraId="532F3007" w14:textId="77777777" w:rsidR="008074D0" w:rsidRPr="00ED56F5" w:rsidRDefault="008074D0" w:rsidP="008074D0">
      <w:pPr>
        <w:numPr>
          <w:ilvl w:val="0"/>
          <w:numId w:val="27"/>
        </w:numPr>
      </w:pPr>
      <w:r w:rsidRPr="00ED56F5">
        <w:t>Vermijden van onnodige administratieve lasten voor zowel aanbieders als de gemeenten.</w:t>
      </w:r>
    </w:p>
    <w:p w14:paraId="5452655E" w14:textId="65980DF6" w:rsidR="008074D0" w:rsidRPr="00ED56F5" w:rsidRDefault="008074D0" w:rsidP="008074D0">
      <w:pPr>
        <w:spacing w:before="240"/>
        <w:rPr>
          <w:u w:val="single"/>
        </w:rPr>
      </w:pPr>
      <w:r w:rsidRPr="71FE6EE8">
        <w:rPr>
          <w:u w:val="single"/>
        </w:rPr>
        <w:t xml:space="preserve">4. Keuzevrijheid voor </w:t>
      </w:r>
      <w:r w:rsidR="007A77C4">
        <w:rPr>
          <w:u w:val="single"/>
        </w:rPr>
        <w:t>c</w:t>
      </w:r>
      <w:r w:rsidRPr="71FE6EE8">
        <w:rPr>
          <w:u w:val="single"/>
        </w:rPr>
        <w:t>liënten</w:t>
      </w:r>
    </w:p>
    <w:p w14:paraId="7807A568" w14:textId="2E6B3795" w:rsidR="008074D0" w:rsidRPr="00ED56F5" w:rsidRDefault="0076197C" w:rsidP="008074D0">
      <w:pPr>
        <w:numPr>
          <w:ilvl w:val="0"/>
          <w:numId w:val="28"/>
        </w:numPr>
      </w:pPr>
      <w:r>
        <w:t xml:space="preserve">Streven naar </w:t>
      </w:r>
      <w:r w:rsidR="008074D0" w:rsidRPr="00ED56F5">
        <w:t xml:space="preserve">keuzevrijheid </w:t>
      </w:r>
      <w:r>
        <w:t xml:space="preserve">voor </w:t>
      </w:r>
      <w:r w:rsidRPr="00ED56F5">
        <w:t>cliënt</w:t>
      </w:r>
      <w:r>
        <w:t xml:space="preserve">en </w:t>
      </w:r>
      <w:r w:rsidR="008074D0" w:rsidRPr="00ED56F5">
        <w:t>tussen verschillende aanbieders, passend bij hun specifieke wensen en behoeften.</w:t>
      </w:r>
    </w:p>
    <w:p w14:paraId="586173F3" w14:textId="77777777" w:rsidR="008074D0" w:rsidRDefault="008074D0" w:rsidP="008074D0">
      <w:pPr>
        <w:numPr>
          <w:ilvl w:val="0"/>
          <w:numId w:val="28"/>
        </w:numPr>
      </w:pPr>
      <w:r w:rsidRPr="00ED56F5">
        <w:t>Zorgen voor voldoende spreiding van aanbieders binnen de regio om bereikbaarheid en beschikbaarheid te optimaliseren.</w:t>
      </w:r>
    </w:p>
    <w:p w14:paraId="09CA803C" w14:textId="77777777" w:rsidR="00AB2A1B" w:rsidRDefault="00AB2A1B" w:rsidP="00AB2A1B">
      <w:pPr>
        <w:ind w:left="720"/>
      </w:pPr>
    </w:p>
    <w:p w14:paraId="158DEA13" w14:textId="23BDC772" w:rsidR="008A3304" w:rsidRPr="008A3304" w:rsidRDefault="008A3304" w:rsidP="008A3304">
      <w:pPr>
        <w:spacing w:line="240" w:lineRule="atLeast"/>
      </w:pPr>
      <w:r w:rsidRPr="008A3304">
        <w:lastRenderedPageBreak/>
        <w:t xml:space="preserve">Het doel van de aanbesteding is om per 1 juli 2026 nieuwe raamovereenkomsten af te sluiten voor Huishoudelijke Ondersteuning met maximaal 8 aanbieders. </w:t>
      </w:r>
    </w:p>
    <w:p w14:paraId="38B688F0" w14:textId="77777777" w:rsidR="00BD36DC" w:rsidRDefault="00BD36DC" w:rsidP="00CE2131">
      <w:pPr>
        <w:pStyle w:val="Kop3"/>
      </w:pPr>
      <w:bookmarkStart w:id="10" w:name="_Toc216957395"/>
      <w:r>
        <w:t>2.1.4</w:t>
      </w:r>
      <w:r>
        <w:tab/>
        <w:t>Omschrijving en afbakening in te kopen voorzieningen</w:t>
      </w:r>
      <w:bookmarkEnd w:id="10"/>
    </w:p>
    <w:p w14:paraId="706BE4AF" w14:textId="13D9DD41" w:rsidR="00BC5410" w:rsidRPr="005E390B" w:rsidRDefault="00BC5410" w:rsidP="00BC5410">
      <w:r>
        <w:t>De gemeenten wensen de hu</w:t>
      </w:r>
      <w:r w:rsidR="13546E21">
        <w:t>ishoudelijke ondersteuning</w:t>
      </w:r>
      <w:r>
        <w:t xml:space="preserve"> in de vorm van zorg “in natura” (ZIN) of middels een persoonsgebonden budget (hierna verder te noemen PGB) te kunnen leveren aan de daarvoor geïndiceerde cliënten. Deze aanbesteding betreft enkel het verlenen van zorg “in natura”.</w:t>
      </w:r>
    </w:p>
    <w:p w14:paraId="7630F785" w14:textId="0C7310B4" w:rsidR="00BC5410" w:rsidRDefault="00BC5410" w:rsidP="00BC5410">
      <w:r>
        <w:t xml:space="preserve">De door </w:t>
      </w:r>
      <w:r w:rsidR="00D850C5">
        <w:t>a</w:t>
      </w:r>
      <w:r>
        <w:t xml:space="preserve">anbieder te leveren dienstverlening en de eisen waaraan deze moet voldoen, zijn beschreven in de ‘Overeenkomst Maatwerkvoorzieningen maatschappelijke ondersteuning, Hulp bij het huishouden </w:t>
      </w:r>
      <w:r w:rsidRPr="00F26693">
        <w:t>2026 - 20</w:t>
      </w:r>
      <w:r w:rsidR="00D850C5">
        <w:t>32</w:t>
      </w:r>
      <w:r>
        <w:t xml:space="preserve">’ zoals opgenomen in </w:t>
      </w:r>
      <w:r w:rsidRPr="00A15242">
        <w:t xml:space="preserve">bijlage </w:t>
      </w:r>
      <w:r w:rsidR="00A15242" w:rsidRPr="00A15242">
        <w:t>2</w:t>
      </w:r>
      <w:r w:rsidR="00520FC5" w:rsidRPr="00A15242">
        <w:t>.</w:t>
      </w:r>
    </w:p>
    <w:p w14:paraId="63DB064E" w14:textId="77777777" w:rsidR="004B4CBA" w:rsidRPr="00520FC5" w:rsidRDefault="004B4CBA" w:rsidP="004B4CBA">
      <w:pPr>
        <w:autoSpaceDE w:val="0"/>
        <w:autoSpaceDN w:val="0"/>
        <w:adjustRightInd w:val="0"/>
      </w:pPr>
      <w:r w:rsidRPr="00520FC5">
        <w:t xml:space="preserve">Om een indicatie te geven van de inzet HO in de GHO-gemeenten zijn in onderstaand schema de productiegegevens opgenomen van Huishoudelijke ondersteuning, per 1 oktober 2025. De genoemde aantallen zijn indicatief. Aan deze aantallen kan inschrijver op geen enkele wijze rechten ontlenen. </w:t>
      </w:r>
    </w:p>
    <w:p w14:paraId="55509E16" w14:textId="77777777" w:rsidR="003947A4" w:rsidRPr="001E6646" w:rsidRDefault="003947A4" w:rsidP="004B4CBA">
      <w:pPr>
        <w:autoSpaceDE w:val="0"/>
        <w:autoSpaceDN w:val="0"/>
        <w:adjustRightInd w:val="0"/>
        <w:rPr>
          <w:rFonts w:ascii="Calibri" w:eastAsia="Arial" w:hAnsi="Calibri" w:cs="Calibri"/>
          <w:sz w:val="22"/>
          <w:szCs w:val="22"/>
        </w:rPr>
      </w:pPr>
    </w:p>
    <w:tbl>
      <w:tblPr>
        <w:tblW w:w="0" w:type="auto"/>
        <w:tblCellMar>
          <w:left w:w="0" w:type="dxa"/>
          <w:right w:w="0" w:type="dxa"/>
        </w:tblCellMar>
        <w:tblLook w:val="04A0" w:firstRow="1" w:lastRow="0" w:firstColumn="1" w:lastColumn="0" w:noHBand="0" w:noVBand="1"/>
      </w:tblPr>
      <w:tblGrid>
        <w:gridCol w:w="3114"/>
        <w:gridCol w:w="2835"/>
      </w:tblGrid>
      <w:tr w:rsidR="004B4CBA" w:rsidRPr="001E6646" w14:paraId="4AB9C167" w14:textId="77777777" w:rsidTr="007C3BA8">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CDA644" w14:textId="77777777" w:rsidR="004B4CBA" w:rsidRPr="001E6646" w:rsidRDefault="004B4CBA" w:rsidP="007C3BA8">
            <w:pPr>
              <w:rPr>
                <w:rFonts w:ascii="Calibri" w:eastAsia="Arial" w:hAnsi="Calibri" w:cs="Calibri"/>
                <w:b/>
                <w:bCs/>
                <w:sz w:val="22"/>
                <w:szCs w:val="22"/>
              </w:rPr>
            </w:pPr>
            <w:r w:rsidRPr="001E6646">
              <w:rPr>
                <w:rFonts w:ascii="Calibri" w:eastAsia="Arial" w:hAnsi="Calibri" w:cs="Calibri"/>
                <w:b/>
                <w:bCs/>
                <w:sz w:val="22"/>
                <w:szCs w:val="22"/>
              </w:rPr>
              <w:t>Gemeente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056AC" w14:textId="77777777" w:rsidR="004B4CBA" w:rsidRPr="001E6646" w:rsidRDefault="004B4CBA" w:rsidP="007C3BA8">
            <w:pPr>
              <w:rPr>
                <w:rFonts w:ascii="Calibri" w:eastAsia="Arial" w:hAnsi="Calibri" w:cs="Calibri"/>
                <w:b/>
                <w:bCs/>
                <w:sz w:val="22"/>
                <w:szCs w:val="22"/>
              </w:rPr>
            </w:pPr>
            <w:r w:rsidRPr="001E6646">
              <w:rPr>
                <w:rFonts w:ascii="Calibri" w:eastAsia="Arial" w:hAnsi="Calibri" w:cs="Calibri"/>
                <w:b/>
                <w:bCs/>
                <w:sz w:val="22"/>
                <w:szCs w:val="22"/>
              </w:rPr>
              <w:t>Unieke cliënten</w:t>
            </w:r>
          </w:p>
        </w:tc>
      </w:tr>
      <w:tr w:rsidR="004B4CBA" w:rsidRPr="001E6646" w14:paraId="2AD77CF4" w14:textId="77777777" w:rsidTr="007C3BA8">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D59BE"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 xml:space="preserve">Hilvarenbeek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3A8B93E"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460</w:t>
            </w:r>
          </w:p>
        </w:tc>
      </w:tr>
      <w:tr w:rsidR="004B4CBA" w:rsidRPr="001E6646" w14:paraId="68FF4682" w14:textId="77777777" w:rsidTr="007C3BA8">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1792E"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Goirle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FF299B4"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768</w:t>
            </w:r>
          </w:p>
        </w:tc>
      </w:tr>
      <w:tr w:rsidR="004B4CBA" w:rsidRPr="001E6646" w14:paraId="4D146182" w14:textId="77777777" w:rsidTr="007C3BA8">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0EB4E"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Oisterwijk</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98FCF66"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855</w:t>
            </w:r>
          </w:p>
        </w:tc>
      </w:tr>
    </w:tbl>
    <w:p w14:paraId="21ED8FD2" w14:textId="77777777" w:rsidR="004B4CBA" w:rsidRPr="001E6646" w:rsidRDefault="004B4CBA" w:rsidP="004B4CBA">
      <w:pPr>
        <w:autoSpaceDE w:val="0"/>
        <w:autoSpaceDN w:val="0"/>
        <w:adjustRightInd w:val="0"/>
        <w:rPr>
          <w:rFonts w:ascii="Calibri" w:eastAsia="Arial" w:hAnsi="Calibri" w:cs="Calibri"/>
          <w:sz w:val="22"/>
          <w:szCs w:val="22"/>
        </w:rPr>
      </w:pPr>
    </w:p>
    <w:p w14:paraId="31B32BBB" w14:textId="5E7EB904" w:rsidR="004B4CBA" w:rsidRPr="001E6646" w:rsidRDefault="004B4CBA" w:rsidP="004B4CBA">
      <w:pPr>
        <w:spacing w:after="200"/>
        <w:rPr>
          <w:rFonts w:ascii="Calibri" w:eastAsia="Arial" w:hAnsi="Calibri" w:cs="Calibri"/>
          <w:sz w:val="22"/>
          <w:szCs w:val="22"/>
        </w:rPr>
      </w:pPr>
      <w:r w:rsidRPr="001E6646">
        <w:rPr>
          <w:rFonts w:ascii="Calibri" w:eastAsia="Arial" w:hAnsi="Calibri" w:cs="Calibri"/>
          <w:sz w:val="22"/>
          <w:szCs w:val="22"/>
        </w:rPr>
        <w:t>Inwoneraantal per gemeente: peildatum 1 januari 2025 – bron CBS</w:t>
      </w:r>
    </w:p>
    <w:tbl>
      <w:tblPr>
        <w:tblStyle w:val="Tabelraster"/>
        <w:tblW w:w="0" w:type="auto"/>
        <w:tblLook w:val="04A0" w:firstRow="1" w:lastRow="0" w:firstColumn="1" w:lastColumn="0" w:noHBand="0" w:noVBand="1"/>
      </w:tblPr>
      <w:tblGrid>
        <w:gridCol w:w="1812"/>
        <w:gridCol w:w="1812"/>
        <w:gridCol w:w="1812"/>
      </w:tblGrid>
      <w:tr w:rsidR="004B4CBA" w:rsidRPr="001E6646" w14:paraId="5A22D38C" w14:textId="77777777" w:rsidTr="007C3BA8">
        <w:tc>
          <w:tcPr>
            <w:tcW w:w="1812" w:type="dxa"/>
          </w:tcPr>
          <w:p w14:paraId="41A16080" w14:textId="77777777" w:rsidR="004B4CBA" w:rsidRPr="001E6646" w:rsidRDefault="004B4CBA" w:rsidP="007C3BA8">
            <w:pPr>
              <w:rPr>
                <w:rFonts w:ascii="Calibri" w:eastAsia="Arial" w:hAnsi="Calibri" w:cs="Calibri"/>
                <w:b/>
                <w:bCs/>
                <w:sz w:val="22"/>
                <w:szCs w:val="22"/>
              </w:rPr>
            </w:pPr>
            <w:r w:rsidRPr="001E6646">
              <w:rPr>
                <w:rFonts w:ascii="Calibri" w:eastAsia="Arial" w:hAnsi="Calibri" w:cs="Calibri"/>
                <w:b/>
                <w:bCs/>
                <w:sz w:val="22"/>
                <w:szCs w:val="22"/>
              </w:rPr>
              <w:t>Goirle</w:t>
            </w:r>
          </w:p>
        </w:tc>
        <w:tc>
          <w:tcPr>
            <w:tcW w:w="1812" w:type="dxa"/>
          </w:tcPr>
          <w:p w14:paraId="66FFF7D9" w14:textId="77777777" w:rsidR="004B4CBA" w:rsidRPr="001E6646" w:rsidRDefault="004B4CBA" w:rsidP="007C3BA8">
            <w:pPr>
              <w:rPr>
                <w:rFonts w:ascii="Calibri" w:eastAsia="Arial" w:hAnsi="Calibri" w:cs="Calibri"/>
                <w:b/>
                <w:bCs/>
                <w:sz w:val="22"/>
                <w:szCs w:val="22"/>
              </w:rPr>
            </w:pPr>
            <w:r w:rsidRPr="001E6646">
              <w:rPr>
                <w:rFonts w:ascii="Calibri" w:eastAsia="Arial" w:hAnsi="Calibri" w:cs="Calibri"/>
                <w:b/>
                <w:bCs/>
                <w:sz w:val="22"/>
                <w:szCs w:val="22"/>
              </w:rPr>
              <w:t>Hilvarenbeek</w:t>
            </w:r>
          </w:p>
        </w:tc>
        <w:tc>
          <w:tcPr>
            <w:tcW w:w="1812" w:type="dxa"/>
          </w:tcPr>
          <w:p w14:paraId="04D42883" w14:textId="77777777" w:rsidR="004B4CBA" w:rsidRPr="001E6646" w:rsidRDefault="004B4CBA" w:rsidP="007C3BA8">
            <w:pPr>
              <w:rPr>
                <w:rFonts w:ascii="Calibri" w:eastAsia="Arial" w:hAnsi="Calibri" w:cs="Calibri"/>
                <w:b/>
                <w:bCs/>
                <w:sz w:val="22"/>
                <w:szCs w:val="22"/>
              </w:rPr>
            </w:pPr>
            <w:r w:rsidRPr="001E6646">
              <w:rPr>
                <w:rFonts w:ascii="Calibri" w:eastAsia="Arial" w:hAnsi="Calibri" w:cs="Calibri"/>
                <w:b/>
                <w:bCs/>
                <w:sz w:val="22"/>
                <w:szCs w:val="22"/>
              </w:rPr>
              <w:t>Oisterwijk</w:t>
            </w:r>
          </w:p>
        </w:tc>
      </w:tr>
      <w:tr w:rsidR="004B4CBA" w:rsidRPr="00683AF7" w14:paraId="3691C8B7" w14:textId="77777777" w:rsidTr="007C3BA8">
        <w:tc>
          <w:tcPr>
            <w:tcW w:w="1812" w:type="dxa"/>
          </w:tcPr>
          <w:p w14:paraId="051A9747"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24.468</w:t>
            </w:r>
          </w:p>
        </w:tc>
        <w:tc>
          <w:tcPr>
            <w:tcW w:w="1812" w:type="dxa"/>
          </w:tcPr>
          <w:p w14:paraId="682A241B" w14:textId="77777777" w:rsidR="004B4CBA" w:rsidRPr="001E6646" w:rsidRDefault="004B4CBA" w:rsidP="007C3BA8">
            <w:pPr>
              <w:rPr>
                <w:rFonts w:ascii="Calibri" w:eastAsia="Arial" w:hAnsi="Calibri" w:cs="Calibri"/>
                <w:sz w:val="22"/>
                <w:szCs w:val="22"/>
              </w:rPr>
            </w:pPr>
            <w:r w:rsidRPr="001E6646">
              <w:rPr>
                <w:rFonts w:ascii="Calibri" w:eastAsia="Arial" w:hAnsi="Calibri" w:cs="Calibri"/>
                <w:sz w:val="22"/>
                <w:szCs w:val="22"/>
              </w:rPr>
              <w:t>16.149</w:t>
            </w:r>
          </w:p>
        </w:tc>
        <w:tc>
          <w:tcPr>
            <w:tcW w:w="1812" w:type="dxa"/>
          </w:tcPr>
          <w:p w14:paraId="33B80B2F" w14:textId="77777777" w:rsidR="004B4CBA" w:rsidRPr="00683AF7" w:rsidRDefault="004B4CBA" w:rsidP="007C3BA8">
            <w:pPr>
              <w:rPr>
                <w:rFonts w:ascii="Calibri" w:eastAsia="Arial" w:hAnsi="Calibri" w:cs="Calibri"/>
                <w:sz w:val="22"/>
                <w:szCs w:val="22"/>
              </w:rPr>
            </w:pPr>
            <w:r w:rsidRPr="001E6646">
              <w:rPr>
                <w:rFonts w:ascii="Calibri" w:eastAsia="Arial" w:hAnsi="Calibri" w:cs="Calibri"/>
                <w:sz w:val="22"/>
                <w:szCs w:val="22"/>
              </w:rPr>
              <w:t>33.108</w:t>
            </w:r>
          </w:p>
        </w:tc>
      </w:tr>
    </w:tbl>
    <w:p w14:paraId="7DF12175" w14:textId="77777777" w:rsidR="004B4CBA" w:rsidRDefault="004B4CBA" w:rsidP="00BC5410"/>
    <w:p w14:paraId="160E04A6" w14:textId="77777777" w:rsidR="00BD36DC" w:rsidRDefault="00BD36DC" w:rsidP="00CE2131">
      <w:pPr>
        <w:pStyle w:val="Kop2"/>
      </w:pPr>
      <w:bookmarkStart w:id="11" w:name="_Toc216957396"/>
      <w:r>
        <w:t>2.2</w:t>
      </w:r>
      <w:r>
        <w:tab/>
        <w:t>Toeleiding van cliënten naar voorzieningen</w:t>
      </w:r>
      <w:bookmarkEnd w:id="11"/>
    </w:p>
    <w:p w14:paraId="1869638F" w14:textId="29D199AF" w:rsidR="005F487C" w:rsidRDefault="005F487C" w:rsidP="005F487C">
      <w:r w:rsidRPr="00795325">
        <w:t xml:space="preserve">Voor iedere individuele </w:t>
      </w:r>
      <w:r>
        <w:t>c</w:t>
      </w:r>
      <w:r w:rsidRPr="00795325">
        <w:t xml:space="preserve">liënt verstrekt de </w:t>
      </w:r>
      <w:r>
        <w:t>g</w:t>
      </w:r>
      <w:r w:rsidRPr="00795325">
        <w:t>emeente een opdracht tot het leveren van Hulp bij het huishouden. Deze opdracht is gebaseerd op een schriftelijke indicatiestelling waarin de aard, omvang en frequentie van de benodigde ondersteuning zijn vastgelegd.</w:t>
      </w:r>
    </w:p>
    <w:p w14:paraId="2C7253F7" w14:textId="77777777" w:rsidR="00BD36DC" w:rsidRDefault="00BD36DC" w:rsidP="001D0219">
      <w:pPr>
        <w:pStyle w:val="Kop2"/>
      </w:pPr>
      <w:bookmarkStart w:id="12" w:name="_Toc216957397"/>
      <w:r>
        <w:t>2.3</w:t>
      </w:r>
      <w:r>
        <w:tab/>
        <w:t>Monitoring, sturing, toezicht en leren</w:t>
      </w:r>
      <w:bookmarkEnd w:id="12"/>
    </w:p>
    <w:p w14:paraId="7CCF5BAD" w14:textId="2A589DA9" w:rsidR="007922F2" w:rsidRPr="0092241A" w:rsidRDefault="00587341" w:rsidP="007922F2">
      <w:pPr>
        <w:rPr>
          <w:i/>
          <w:iCs/>
        </w:rPr>
      </w:pPr>
      <w:r w:rsidRPr="0092241A">
        <w:rPr>
          <w:i/>
          <w:iCs/>
        </w:rPr>
        <w:t>Monitoring</w:t>
      </w:r>
    </w:p>
    <w:p w14:paraId="3581C5EA" w14:textId="77777777" w:rsidR="00587341" w:rsidRDefault="00587341" w:rsidP="00587341">
      <w:pPr>
        <w:spacing w:after="0"/>
      </w:pPr>
      <w:r>
        <w:t>Opdrachtgever stelt de volgende eisen aan de monitoring en verantwoording:</w:t>
      </w:r>
    </w:p>
    <w:p w14:paraId="6348794F" w14:textId="77777777" w:rsidR="00587341" w:rsidRDefault="00587341" w:rsidP="00587341">
      <w:pPr>
        <w:spacing w:after="0"/>
      </w:pPr>
    </w:p>
    <w:p w14:paraId="4E927DA5" w14:textId="77777777" w:rsidR="00587341" w:rsidRPr="00D45680" w:rsidRDefault="00587341" w:rsidP="00587341">
      <w:pPr>
        <w:pStyle w:val="Lijstalinea"/>
        <w:numPr>
          <w:ilvl w:val="0"/>
          <w:numId w:val="29"/>
        </w:numPr>
        <w:spacing w:after="0" w:line="240" w:lineRule="atLeast"/>
        <w:ind w:left="259" w:hanging="284"/>
      </w:pPr>
      <w:r w:rsidRPr="00D45680">
        <w:t>Opdrachtnemer verzorgt de volgende vaste contactpersonen:</w:t>
      </w:r>
    </w:p>
    <w:p w14:paraId="64EB0266" w14:textId="77777777" w:rsidR="00587341" w:rsidRPr="00D45680" w:rsidRDefault="00587341" w:rsidP="00587341">
      <w:pPr>
        <w:pStyle w:val="Lijstalinea"/>
        <w:numPr>
          <w:ilvl w:val="1"/>
          <w:numId w:val="30"/>
        </w:numPr>
        <w:spacing w:after="0" w:line="240" w:lineRule="atLeast"/>
        <w:ind w:left="684"/>
      </w:pPr>
      <w:r w:rsidRPr="00D45680">
        <w:t>Op managementniveau voor het beheer van het contract;</w:t>
      </w:r>
    </w:p>
    <w:p w14:paraId="26C7ECA1" w14:textId="77777777" w:rsidR="00587341" w:rsidRPr="00D45680" w:rsidRDefault="00587341" w:rsidP="00587341">
      <w:pPr>
        <w:pStyle w:val="Lijstalinea"/>
        <w:numPr>
          <w:ilvl w:val="1"/>
          <w:numId w:val="30"/>
        </w:numPr>
        <w:spacing w:after="0" w:line="240" w:lineRule="atLeast"/>
        <w:ind w:left="684"/>
      </w:pPr>
      <w:r w:rsidRPr="00D45680">
        <w:t>Op uitvoeringsniveau voor de dagelijkse uitvoering van het contract inzake de ondersteuning van cliënten</w:t>
      </w:r>
    </w:p>
    <w:p w14:paraId="5ECDB3B4" w14:textId="77777777" w:rsidR="00587341" w:rsidRPr="00D45680" w:rsidRDefault="00587341" w:rsidP="00587341">
      <w:pPr>
        <w:pStyle w:val="Lijstalinea"/>
        <w:numPr>
          <w:ilvl w:val="1"/>
          <w:numId w:val="30"/>
        </w:numPr>
        <w:spacing w:after="0" w:line="240" w:lineRule="atLeast"/>
        <w:ind w:left="684"/>
      </w:pPr>
      <w:r w:rsidRPr="00D45680">
        <w:t>Op uitvoeringsniveau voor de dagelijkse uitvoering van het contract inzake facturatie</w:t>
      </w:r>
    </w:p>
    <w:p w14:paraId="1473EAB8" w14:textId="77777777" w:rsidR="00587341" w:rsidRPr="00D45680" w:rsidRDefault="00587341" w:rsidP="00587341">
      <w:pPr>
        <w:pStyle w:val="Lijstalinea"/>
        <w:numPr>
          <w:ilvl w:val="1"/>
          <w:numId w:val="30"/>
        </w:numPr>
        <w:spacing w:after="0" w:line="240" w:lineRule="atLeast"/>
        <w:ind w:left="684"/>
      </w:pPr>
      <w:r w:rsidRPr="00D45680">
        <w:t>Bij afwezigheid van de contactpersoon is er een vervanger beschikbaar.</w:t>
      </w:r>
    </w:p>
    <w:p w14:paraId="5A640612" w14:textId="77777777" w:rsidR="00587341" w:rsidRPr="00D45680" w:rsidRDefault="00587341" w:rsidP="00587341">
      <w:pPr>
        <w:pStyle w:val="Lijstalinea"/>
        <w:spacing w:after="0" w:line="240" w:lineRule="atLeast"/>
        <w:ind w:left="684"/>
      </w:pPr>
    </w:p>
    <w:p w14:paraId="3E003EA7" w14:textId="77777777" w:rsidR="00587341" w:rsidRPr="00D45680" w:rsidRDefault="00587341" w:rsidP="00587341">
      <w:pPr>
        <w:pStyle w:val="Lijstalinea"/>
        <w:numPr>
          <w:ilvl w:val="0"/>
          <w:numId w:val="29"/>
        </w:numPr>
        <w:spacing w:after="0" w:line="240" w:lineRule="atLeast"/>
        <w:ind w:left="259" w:hanging="284"/>
      </w:pPr>
      <w:r w:rsidRPr="00D45680">
        <w:t>Opdrachtnemer verleent medewerking aan evaluatie, monitoring en periodiek overleg.</w:t>
      </w:r>
    </w:p>
    <w:p w14:paraId="1C830FEF" w14:textId="77777777" w:rsidR="00A10A7B" w:rsidRDefault="00587341" w:rsidP="00A10A7B">
      <w:pPr>
        <w:pStyle w:val="Lijstalinea"/>
        <w:numPr>
          <w:ilvl w:val="0"/>
          <w:numId w:val="29"/>
        </w:numPr>
        <w:spacing w:after="0" w:line="240" w:lineRule="atLeast"/>
        <w:ind w:left="259" w:hanging="284"/>
      </w:pPr>
      <w:r w:rsidRPr="00D45680">
        <w:t xml:space="preserve">Opdrachtnemer moet digitale gegevens en nader te bepalen rapportages en prestatie-indicatoren aanleveren aan opdrachtgever indien deze om gegevens vraagt. </w:t>
      </w:r>
    </w:p>
    <w:p w14:paraId="45ED4729" w14:textId="7308326A" w:rsidR="00A10A7B" w:rsidRDefault="00587341" w:rsidP="00A10A7B">
      <w:pPr>
        <w:pStyle w:val="Lijstalinea"/>
        <w:numPr>
          <w:ilvl w:val="0"/>
          <w:numId w:val="29"/>
        </w:numPr>
        <w:spacing w:after="0" w:line="240" w:lineRule="atLeast"/>
        <w:ind w:left="259" w:hanging="284"/>
      </w:pPr>
      <w:r w:rsidRPr="00D45680">
        <w:t>Denk hierbij aan interne wachtlijst, klachtenafhandeling en SROI (niet limitatief).</w:t>
      </w:r>
    </w:p>
    <w:p w14:paraId="71608A7E" w14:textId="1C13FD68" w:rsidR="00587341" w:rsidRDefault="00587341" w:rsidP="00A10A7B">
      <w:pPr>
        <w:pStyle w:val="Lijstalinea"/>
        <w:ind w:left="259"/>
      </w:pPr>
      <w:r w:rsidRPr="00D45680">
        <w:t>Tenminste een maal per jaar vindt er een overleg plaats tussen opdrachtgever en alle opdrachtnemers over de resultaten van de monitor. Opdrachtnemer verplicht zich hieraan deel te nemen. Wanneer er aanleiding toe is, kan de frequentie van de overleggen worden verhoogd.</w:t>
      </w:r>
    </w:p>
    <w:p w14:paraId="1A2428BA" w14:textId="4AAA280D" w:rsidR="00BD36DC" w:rsidRPr="00325260" w:rsidRDefault="00BD36DC" w:rsidP="00BD36DC">
      <w:pPr>
        <w:rPr>
          <w:i/>
          <w:iCs/>
        </w:rPr>
      </w:pPr>
      <w:r w:rsidRPr="00325260">
        <w:rPr>
          <w:i/>
          <w:iCs/>
        </w:rPr>
        <w:t>Wet bevorderen samenwerking en rechtmatige zorg en de Uitvoeringsregeling Waarschuwingsregister zorgfraude</w:t>
      </w:r>
    </w:p>
    <w:p w14:paraId="783B2442" w14:textId="77777777" w:rsidR="00BD36DC" w:rsidRDefault="00BD36DC" w:rsidP="00BD36DC">
      <w:r>
        <w:t>Op 1 januari 2025 trad de Wet bevorderen samenwerking en rechtmatige zorg (</w:t>
      </w:r>
      <w:proofErr w:type="spellStart"/>
      <w:r>
        <w:t>Wbsrz</w:t>
      </w:r>
      <w:proofErr w:type="spellEnd"/>
      <w:r>
        <w:t>) in werking. Op basis van deze wet en de Uitvoeringsregeling Waarschuwingsregister zorgfraude delen gemeenten, zorgverzekeraars en zorgkantoren gegevens met elkaar over (rechts)personen die fraude in de zorg hebben gepleegd. Opdrachtgever gebruikt daarvoor als gemeente(n) het Waarschuwingsregister.</w:t>
      </w:r>
    </w:p>
    <w:p w14:paraId="2CDCB283" w14:textId="320D0494" w:rsidR="00EA1683" w:rsidRPr="00495103" w:rsidRDefault="00EA1683" w:rsidP="00495103">
      <w:pPr>
        <w:pStyle w:val="Geenafstand"/>
        <w:rPr>
          <w:i/>
          <w:iCs/>
        </w:rPr>
      </w:pPr>
      <w:bookmarkStart w:id="13" w:name="_Toc98331718"/>
      <w:r w:rsidRPr="00495103">
        <w:rPr>
          <w:i/>
          <w:iCs/>
        </w:rPr>
        <w:t>Werkafsprakenboek</w:t>
      </w:r>
      <w:bookmarkEnd w:id="13"/>
    </w:p>
    <w:p w14:paraId="29B923C8" w14:textId="77777777" w:rsidR="00EA1683" w:rsidRPr="00EA1683" w:rsidRDefault="00EA1683" w:rsidP="00EA1683">
      <w:r w:rsidRPr="00EA1683">
        <w:t xml:space="preserve">Gedurende de looptijd van de overeenkomst wordt er gewerkt met een werkafsprakenboek. Het werkafsprakenboek is een set van nadere afspraken m.b.t. de uitvoering van de overeenkomst. Het werkafsprakenboek is een dynamisch document. Het werkafsprakenboek wordt opgesteld door de opdrachtgever in overleg met de aanbieders. Bij wijzigingen is de opdrachtgever leidend. De opdrachtgever draagt er zorg voor dat alle aanbieders beschikken over de laatste versie van het werkafsprakenboek. De aanbieders zijn verantwoordelijk voor het kenbaar maken van het werkafsprakenboek binnen de organisatie. Tijdens de implementatiefase zal het werkafsprakenboek worden opgesteld. </w:t>
      </w:r>
    </w:p>
    <w:p w14:paraId="35851BC6" w14:textId="77777777" w:rsidR="00BD36DC" w:rsidRDefault="00BD36DC" w:rsidP="003A1BA1">
      <w:pPr>
        <w:pStyle w:val="Kop2"/>
      </w:pPr>
      <w:bookmarkStart w:id="14" w:name="_Toc216957398"/>
      <w:r>
        <w:t>2.4</w:t>
      </w:r>
      <w:r>
        <w:tab/>
        <w:t>Bekostiging</w:t>
      </w:r>
      <w:bookmarkEnd w:id="14"/>
    </w:p>
    <w:p w14:paraId="6A053E53" w14:textId="1ABC5F5C" w:rsidR="00BD36DC" w:rsidRDefault="00BD36DC" w:rsidP="00CE2CB5">
      <w:pPr>
        <w:pStyle w:val="Kop3"/>
      </w:pPr>
      <w:bookmarkStart w:id="15" w:name="_Toc216957399"/>
      <w:r>
        <w:t>2.4.1</w:t>
      </w:r>
      <w:r>
        <w:tab/>
        <w:t>Uitvoeringsvariant</w:t>
      </w:r>
      <w:bookmarkEnd w:id="15"/>
    </w:p>
    <w:p w14:paraId="428A1240" w14:textId="77777777" w:rsidR="00AC146B" w:rsidRDefault="00AC146B" w:rsidP="00AC146B">
      <w:r w:rsidRPr="00D33196">
        <w:t>De gemeente</w:t>
      </w:r>
      <w:r>
        <w:t>n</w:t>
      </w:r>
      <w:r w:rsidRPr="00D33196">
        <w:t xml:space="preserve"> pas</w:t>
      </w:r>
      <w:r>
        <w:t>sen</w:t>
      </w:r>
      <w:r w:rsidRPr="00D33196">
        <w:t xml:space="preserve"> voor de in te kopen voorzieningen de inspanningsgerichte uitvoeringsvariant toe</w:t>
      </w:r>
      <w:r>
        <w:t xml:space="preserve">: </w:t>
      </w:r>
      <w:r w:rsidRPr="005E390B">
        <w:t>De gemeente</w:t>
      </w:r>
      <w:r>
        <w:t>n</w:t>
      </w:r>
      <w:r w:rsidRPr="005E390B">
        <w:t xml:space="preserve"> beta</w:t>
      </w:r>
      <w:r>
        <w:t>len</w:t>
      </w:r>
      <w:r w:rsidRPr="005E390B">
        <w:t xml:space="preserve"> voor de levering van maatschappelijke ondersteuning in een afgesproken tijdseenheid tegen een bepaald tarief.</w:t>
      </w:r>
    </w:p>
    <w:p w14:paraId="45EAF40C" w14:textId="0D6BC283" w:rsidR="00AC146B" w:rsidRDefault="00AC146B" w:rsidP="00AC146B">
      <w:r>
        <w:t xml:space="preserve">Het door de gemeenten vastgestelde tarief </w:t>
      </w:r>
      <w:r w:rsidRPr="00E153E7">
        <w:t xml:space="preserve">bedraagt </w:t>
      </w:r>
      <w:r w:rsidRPr="00E153E7">
        <w:rPr>
          <w:b/>
          <w:bCs/>
        </w:rPr>
        <w:t xml:space="preserve">€ </w:t>
      </w:r>
      <w:r w:rsidR="00E153E7" w:rsidRPr="00E153E7">
        <w:rPr>
          <w:b/>
          <w:bCs/>
        </w:rPr>
        <w:t>43</w:t>
      </w:r>
      <w:r w:rsidR="00BA6B08" w:rsidRPr="00E153E7">
        <w:rPr>
          <w:b/>
          <w:bCs/>
        </w:rPr>
        <w:t>,</w:t>
      </w:r>
      <w:r w:rsidR="00E153E7" w:rsidRPr="00E153E7">
        <w:rPr>
          <w:b/>
          <w:bCs/>
        </w:rPr>
        <w:t>50</w:t>
      </w:r>
      <w:r w:rsidRPr="00E153E7">
        <w:rPr>
          <w:b/>
          <w:bCs/>
        </w:rPr>
        <w:t xml:space="preserve"> per</w:t>
      </w:r>
      <w:r>
        <w:rPr>
          <w:b/>
          <w:bCs/>
        </w:rPr>
        <w:t xml:space="preserve"> uur</w:t>
      </w:r>
      <w:r>
        <w:t xml:space="preserve"> prijspeil 2026.</w:t>
      </w:r>
    </w:p>
    <w:p w14:paraId="47C1322D" w14:textId="283909E0" w:rsidR="008D0A46" w:rsidRPr="00E4233A" w:rsidRDefault="008D0A46" w:rsidP="00AC146B">
      <w:r>
        <w:t xml:space="preserve">Het genoemde tarief is </w:t>
      </w:r>
      <w:r w:rsidR="009649A8">
        <w:t>exclusief</w:t>
      </w:r>
      <w:r>
        <w:t xml:space="preserve"> BTW.</w:t>
      </w:r>
    </w:p>
    <w:p w14:paraId="6A82B217" w14:textId="1D0C41AD" w:rsidR="00BD36DC" w:rsidRDefault="00BD36DC" w:rsidP="001A7542">
      <w:pPr>
        <w:pStyle w:val="Kop3"/>
      </w:pPr>
      <w:bookmarkStart w:id="16" w:name="_Toc216957400"/>
      <w:r>
        <w:t>2.4.2</w:t>
      </w:r>
      <w:r>
        <w:tab/>
        <w:t xml:space="preserve">Berekening </w:t>
      </w:r>
      <w:r w:rsidR="00BA6B08">
        <w:t>tarieven</w:t>
      </w:r>
      <w:bookmarkEnd w:id="16"/>
    </w:p>
    <w:p w14:paraId="54DBFD44" w14:textId="6A19B2C1" w:rsidR="00BD36DC" w:rsidRDefault="00BD36DC" w:rsidP="00BD36DC">
      <w:r>
        <w:t xml:space="preserve">De inkopende organisatie </w:t>
      </w:r>
      <w:r w:rsidR="001F296F" w:rsidRPr="001F296F">
        <w:t>heeft samen met Bureau HHM een kostprijsonderzoek uitgevoerd</w:t>
      </w:r>
      <w:r w:rsidR="00C3082E">
        <w:t xml:space="preserve">.  De aanbestedende dienst </w:t>
      </w:r>
      <w:r>
        <w:t>legt in bijlage</w:t>
      </w:r>
      <w:r w:rsidR="00FD290D">
        <w:t xml:space="preserve"> </w:t>
      </w:r>
      <w:r w:rsidR="00283C1C">
        <w:t>3</w:t>
      </w:r>
      <w:r>
        <w:t xml:space="preserve"> uit hoe zij de tarieven heeft berekend.</w:t>
      </w:r>
    </w:p>
    <w:p w14:paraId="2EA6A8D4" w14:textId="38926E81" w:rsidR="00BD36DC" w:rsidRDefault="00BD36DC" w:rsidP="00BD36DC">
      <w:r>
        <w:t xml:space="preserve">Zij hield daarbij rekening met de wettelijke regels in artikel 2.6.6 </w:t>
      </w:r>
      <w:proofErr w:type="spellStart"/>
      <w:r>
        <w:t>Wmo</w:t>
      </w:r>
      <w:proofErr w:type="spellEnd"/>
      <w:r>
        <w:t xml:space="preserve"> 2015, artikel 5.4 Uitvoeringsbesluit </w:t>
      </w:r>
      <w:proofErr w:type="spellStart"/>
      <w:r>
        <w:t>Wmo</w:t>
      </w:r>
      <w:proofErr w:type="spellEnd"/>
      <w:r>
        <w:t xml:space="preserve"> 2015, de eigen verordeningen en de geldende rechtspraak.</w:t>
      </w:r>
    </w:p>
    <w:p w14:paraId="4333F166" w14:textId="77777777" w:rsidR="00BD36DC" w:rsidRDefault="00BD36DC" w:rsidP="006C4991">
      <w:pPr>
        <w:pStyle w:val="Kop3"/>
      </w:pPr>
      <w:bookmarkStart w:id="17" w:name="_Toc216957401"/>
      <w:r>
        <w:t>2.4.3</w:t>
      </w:r>
      <w:r>
        <w:tab/>
        <w:t>Declaratie</w:t>
      </w:r>
      <w:bookmarkEnd w:id="17"/>
    </w:p>
    <w:p w14:paraId="07A56167" w14:textId="6FC939AD" w:rsidR="009B0811" w:rsidRDefault="009B0811" w:rsidP="009B0811">
      <w:r>
        <w:t xml:space="preserve">De declaratie van de geleverde hulp bij het huishouden verloopt conform de geldende contractstandaard en het standaard administratieprotocol behorend bij de </w:t>
      </w:r>
      <w:proofErr w:type="spellStart"/>
      <w:r>
        <w:t>iWmo</w:t>
      </w:r>
      <w:proofErr w:type="spellEnd"/>
      <w:r>
        <w:t xml:space="preserve">-standaard. </w:t>
      </w:r>
      <w:r>
        <w:lastRenderedPageBreak/>
        <w:t xml:space="preserve">De opdrachtnemer is verplicht gebruik te maken van het digitale berichtenverkeer via het gemeentelijk domein en hanteert daarbij de door de VNG vastgestelde </w:t>
      </w:r>
      <w:proofErr w:type="spellStart"/>
      <w:r>
        <w:t>iWmo</w:t>
      </w:r>
      <w:proofErr w:type="spellEnd"/>
      <w:r>
        <w:t>-specificaties.</w:t>
      </w:r>
    </w:p>
    <w:p w14:paraId="6E9662E3" w14:textId="77777777" w:rsidR="009B0811" w:rsidRDefault="009B0811" w:rsidP="009B0811">
      <w:r>
        <w:t xml:space="preserve">Declaratie geschiedt op basis van daadwerkelijk geleverde prestaties zoals overeengekomen in de overeenkomst. </w:t>
      </w:r>
    </w:p>
    <w:p w14:paraId="1A5CA0B1" w14:textId="77777777" w:rsidR="009B0811" w:rsidRDefault="009B0811" w:rsidP="009B0811">
      <w:r>
        <w:t>Declaratie vindt plaats op basis van de meest recente versie van het werkafsprakenboek (zie paragraaf 2.3).</w:t>
      </w:r>
    </w:p>
    <w:p w14:paraId="6E8D7473" w14:textId="77777777" w:rsidR="009B0811" w:rsidRDefault="009B0811" w:rsidP="009B0811">
      <w:r>
        <w:t>Afwijking van deze procedure is uitsluitend mogelijk na voorafgaande schriftelijke toestemming van de gemeente.</w:t>
      </w:r>
    </w:p>
    <w:p w14:paraId="0A173DFE" w14:textId="77777777" w:rsidR="00F31209" w:rsidRPr="00F31209" w:rsidRDefault="00F31209" w:rsidP="00F31209">
      <w:pPr>
        <w:spacing w:after="0"/>
      </w:pPr>
      <w:r w:rsidRPr="00F31209">
        <w:t xml:space="preserve">Wij verwachten dat opdrachtnemer per maand achteraf declaraties in minuten indient over de voorafgaande maand. Declaraties dienen aangeleverd te worden via een </w:t>
      </w:r>
      <w:proofErr w:type="spellStart"/>
      <w:r w:rsidRPr="00F31209">
        <w:t>iWmo</w:t>
      </w:r>
      <w:proofErr w:type="spellEnd"/>
      <w:r w:rsidRPr="00F31209">
        <w:t xml:space="preserve"> 323 bericht. Uw declaraties dient u uiterlijk 3 maanden na afloop van de maand in te dienen. </w:t>
      </w:r>
    </w:p>
    <w:p w14:paraId="38B1FC8F" w14:textId="77777777" w:rsidR="00F31209" w:rsidRPr="00F31209" w:rsidRDefault="00F31209" w:rsidP="00F31209">
      <w:pPr>
        <w:spacing w:after="0"/>
      </w:pPr>
    </w:p>
    <w:p w14:paraId="1F32D823" w14:textId="77777777" w:rsidR="00F31209" w:rsidRPr="008B346B" w:rsidRDefault="00F31209" w:rsidP="00F31209">
      <w:pPr>
        <w:spacing w:after="0"/>
      </w:pPr>
      <w:r w:rsidRPr="00F31209">
        <w:t>Het risico voor no-show door de cliënt ligt bij de opdrachtnemer. De kosten voor het niet-nakomen van een afspraak door de cliënt zijn niet declarabel bij de gemeente.</w:t>
      </w:r>
    </w:p>
    <w:p w14:paraId="4760A9F1" w14:textId="188D4FB8" w:rsidR="00BD36DC" w:rsidRDefault="00BD36DC" w:rsidP="000813AC">
      <w:pPr>
        <w:pStyle w:val="Kop2"/>
      </w:pPr>
      <w:bookmarkStart w:id="18" w:name="_Toc216957402"/>
      <w:r>
        <w:t>2.5</w:t>
      </w:r>
      <w:r>
        <w:tab/>
        <w:t>Overeenkomst en algemene voorwaarden</w:t>
      </w:r>
      <w:bookmarkEnd w:id="18"/>
    </w:p>
    <w:p w14:paraId="62646C7F" w14:textId="77777777" w:rsidR="00BD36DC" w:rsidRDefault="00BD36DC" w:rsidP="000813AC">
      <w:pPr>
        <w:pStyle w:val="Kop3"/>
      </w:pPr>
      <w:bookmarkStart w:id="19" w:name="_Toc216957403"/>
      <w:r>
        <w:t>2.5.1</w:t>
      </w:r>
      <w:r>
        <w:tab/>
        <w:t>Type overeenkomst</w:t>
      </w:r>
      <w:bookmarkEnd w:id="19"/>
    </w:p>
    <w:p w14:paraId="24D8D814" w14:textId="0E778E68" w:rsidR="00BD36DC" w:rsidRDefault="00EE51CA" w:rsidP="00BD36DC">
      <w:r w:rsidRPr="005E390B">
        <w:t>De gemeente</w:t>
      </w:r>
      <w:r>
        <w:t>n</w:t>
      </w:r>
      <w:r w:rsidRPr="005E390B">
        <w:t xml:space="preserve"> sluit</w:t>
      </w:r>
      <w:r>
        <w:t>en</w:t>
      </w:r>
      <w:r w:rsidRPr="005E390B">
        <w:t xml:space="preserve"> </w:t>
      </w:r>
      <w:r>
        <w:rPr>
          <w:b/>
          <w:bCs/>
        </w:rPr>
        <w:t>ieder apart</w:t>
      </w:r>
      <w:r w:rsidR="00BD36DC">
        <w:t xml:space="preserve"> een raamovereenkomst tussen opdrachtgever en de potentiële opdrachtnemer die aan de procedure mag meedoen én de gunningsfase succesvol afrondt. De raamovereenkomst verplicht de opdrachtgever niet tot afname en geeft geen afnamegarantie. Op basis van de raamovereenkomst geeft opdrachtgever losse opdrachten voor het leveren van voorzieningen aan cliënten. </w:t>
      </w:r>
    </w:p>
    <w:p w14:paraId="1C7F98D9" w14:textId="059DC504" w:rsidR="003A06DB" w:rsidRPr="00F80B63" w:rsidRDefault="00F80B63" w:rsidP="003A06DB">
      <w:pPr>
        <w:autoSpaceDE w:val="0"/>
        <w:autoSpaceDN w:val="0"/>
        <w:adjustRightInd w:val="0"/>
      </w:pPr>
      <w:r w:rsidRPr="00F80B63">
        <w:t>De losse opdrachten worden als volgt verstrekt:</w:t>
      </w:r>
    </w:p>
    <w:p w14:paraId="66177B8C" w14:textId="77777777" w:rsidR="003A06DB" w:rsidRPr="003A06DB" w:rsidRDefault="003A06DB" w:rsidP="003A06DB">
      <w:pPr>
        <w:autoSpaceDE w:val="0"/>
        <w:autoSpaceDN w:val="0"/>
        <w:adjustRightInd w:val="0"/>
        <w:spacing w:line="300" w:lineRule="exact"/>
      </w:pPr>
      <w:r w:rsidRPr="003A06DB">
        <w:t>Opdrachtgever bepaalt of een inwoner in aanmerking komt voor de maatwerkvoorziening Huishoudelijke ondersteuning. Als dat zo is, verstrekt opdrachtgever hiervoor een indicatie met daarin de omvang in minuten en frequentie. De werkzaamheden welke moeten worden gedaan zijn beschreven in een ondersteuningsplan, opgesteld door de gemeente.</w:t>
      </w:r>
    </w:p>
    <w:p w14:paraId="2DEB84F9" w14:textId="77777777" w:rsidR="003A06DB" w:rsidRPr="003A06DB" w:rsidRDefault="003A06DB" w:rsidP="003A06DB">
      <w:pPr>
        <w:autoSpaceDE w:val="0"/>
        <w:autoSpaceDN w:val="0"/>
        <w:adjustRightInd w:val="0"/>
        <w:spacing w:line="300" w:lineRule="exact"/>
      </w:pPr>
      <w:r w:rsidRPr="003A06DB">
        <w:t xml:space="preserve">De inwoner bepaalt indien mogelijk zelf bij welke, door opdrachtgever gecontracteerde aanbieders, Huishoudelijke ondersteuning wordt afgenomen. Zolang dit noodzakelijk is, wordt er gewerkt met een gezamenlijke centrale wachtlijst. </w:t>
      </w:r>
    </w:p>
    <w:p w14:paraId="3F591980" w14:textId="5B8A81B6" w:rsidR="003A06DB" w:rsidRDefault="003A06DB" w:rsidP="003A06DB">
      <w:pPr>
        <w:autoSpaceDE w:val="0"/>
        <w:autoSpaceDN w:val="0"/>
        <w:adjustRightInd w:val="0"/>
        <w:spacing w:line="300" w:lineRule="exact"/>
      </w:pPr>
      <w:r w:rsidRPr="003A06DB">
        <w:t>De aanbieder en de inwoner bepalen samen hoe, met de toegekende minuten/uren, de concrete ondersteuning vorm krijgt. De inwoner kan de Huishoudelijke ondersteuning ook zelf inkopen met een Persoonsgebonden budget</w:t>
      </w:r>
      <w:r w:rsidR="005845FA">
        <w:t>, dit valt buiten deze inkoop/overeenkomst.</w:t>
      </w:r>
    </w:p>
    <w:p w14:paraId="41D68A9D" w14:textId="77777777" w:rsidR="001C5C43" w:rsidRDefault="001C5C43">
      <w:pPr>
        <w:spacing w:after="0"/>
        <w:rPr>
          <w:u w:val="single"/>
        </w:rPr>
      </w:pPr>
      <w:r>
        <w:rPr>
          <w:u w:val="single"/>
        </w:rPr>
        <w:br w:type="page"/>
      </w:r>
    </w:p>
    <w:p w14:paraId="3A42E064" w14:textId="54C91925" w:rsidR="001C5C43" w:rsidRDefault="001C5C43" w:rsidP="003A06DB">
      <w:pPr>
        <w:autoSpaceDE w:val="0"/>
        <w:autoSpaceDN w:val="0"/>
        <w:adjustRightInd w:val="0"/>
        <w:spacing w:line="300" w:lineRule="exact"/>
        <w:rPr>
          <w:u w:val="single"/>
        </w:rPr>
      </w:pPr>
      <w:r w:rsidRPr="001C5C43">
        <w:rPr>
          <w:u w:val="single"/>
        </w:rPr>
        <w:lastRenderedPageBreak/>
        <w:t>Wachtkamerovereenkomst</w:t>
      </w:r>
    </w:p>
    <w:p w14:paraId="7A495444" w14:textId="5FCF1049" w:rsidR="001C5C43" w:rsidRPr="001C5C43" w:rsidRDefault="001C5C43" w:rsidP="001C5C43">
      <w:pPr>
        <w:autoSpaceDE w:val="0"/>
        <w:autoSpaceDN w:val="0"/>
        <w:adjustRightInd w:val="0"/>
        <w:spacing w:line="300" w:lineRule="exact"/>
      </w:pPr>
      <w:r w:rsidRPr="001C5C43">
        <w:t xml:space="preserve">Op basis van de beoordeling van de inschrijvingen ontstaat er een rangorde van inschrijvingen. Met de </w:t>
      </w:r>
      <w:r>
        <w:t xml:space="preserve">acht </w:t>
      </w:r>
      <w:r w:rsidRPr="001C5C43">
        <w:t>inschrijver</w:t>
      </w:r>
      <w:r>
        <w:t>s</w:t>
      </w:r>
      <w:r w:rsidRPr="001C5C43">
        <w:t xml:space="preserve"> die na beoordeling van de inschrijving op basis van gunningscriterium beste prijs/kwaliteitverhouding als beste uit de beoordeling </w:t>
      </w:r>
      <w:r>
        <w:t>komen</w:t>
      </w:r>
      <w:r w:rsidRPr="001C5C43">
        <w:t xml:space="preserve">, wordt een overeenkomst gesloten. </w:t>
      </w:r>
    </w:p>
    <w:p w14:paraId="6A32A073" w14:textId="4A7292F4" w:rsidR="001C5C43" w:rsidRPr="001C5C43" w:rsidRDefault="001C5C43" w:rsidP="001C5C43">
      <w:pPr>
        <w:autoSpaceDE w:val="0"/>
        <w:autoSpaceDN w:val="0"/>
        <w:adjustRightInd w:val="0"/>
        <w:spacing w:line="300" w:lineRule="exact"/>
      </w:pPr>
      <w:r w:rsidRPr="001C5C43">
        <w:t xml:space="preserve">Met de inschrijver die na de beoordeling als nummer </w:t>
      </w:r>
      <w:r>
        <w:t>negen</w:t>
      </w:r>
      <w:r w:rsidRPr="001C5C43">
        <w:t xml:space="preserve"> eindigt, wordt een wachtkamerovereenkomst afgesloten, conform het concept zoals is opgenomen in bijlage </w:t>
      </w:r>
      <w:r>
        <w:t>8</w:t>
      </w:r>
      <w:r w:rsidRPr="001C5C43">
        <w:t xml:space="preserve">. </w:t>
      </w:r>
    </w:p>
    <w:p w14:paraId="33423D69" w14:textId="77777777" w:rsidR="001C5C43" w:rsidRPr="001C5C43" w:rsidRDefault="001C5C43" w:rsidP="001C5C43">
      <w:pPr>
        <w:autoSpaceDE w:val="0"/>
        <w:autoSpaceDN w:val="0"/>
        <w:adjustRightInd w:val="0"/>
        <w:spacing w:line="300" w:lineRule="exact"/>
      </w:pPr>
      <w:r w:rsidRPr="001C5C43">
        <w:t xml:space="preserve">De looptijd van deze wachtkamerovereenkomst is 12 maanden na ingangsdatum van de overeenkomst. Indien de overeenkomst met de winnende inschrijver voortijdig wordt beëindigd door ontbinding of faillissement kan door de opdrachtgever een beroep worden gedaan op de inschrijver waarmee de wachtkamerovereenkomst is afgesloten. De wachtkamerovereenkomst wordt in dit geval omgezet naar een overeenkomst. De implementatietijd voor de overeenkomst waarvoor de wachtkamerovereenkomst wordt ingeroepen wordt in onderling overleg vastgesteld. </w:t>
      </w:r>
    </w:p>
    <w:p w14:paraId="0F3AB2A0" w14:textId="77777777" w:rsidR="001C5C43" w:rsidRPr="001C5C43" w:rsidRDefault="001C5C43" w:rsidP="001C5C43">
      <w:pPr>
        <w:autoSpaceDE w:val="0"/>
        <w:autoSpaceDN w:val="0"/>
        <w:adjustRightInd w:val="0"/>
        <w:spacing w:line="300" w:lineRule="exact"/>
      </w:pPr>
      <w:r w:rsidRPr="001C5C43">
        <w:t xml:space="preserve">Bij faillissement dient de inschrijver wiens wachtkamerovereenkomst wordt ingeroepen zo snel als mogelijk met de dienstverlening te starten. De exacte startdatum van de overeenkomst wordt op dat moment in overleg vastgesteld. </w:t>
      </w:r>
    </w:p>
    <w:p w14:paraId="59E3508E" w14:textId="1B7B1AD3" w:rsidR="001C5C43" w:rsidRPr="001C5C43" w:rsidRDefault="001C5C43" w:rsidP="001C5C43">
      <w:pPr>
        <w:autoSpaceDE w:val="0"/>
        <w:autoSpaceDN w:val="0"/>
        <w:adjustRightInd w:val="0"/>
        <w:spacing w:line="300" w:lineRule="exact"/>
      </w:pPr>
      <w:r w:rsidRPr="001C5C43">
        <w:t xml:space="preserve">De inschrijver met wie een wachtkamerovereenkomst wordt gesloten dient haar inschrijving derhalve gestand te doen tot 12 maanden na ingangsdatum van de afgesloten overeenkomst met de winnende inschrijver uit de aanbesteding. Met het uitgangspunt dat de inschrijver de mogelijkheid heeft de prijzen aan te passen conform </w:t>
      </w:r>
      <w:r w:rsidR="008E0B3E">
        <w:t>de beschreven</w:t>
      </w:r>
      <w:r w:rsidRPr="001C5C43">
        <w:t xml:space="preserve"> prijsindexering. </w:t>
      </w:r>
    </w:p>
    <w:p w14:paraId="6B2FE391" w14:textId="210C2511" w:rsidR="001C5C43" w:rsidRPr="001C5C43" w:rsidRDefault="001C5C43" w:rsidP="001C5C43">
      <w:pPr>
        <w:autoSpaceDE w:val="0"/>
        <w:autoSpaceDN w:val="0"/>
        <w:adjustRightInd w:val="0"/>
        <w:spacing w:line="300" w:lineRule="exact"/>
      </w:pPr>
      <w:r w:rsidRPr="001C5C43">
        <w:t>In het geval er rechtsmiddelen worden ingesteld tegen de gunningsbeslissing dient inschrijver waarmee een wachtkamerovereenkomst wordt afgesloten haar inschrijving in ieder geval gestand te doen tot 12 maanden na ingangsdatum van de overeenkomst met de winnende inschrijver uit de aanbesteding zoals vastgesteld na de uitspraak in kort geding.</w:t>
      </w:r>
    </w:p>
    <w:p w14:paraId="4BD5B432" w14:textId="77777777" w:rsidR="00BD36DC" w:rsidRDefault="00BD36DC" w:rsidP="00AD651F">
      <w:pPr>
        <w:pStyle w:val="Kop3"/>
      </w:pPr>
      <w:bookmarkStart w:id="20" w:name="_Toc216957404"/>
      <w:r>
        <w:t>2.5.2</w:t>
      </w:r>
      <w:r>
        <w:tab/>
        <w:t>Algemene voorwaarden</w:t>
      </w:r>
      <w:bookmarkEnd w:id="20"/>
    </w:p>
    <w:p w14:paraId="09C8F4FC" w14:textId="77777777" w:rsidR="004B16B6" w:rsidRDefault="00BD36DC" w:rsidP="00BD36DC">
      <w:r>
        <w:t>Op deze inkoopprocedure en de overeenkomst zijn de meest recente Model Algemene Inkoopvoorwaarden van de VNG (september 2024) van toepassing</w:t>
      </w:r>
      <w:r w:rsidR="008C609D">
        <w:t xml:space="preserve"> (</w:t>
      </w:r>
      <w:hyperlink r:id="rId14" w:history="1">
        <w:r w:rsidR="008C609D" w:rsidRPr="008C609D">
          <w:rPr>
            <w:rStyle w:val="Hyperlink"/>
          </w:rPr>
          <w:t>VNG Model Algemene Inkoopvoorwaarden | VNG</w:t>
        </w:r>
      </w:hyperlink>
      <w:r w:rsidR="00B13D59">
        <w:t>)</w:t>
      </w:r>
      <w:r>
        <w:t xml:space="preserve">. Dat geldt tenzij dit inkoopdocument of de overeenkomst daarvan afwijken. De volgende artikelen gelden niet: 16, 20.1, 20.2, 21, 22, 23 en 25.3. </w:t>
      </w:r>
    </w:p>
    <w:p w14:paraId="132C642B" w14:textId="39C9B246" w:rsidR="00BD36DC" w:rsidRDefault="00BD36DC" w:rsidP="00BD36DC">
      <w:r>
        <w:t xml:space="preserve">De potentiële opdrachtnemer verklaart deze voorwaarden te hebben ontvangen en ermee akkoord te gaan. Voorwaarden van de potentiële opdrachtnemer of derden (zoals onderaannemers) gelden niet, hoe ze ook heten of zijn opgesteld. </w:t>
      </w:r>
    </w:p>
    <w:p w14:paraId="38BE5F6B" w14:textId="77777777" w:rsidR="00BD36DC" w:rsidRDefault="00BD36DC" w:rsidP="00033BDE">
      <w:pPr>
        <w:pStyle w:val="Kop3"/>
      </w:pPr>
      <w:bookmarkStart w:id="21" w:name="_Toc216957405"/>
      <w:r>
        <w:t>2.5.3</w:t>
      </w:r>
      <w:r>
        <w:tab/>
        <w:t>Looptijd</w:t>
      </w:r>
      <w:bookmarkEnd w:id="21"/>
    </w:p>
    <w:p w14:paraId="37387B06" w14:textId="77777777" w:rsidR="00BD36DC" w:rsidRDefault="00BD36DC" w:rsidP="00BD36DC">
      <w:r>
        <w:t xml:space="preserve">De looptijd van de overeenkomst is opgenomen in artikel 1.3 van de overeenkomst. </w:t>
      </w:r>
    </w:p>
    <w:p w14:paraId="39E8DE84" w14:textId="03F6B76A" w:rsidR="00033BDE" w:rsidRPr="00AF71FC" w:rsidRDefault="00033BDE" w:rsidP="00033BDE">
      <w:pPr>
        <w:spacing w:before="240"/>
        <w:rPr>
          <w:color w:val="12828C"/>
          <w:u w:val="single"/>
        </w:rPr>
      </w:pPr>
      <w:r w:rsidRPr="00AF71FC">
        <w:rPr>
          <w:color w:val="12828C"/>
          <w:u w:val="single"/>
        </w:rPr>
        <w:t>Motivering langere duur raamovereenkomst</w:t>
      </w:r>
    </w:p>
    <w:p w14:paraId="35AD3FED" w14:textId="303C6607" w:rsidR="00033BDE" w:rsidRDefault="00033BDE" w:rsidP="00033BDE">
      <w:pPr>
        <w:rPr>
          <w:color w:val="12828C"/>
        </w:rPr>
      </w:pPr>
      <w:r>
        <w:t xml:space="preserve">De gekozen maximale looptijd van de raamovereenkomst is langer dan 48 kalendermaanden. De inkopende organisatie rechtvaardigt deze keuze als volgt: </w:t>
      </w:r>
    </w:p>
    <w:p w14:paraId="73718087" w14:textId="77777777" w:rsidR="008D1923" w:rsidRPr="008D1923" w:rsidRDefault="008D1923" w:rsidP="008D1923">
      <w:r w:rsidRPr="008D1923">
        <w:t>De overeenkomst voor hulp bij het huishouden wordt aangegaan voor een langere periode. Deze langere looptijd is zorgvuldig afgewogen en berust op de volgende overwegingen: </w:t>
      </w:r>
    </w:p>
    <w:p w14:paraId="645CB82C" w14:textId="77777777" w:rsidR="008D1923" w:rsidRPr="008D1923" w:rsidRDefault="008D1923" w:rsidP="008D1923">
      <w:pPr>
        <w:numPr>
          <w:ilvl w:val="0"/>
          <w:numId w:val="31"/>
        </w:numPr>
        <w:spacing w:after="0"/>
      </w:pPr>
      <w:r w:rsidRPr="008D1923">
        <w:rPr>
          <w:i/>
          <w:iCs/>
        </w:rPr>
        <w:lastRenderedPageBreak/>
        <w:t>Continuïteit van ondersteuning:</w:t>
      </w:r>
      <w:r w:rsidRPr="008D1923">
        <w:t xml:space="preserve"> Hulp bij het huishouden is een structurele en langdurige voorziening voor veel inwoners. Een stabiele contractrelatie draagt bij aan het waarborgen van continuïteit van zorg, het voorkomen van wisselingen van aanbieder en het bevorderen van duurzame relaties tussen cliënten en vaste hulpen. </w:t>
      </w:r>
    </w:p>
    <w:p w14:paraId="54125703" w14:textId="77777777" w:rsidR="008D1923" w:rsidRPr="008D1923" w:rsidRDefault="008D1923" w:rsidP="008D1923">
      <w:pPr>
        <w:numPr>
          <w:ilvl w:val="0"/>
          <w:numId w:val="32"/>
        </w:numPr>
        <w:spacing w:after="0"/>
      </w:pPr>
      <w:r w:rsidRPr="008D1923">
        <w:rPr>
          <w:i/>
          <w:iCs/>
        </w:rPr>
        <w:t>Administratieve lastenbeperking:</w:t>
      </w:r>
      <w:r w:rsidRPr="008D1923">
        <w:t xml:space="preserve"> Zowel voor aanbieders als voor de gemeente leidt een langere looptijd tot minder administratieve druk en bevordert daarmee doelmatige uitvoering. </w:t>
      </w:r>
    </w:p>
    <w:p w14:paraId="5EA0DE90" w14:textId="77777777" w:rsidR="008D1923" w:rsidRPr="008D1923" w:rsidRDefault="008D1923" w:rsidP="008D1923">
      <w:pPr>
        <w:numPr>
          <w:ilvl w:val="0"/>
          <w:numId w:val="33"/>
        </w:numPr>
        <w:spacing w:after="0"/>
      </w:pPr>
      <w:r w:rsidRPr="008D1923">
        <w:rPr>
          <w:i/>
          <w:iCs/>
        </w:rPr>
        <w:t>Stabiliteit en investeringszekerheid:</w:t>
      </w:r>
      <w:r w:rsidRPr="008D1923">
        <w:t xml:space="preserve"> De looptijd geeft aanbieders voldoende zekerheid om te investeren in kwaliteit, personeel en samenwerking met lokale partners, hetgeen bijdraagt aan de uitvoeringskracht en kwaliteit van de dienstverlening. </w:t>
      </w:r>
    </w:p>
    <w:p w14:paraId="1F42CEE2" w14:textId="77777777" w:rsidR="008D1923" w:rsidRDefault="008D1923" w:rsidP="008D1923"/>
    <w:p w14:paraId="5C87174C" w14:textId="324514FC" w:rsidR="008D1923" w:rsidRPr="008D1923" w:rsidRDefault="008D1923" w:rsidP="008D1923">
      <w:r w:rsidRPr="008D1923">
        <w:t xml:space="preserve">Gelet op bovenstaande belangen acht de aanbestedende dienst een langere overeenkomstduur proportioneel en in het belang van cliënten, aanbieders en de uitvoerbaarheid van de </w:t>
      </w:r>
      <w:proofErr w:type="spellStart"/>
      <w:r w:rsidRPr="008D1923">
        <w:t>Wmo</w:t>
      </w:r>
      <w:proofErr w:type="spellEnd"/>
      <w:r w:rsidRPr="008D1923">
        <w:t xml:space="preserve"> 2015. </w:t>
      </w:r>
    </w:p>
    <w:p w14:paraId="527A35FF" w14:textId="672AB55D" w:rsidR="00033BDE" w:rsidRPr="00173FE1" w:rsidRDefault="00033BDE" w:rsidP="00033BDE">
      <w:pPr>
        <w:spacing w:before="240"/>
        <w:rPr>
          <w:color w:val="12828C"/>
          <w:u w:val="single"/>
        </w:rPr>
      </w:pPr>
      <w:r w:rsidRPr="00173FE1">
        <w:rPr>
          <w:color w:val="12828C"/>
          <w:u w:val="single"/>
        </w:rPr>
        <w:t>Maximale omvang raamovereenkomst</w:t>
      </w:r>
    </w:p>
    <w:p w14:paraId="35765BBE" w14:textId="140EA072" w:rsidR="00033BDE" w:rsidRPr="008650A9" w:rsidRDefault="00033BDE" w:rsidP="00033BDE">
      <w:r w:rsidRPr="008650A9">
        <w:t>Voor deze opdracht geldt een maximale hoeveelheid van</w:t>
      </w:r>
      <w:r w:rsidR="00246118" w:rsidRPr="008650A9">
        <w:t xml:space="preserve"> 25.000 cliënten </w:t>
      </w:r>
      <w:r w:rsidRPr="008650A9">
        <w:t>over de gehele looptijd inclusief verlengingsopties</w:t>
      </w:r>
      <w:r w:rsidR="00246118" w:rsidRPr="008650A9">
        <w:t>.</w:t>
      </w:r>
    </w:p>
    <w:p w14:paraId="18AA5547" w14:textId="10A946EF" w:rsidR="007712A7" w:rsidRPr="008650A9" w:rsidRDefault="00033BDE" w:rsidP="00033BDE">
      <w:r w:rsidRPr="008650A9">
        <w:t xml:space="preserve">Indien binnen de </w:t>
      </w:r>
      <w:r w:rsidR="00A96779">
        <w:t xml:space="preserve">totale </w:t>
      </w:r>
      <w:r w:rsidRPr="008650A9">
        <w:t xml:space="preserve">contractduur </w:t>
      </w:r>
      <w:r w:rsidR="00307335" w:rsidRPr="008650A9">
        <w:t xml:space="preserve">de </w:t>
      </w:r>
      <w:r w:rsidRPr="008650A9">
        <w:t xml:space="preserve">maximale hoeveelheid van </w:t>
      </w:r>
      <w:r w:rsidR="00307335" w:rsidRPr="008650A9">
        <w:t>25.000 cliënten</w:t>
      </w:r>
      <w:r w:rsidRPr="008650A9">
        <w:t xml:space="preserve"> wordt bereikt, zal de overeenkomst bij het bereiken van voornoemde maximale hoeveelheid van rechtswege eindigen. De grens van de omvang van de overeenkomst staat los van de looptijd. De overeenkomst kan dus eerder eindigen, indien de maximale omvang is bereikt.</w:t>
      </w:r>
    </w:p>
    <w:p w14:paraId="78AD5610" w14:textId="77777777" w:rsidR="007712A7" w:rsidRDefault="007712A7">
      <w:pPr>
        <w:spacing w:after="0"/>
      </w:pPr>
      <w:r>
        <w:br w:type="page"/>
      </w:r>
    </w:p>
    <w:p w14:paraId="580B7A8B" w14:textId="77777777" w:rsidR="00BD36DC" w:rsidRDefault="00BD36DC" w:rsidP="007712A7">
      <w:pPr>
        <w:pStyle w:val="Kop1"/>
      </w:pPr>
      <w:bookmarkStart w:id="22" w:name="_Toc216957406"/>
      <w:r>
        <w:lastRenderedPageBreak/>
        <w:t>3.</w:t>
      </w:r>
      <w:r>
        <w:tab/>
        <w:t>Voorwaarden inkoopprocedure</w:t>
      </w:r>
      <w:bookmarkEnd w:id="22"/>
    </w:p>
    <w:p w14:paraId="1A74A46B" w14:textId="77777777" w:rsidR="00BD36DC" w:rsidRDefault="00BD36DC" w:rsidP="00342642">
      <w:pPr>
        <w:pStyle w:val="Kop2"/>
      </w:pPr>
      <w:bookmarkStart w:id="23" w:name="_Toc216957407"/>
      <w:r>
        <w:t>3.1</w:t>
      </w:r>
      <w:r>
        <w:tab/>
        <w:t>Inleiding</w:t>
      </w:r>
      <w:bookmarkEnd w:id="23"/>
    </w:p>
    <w:p w14:paraId="6B8BAA48" w14:textId="2B92CE24" w:rsidR="00BD36DC" w:rsidRDefault="00BD36DC" w:rsidP="00BD0AAD">
      <w:pPr>
        <w:spacing w:after="0"/>
      </w:pPr>
      <w:r>
        <w:t>Een potentiële opdrachtnemer moet drie dingen laten zien:</w:t>
      </w:r>
    </w:p>
    <w:p w14:paraId="68106EAF" w14:textId="1CD615B1" w:rsidR="00BD36DC" w:rsidRDefault="00BD36DC" w:rsidP="00BD0AAD">
      <w:pPr>
        <w:pStyle w:val="Lijstalinea"/>
        <w:numPr>
          <w:ilvl w:val="0"/>
          <w:numId w:val="5"/>
        </w:numPr>
      </w:pPr>
      <w:r>
        <w:t>Er is geen uitsluitingsgrond op hem van toepassing.</w:t>
      </w:r>
    </w:p>
    <w:p w14:paraId="59732A61" w14:textId="2A0BFDBB" w:rsidR="00BD36DC" w:rsidRDefault="00BD36DC" w:rsidP="00BD0AAD">
      <w:pPr>
        <w:pStyle w:val="Lijstalinea"/>
        <w:numPr>
          <w:ilvl w:val="0"/>
          <w:numId w:val="5"/>
        </w:numPr>
      </w:pPr>
      <w:r>
        <w:t>Hij voldoet aan elke geschiktheidseis.</w:t>
      </w:r>
    </w:p>
    <w:p w14:paraId="322DC047" w14:textId="656CF371" w:rsidR="00BD36DC" w:rsidRDefault="00BD36DC" w:rsidP="00BD0AAD">
      <w:pPr>
        <w:pStyle w:val="Lijstalinea"/>
        <w:numPr>
          <w:ilvl w:val="0"/>
          <w:numId w:val="5"/>
        </w:numPr>
        <w:ind w:left="1066" w:hanging="709"/>
      </w:pPr>
      <w:r>
        <w:t>Hij gaat akkoord met alle uitvoeringseisen en kan deze ook uitvoeren.</w:t>
      </w:r>
    </w:p>
    <w:p w14:paraId="5A4F13E3" w14:textId="77777777" w:rsidR="00BD36DC" w:rsidRDefault="00BD36DC" w:rsidP="00BD36DC">
      <w:r>
        <w:t>Als één van de volgende situaties geldt, sluit de inkopende organisatie de potentiële opdrachtnemer uit:</w:t>
      </w:r>
    </w:p>
    <w:p w14:paraId="679482F8" w14:textId="7A3B4D2B" w:rsidR="00BD36DC" w:rsidRDefault="00BD36DC" w:rsidP="00DD796F">
      <w:pPr>
        <w:pStyle w:val="Lijstalinea"/>
        <w:numPr>
          <w:ilvl w:val="0"/>
          <w:numId w:val="5"/>
        </w:numPr>
      </w:pPr>
      <w:r>
        <w:t>Er is een verplichte uitsluitingsgrond van toepassing.</w:t>
      </w:r>
    </w:p>
    <w:p w14:paraId="6238DF44" w14:textId="77777777" w:rsidR="00BD36DC" w:rsidRDefault="00BD36DC" w:rsidP="00DD796F">
      <w:pPr>
        <w:spacing w:after="0"/>
      </w:pPr>
      <w:r>
        <w:t>Als één van de volgende situaties geldt, kan de inkopende organisatie de potentiële opdrachtnemer uitsluiten, als de wet of rechtspraak dat toelaten:</w:t>
      </w:r>
    </w:p>
    <w:p w14:paraId="5BB64E9D" w14:textId="114A1492" w:rsidR="00BD36DC" w:rsidRDefault="00BD36DC" w:rsidP="00DD796F">
      <w:pPr>
        <w:pStyle w:val="Lijstalinea"/>
        <w:numPr>
          <w:ilvl w:val="0"/>
          <w:numId w:val="5"/>
        </w:numPr>
      </w:pPr>
      <w:r>
        <w:t>Er is een facultatieve uitsluitingsgrond van toepassing.</w:t>
      </w:r>
    </w:p>
    <w:p w14:paraId="7BF2C003" w14:textId="2729CE19" w:rsidR="00BD36DC" w:rsidRDefault="00BD36DC" w:rsidP="00DD796F">
      <w:pPr>
        <w:pStyle w:val="Lijstalinea"/>
        <w:numPr>
          <w:ilvl w:val="0"/>
          <w:numId w:val="5"/>
        </w:numPr>
      </w:pPr>
      <w:r>
        <w:t>De opdrachtnemer voldoet niet aan een geschiktheidseis.</w:t>
      </w:r>
    </w:p>
    <w:p w14:paraId="2ABD3145" w14:textId="0FB1F579" w:rsidR="00BD36DC" w:rsidRDefault="00BD36DC" w:rsidP="00DD796F">
      <w:pPr>
        <w:pStyle w:val="Lijstalinea"/>
        <w:numPr>
          <w:ilvl w:val="0"/>
          <w:numId w:val="5"/>
        </w:numPr>
      </w:pPr>
      <w:r>
        <w:t>De opdrachtnemer gaat niet onvoorwaardelijk akkoord met de uitvoeringseisen of kan deze niet uitvoeren.</w:t>
      </w:r>
    </w:p>
    <w:p w14:paraId="256076F7" w14:textId="77777777" w:rsidR="00BD36DC" w:rsidRPr="003A60AB" w:rsidRDefault="00BD36DC" w:rsidP="003A60AB">
      <w:pPr>
        <w:spacing w:before="240"/>
        <w:rPr>
          <w:u w:val="single"/>
        </w:rPr>
      </w:pPr>
      <w:r w:rsidRPr="003A60AB">
        <w:rPr>
          <w:u w:val="single"/>
        </w:rPr>
        <w:t xml:space="preserve">Wet </w:t>
      </w:r>
      <w:proofErr w:type="spellStart"/>
      <w:r w:rsidRPr="003A60AB">
        <w:rPr>
          <w:u w:val="single"/>
        </w:rPr>
        <w:t>Bibob</w:t>
      </w:r>
      <w:proofErr w:type="spellEnd"/>
    </w:p>
    <w:p w14:paraId="7C224AA2" w14:textId="10995654" w:rsidR="00BD36DC" w:rsidRDefault="00BD36DC" w:rsidP="00BD36DC">
      <w:r>
        <w:t xml:space="preserve">De Wet </w:t>
      </w:r>
      <w:proofErr w:type="spellStart"/>
      <w:r>
        <w:t>Bibob</w:t>
      </w:r>
      <w:proofErr w:type="spellEnd"/>
      <w:r>
        <w:t xml:space="preserve"> geeft de inkopende organisatie de mogelijkheid om bedrijven en personen te screenen in de inkoopprocedure en tijdens de looptijd van de overeenkomst. Zo voorkomt de inkopende organisatie dat zij onbedoeld criminele activiteiten faciliteert. Dit noemen we het </w:t>
      </w:r>
      <w:proofErr w:type="spellStart"/>
      <w:r>
        <w:t>Bibob</w:t>
      </w:r>
      <w:proofErr w:type="spellEnd"/>
      <w:r>
        <w:t>-onderzoek.</w:t>
      </w:r>
    </w:p>
    <w:p w14:paraId="7A3F62FF" w14:textId="4D87ABEA" w:rsidR="00BD36DC" w:rsidRDefault="00BD36DC" w:rsidP="00BD36DC">
      <w:r>
        <w:t xml:space="preserve">De inkopende organisatie wil in deze inkoopprocedure gebruikmaken van het </w:t>
      </w:r>
      <w:proofErr w:type="spellStart"/>
      <w:r>
        <w:t>Bibob</w:t>
      </w:r>
      <w:proofErr w:type="spellEnd"/>
      <w:r>
        <w:t>-onderzoek. Zij toetst daarmee of zij een overeenkomst met een potentiële opdrachtnemer kan sluiten en of zij akkoord gaat met de voorgestelde onderaannemer(s).</w:t>
      </w:r>
    </w:p>
    <w:p w14:paraId="6CC5CE84" w14:textId="77777777" w:rsidR="00BD36DC" w:rsidRDefault="00BD36DC" w:rsidP="003A60AB">
      <w:pPr>
        <w:spacing w:after="0"/>
      </w:pPr>
      <w:r>
        <w:t>De inkopende organisatie zet daarvoor wettelijke instrumenten in, waaronder:</w:t>
      </w:r>
    </w:p>
    <w:p w14:paraId="7B907DC8" w14:textId="13A97BB1" w:rsidR="00BD36DC" w:rsidRDefault="00BD36DC" w:rsidP="003A60AB">
      <w:pPr>
        <w:pStyle w:val="Lijstalinea"/>
        <w:numPr>
          <w:ilvl w:val="0"/>
          <w:numId w:val="7"/>
        </w:numPr>
      </w:pPr>
      <w:r>
        <w:t xml:space="preserve">het invullen en terugsturen van het </w:t>
      </w:r>
      <w:proofErr w:type="spellStart"/>
      <w:r>
        <w:t>Bibob</w:t>
      </w:r>
      <w:proofErr w:type="spellEnd"/>
      <w:r>
        <w:t>-vragenformulier door de potentiële opdrachtnemer;</w:t>
      </w:r>
    </w:p>
    <w:p w14:paraId="71366E25" w14:textId="3ACC5240" w:rsidR="00BD36DC" w:rsidRDefault="00BD36DC" w:rsidP="003A60AB">
      <w:pPr>
        <w:pStyle w:val="Lijstalinea"/>
        <w:numPr>
          <w:ilvl w:val="0"/>
          <w:numId w:val="7"/>
        </w:numPr>
      </w:pPr>
      <w:r>
        <w:t>onderzoek in open bronnen naar de potentiële opdrachtnemer;</w:t>
      </w:r>
    </w:p>
    <w:p w14:paraId="502C7175" w14:textId="1C0D0867" w:rsidR="00BD36DC" w:rsidRDefault="00BD36DC" w:rsidP="003A60AB">
      <w:pPr>
        <w:pStyle w:val="Lijstalinea"/>
        <w:numPr>
          <w:ilvl w:val="0"/>
          <w:numId w:val="7"/>
        </w:numPr>
      </w:pPr>
      <w:r>
        <w:t>onderzoek in gesloten bronnen naar de potentiële opdrachtnemer;</w:t>
      </w:r>
    </w:p>
    <w:p w14:paraId="5409849F" w14:textId="0459FA0F" w:rsidR="00BD36DC" w:rsidRDefault="00BD36DC" w:rsidP="003A60AB">
      <w:pPr>
        <w:pStyle w:val="Lijstalinea"/>
        <w:numPr>
          <w:ilvl w:val="0"/>
          <w:numId w:val="7"/>
        </w:numPr>
      </w:pPr>
      <w:r>
        <w:t xml:space="preserve">een adviesaanvraag bij het Landelijk Bureau </w:t>
      </w:r>
      <w:proofErr w:type="spellStart"/>
      <w:r>
        <w:t>Bibob</w:t>
      </w:r>
      <w:proofErr w:type="spellEnd"/>
      <w:r>
        <w:t>.</w:t>
      </w:r>
    </w:p>
    <w:p w14:paraId="693669EA" w14:textId="7142A537" w:rsidR="00BD36DC" w:rsidRDefault="00BD36DC" w:rsidP="00BD36DC">
      <w:r>
        <w:t>Wil de inkopende organisatie gebruikmaken van het vragenformulier (middel a</w:t>
      </w:r>
      <w:r w:rsidR="003A60AB">
        <w:t>.</w:t>
      </w:r>
      <w:r>
        <w:t>), dan stuurt de potentiële opdrachtnemer dit binnen veertien kalenderdagen na ontvangst volledig ingevuld en ondertekend terug.</w:t>
      </w:r>
    </w:p>
    <w:p w14:paraId="39438A56" w14:textId="77777777" w:rsidR="00BD36DC" w:rsidRDefault="00BD36DC" w:rsidP="00BD36DC">
      <w:r>
        <w:t xml:space="preserve">Het </w:t>
      </w:r>
      <w:proofErr w:type="spellStart"/>
      <w:r>
        <w:t>Bibob</w:t>
      </w:r>
      <w:proofErr w:type="spellEnd"/>
      <w:r>
        <w:t xml:space="preserve">-onderzoek kan betrekking hebben op huidige en voormalige leidinggevenden (zoals bestuurders), </w:t>
      </w:r>
      <w:proofErr w:type="spellStart"/>
      <w:r>
        <w:t>zeggenschapshebbenden</w:t>
      </w:r>
      <w:proofErr w:type="spellEnd"/>
      <w:r>
        <w:t xml:space="preserve"> (zoals aandeelhouders), vermogensverschaffers van de potentiële opdrachtnemer en, in geval van een combinatie, van iedere </w:t>
      </w:r>
      <w:proofErr w:type="spellStart"/>
      <w:r>
        <w:t>combinant</w:t>
      </w:r>
      <w:proofErr w:type="spellEnd"/>
      <w:r>
        <w:t xml:space="preserve">. Dit geldt ook voor voorgestelde onderaannemers. Door opdrachtgever wordt in dat kader aangesloten bij het 'betrokkene-begrip' zoals gedefinieerd in de Wet </w:t>
      </w:r>
      <w:proofErr w:type="spellStart"/>
      <w:r>
        <w:t>Bibob</w:t>
      </w:r>
      <w:proofErr w:type="spellEnd"/>
      <w:r>
        <w:t>.</w:t>
      </w:r>
    </w:p>
    <w:p w14:paraId="0EF393B5" w14:textId="77777777" w:rsidR="00BD36DC" w:rsidRDefault="00BD36DC" w:rsidP="00BD36DC">
      <w:r>
        <w:t xml:space="preserve">De uitkomst van het </w:t>
      </w:r>
      <w:proofErr w:type="spellStart"/>
      <w:r>
        <w:t>Bibob</w:t>
      </w:r>
      <w:proofErr w:type="spellEnd"/>
      <w:r>
        <w:t>-onderzoek vormt een belangrijk onderdeel van de beoordeling of een uitsluitingsgrond van toepassing is en of de inkopende organisatie de potentiële opdrachtnemer moet of kan uitsluiten.</w:t>
      </w:r>
    </w:p>
    <w:p w14:paraId="2295D939" w14:textId="77777777" w:rsidR="00BD36DC" w:rsidRDefault="00BD36DC" w:rsidP="00BD36DC">
      <w:r>
        <w:lastRenderedPageBreak/>
        <w:t xml:space="preserve">Ook tijdens de looptijd van de overeenkomst behoudt de opdrachtgever het recht om een </w:t>
      </w:r>
      <w:proofErr w:type="spellStart"/>
      <w:r>
        <w:t>Bibob</w:t>
      </w:r>
      <w:proofErr w:type="spellEnd"/>
      <w:r>
        <w:t>-onderzoek te starten. Zo toetst hij of hij een bestaande overeenkomst wil ontbinden of een onderaannemer wil weigeren. Artikel 1.8 van de overeenkomst bevat hierover aanvullende bepalingen.</w:t>
      </w:r>
    </w:p>
    <w:p w14:paraId="2255AB1E" w14:textId="77777777" w:rsidR="00BD36DC" w:rsidRDefault="00BD36DC" w:rsidP="003A60AB">
      <w:pPr>
        <w:pStyle w:val="Kop2"/>
      </w:pPr>
      <w:bookmarkStart w:id="24" w:name="_Toc216957408"/>
      <w:r>
        <w:t>3.2</w:t>
      </w:r>
      <w:r>
        <w:tab/>
        <w:t>Algemeen</w:t>
      </w:r>
      <w:bookmarkEnd w:id="24"/>
    </w:p>
    <w:p w14:paraId="47262319" w14:textId="77777777" w:rsidR="00BD36DC" w:rsidRDefault="00BD36DC" w:rsidP="003A60AB">
      <w:pPr>
        <w:spacing w:after="0"/>
      </w:pPr>
      <w:r>
        <w:t>De uitsluitingsgronden die gelden staan in het Uniform Europees Aanbestedingsdocument (UEA). Dit document staat in de bijlage of is in te vullen via het aanbestedingsplatform. De potentiële opdrachtnemer moet in het UEA invullen dat:</w:t>
      </w:r>
    </w:p>
    <w:p w14:paraId="0A28100C" w14:textId="5925DDBB" w:rsidR="00BD36DC" w:rsidRDefault="00BD36DC" w:rsidP="003A60AB">
      <w:pPr>
        <w:pStyle w:val="Lijstalinea"/>
        <w:numPr>
          <w:ilvl w:val="0"/>
          <w:numId w:val="5"/>
        </w:numPr>
      </w:pPr>
      <w:r>
        <w:t>er geen uitsluitingsgrond op hem van toepassing is (zie paragraaf 3.3),</w:t>
      </w:r>
    </w:p>
    <w:p w14:paraId="3DFC45A5" w14:textId="643A1A70" w:rsidR="00BD36DC" w:rsidRDefault="00BD36DC" w:rsidP="003A60AB">
      <w:pPr>
        <w:pStyle w:val="Lijstalinea"/>
        <w:numPr>
          <w:ilvl w:val="0"/>
          <w:numId w:val="5"/>
        </w:numPr>
      </w:pPr>
      <w:r>
        <w:t>hij voldoet aan de geschiktheidseisen (zie paragraaf 3.4),</w:t>
      </w:r>
    </w:p>
    <w:p w14:paraId="3F515F34" w14:textId="77777777" w:rsidR="00BD36DC" w:rsidRDefault="00BD36DC" w:rsidP="00BD36DC">
      <w:r>
        <w:t>Het UEA moet volledig en rechtsgeldig ondertekend zijn. De opdrachtnemer stuurt dit mee met zijn verzoek tot deelname of inschrijving.</w:t>
      </w:r>
    </w:p>
    <w:p w14:paraId="597C9F23" w14:textId="67265CF8" w:rsidR="00BD36DC" w:rsidRDefault="00BD36DC" w:rsidP="00BD36DC">
      <w:r>
        <w:t>De uitvoeringseisen staan in de conceptovereenkomst als bijlage bij dit inkoopdocument. Door het UEA te ondertekenen, gaat de potentiële opdrachtnemer akkoord met alle eisen en voorwaarden in de inkoopdocumenten, inclusief de conceptovereenkomst.</w:t>
      </w:r>
    </w:p>
    <w:p w14:paraId="1CF1E66C" w14:textId="77777777" w:rsidR="00BD36DC" w:rsidRDefault="00BD36DC" w:rsidP="007950E1">
      <w:pPr>
        <w:pStyle w:val="Kop2"/>
      </w:pPr>
      <w:bookmarkStart w:id="25" w:name="_Toc216957409"/>
      <w:r>
        <w:t>3.3</w:t>
      </w:r>
      <w:r>
        <w:tab/>
        <w:t>Uitsluitingsgronden</w:t>
      </w:r>
      <w:bookmarkEnd w:id="25"/>
    </w:p>
    <w:p w14:paraId="29A5BF84" w14:textId="77777777" w:rsidR="00BD36DC" w:rsidRDefault="00BD36DC" w:rsidP="00BD36DC">
      <w:r>
        <w:t>De inkopende organisatie kan extra bewijs vragen om uitsluitingsgronden te controleren. De potentiële opdrachtnemer moet deze bewijzen aanleveren. De opdrachtnemer heeft daarvoor 14 kalenderdagen, tenzij een andere termijn is genoemd door de inkopende organisatie. Als hij te laat is, sluit de inkopende organisatie hem uit van de inkoopprocedure.</w:t>
      </w:r>
    </w:p>
    <w:p w14:paraId="5AF8AC21" w14:textId="77777777" w:rsidR="00BD36DC" w:rsidRDefault="00BD36DC" w:rsidP="00BD36DC">
      <w:r>
        <w:t>De opdrachtnemer moet zonder kosten meewerken aan dit onderzoek.</w:t>
      </w:r>
    </w:p>
    <w:p w14:paraId="715BAF82" w14:textId="77777777" w:rsidR="00BD36DC" w:rsidRDefault="00BD36DC" w:rsidP="007950E1">
      <w:pPr>
        <w:spacing w:after="0"/>
      </w:pPr>
      <w:r>
        <w:t>De inkopende organisatie kan de volgende documenten opvragen:</w:t>
      </w:r>
    </w:p>
    <w:p w14:paraId="6568F3E7" w14:textId="647F08BF" w:rsidR="00BD36DC" w:rsidRDefault="00BD36DC" w:rsidP="007950E1">
      <w:pPr>
        <w:pStyle w:val="Lijstalinea"/>
        <w:numPr>
          <w:ilvl w:val="0"/>
          <w:numId w:val="5"/>
        </w:numPr>
      </w:pPr>
      <w:r>
        <w:t>Een Gedragsverklaring Aanbesteden die maximaal 24 kalendermaanden oud is als de inkopende organisatie deze ontvangt (zie www.justis.nl).</w:t>
      </w:r>
    </w:p>
    <w:p w14:paraId="0661D17E" w14:textId="63FEFD7C" w:rsidR="00BD36DC" w:rsidRDefault="00BD36DC" w:rsidP="007950E1">
      <w:pPr>
        <w:pStyle w:val="Lijstalinea"/>
        <w:numPr>
          <w:ilvl w:val="0"/>
          <w:numId w:val="5"/>
        </w:numPr>
      </w:pPr>
      <w:r>
        <w:t>Een verklaring van de Belastingdienst over betalingsgedrag die maximaal 6 kalendermaanden oud is als de inkopende organisatie deze ontvangt.</w:t>
      </w:r>
    </w:p>
    <w:p w14:paraId="71AE89D0" w14:textId="479DB1F6" w:rsidR="00BD36DC" w:rsidRDefault="00BD36DC" w:rsidP="007950E1">
      <w:pPr>
        <w:pStyle w:val="Lijstalinea"/>
        <w:numPr>
          <w:ilvl w:val="0"/>
          <w:numId w:val="5"/>
        </w:numPr>
      </w:pPr>
      <w:r>
        <w:t>Een recent uittreksel van de Kamer van Koophandel, niet ouder dan 6 maanden als de inkopende organisatie deze ontvangt.</w:t>
      </w:r>
    </w:p>
    <w:p w14:paraId="5D89D827" w14:textId="33ED1F00" w:rsidR="00BD36DC" w:rsidRDefault="00BD36DC" w:rsidP="00BD36DC">
      <w:pPr>
        <w:pStyle w:val="Lijstalinea"/>
        <w:numPr>
          <w:ilvl w:val="0"/>
          <w:numId w:val="5"/>
        </w:numPr>
      </w:pPr>
      <w:r>
        <w:t>Als de potentiële opdrachtnemer een rechtspersoon is, een actuele Verklaring Omtrent het Gedrag voor rechtspersonen.</w:t>
      </w:r>
    </w:p>
    <w:p w14:paraId="0C364B34" w14:textId="77777777" w:rsidR="00BD36DC" w:rsidRDefault="00BD36DC" w:rsidP="007950E1">
      <w:pPr>
        <w:pStyle w:val="Kop2"/>
      </w:pPr>
      <w:bookmarkStart w:id="26" w:name="_Toc216957410"/>
      <w:r>
        <w:t>3.4</w:t>
      </w:r>
      <w:r>
        <w:tab/>
        <w:t>Geschiktheidseisen</w:t>
      </w:r>
      <w:bookmarkEnd w:id="26"/>
    </w:p>
    <w:p w14:paraId="50C26777" w14:textId="5EB4CDC8" w:rsidR="00BD36DC" w:rsidRDefault="00BD36DC" w:rsidP="00BD36DC">
      <w:r>
        <w:t xml:space="preserve">De onderstaande geschiktheidseisen gelden voor deze inkoopprocedure. Bij elke eis staat welk bewijs de potentiële opdrachtnemer moet aanleveren. De potentiële opdrachtnemer voegt dit bewijs toe aan zijn inschrijving. </w:t>
      </w:r>
    </w:p>
    <w:p w14:paraId="63062864" w14:textId="77777777" w:rsidR="00C56688" w:rsidRDefault="00C56688" w:rsidP="00C56688">
      <w:r>
        <w:t>Levert de potentiële opdrachtnemer dit bewijs niet, te laat, onvolledig of fout aan? Dan kan de inkopende organisatie het verzoek of de inschrijving terzijde leggen. De inkopende organisatie kan ook extra bewijs opvragen of onderzoek doen. De potentiële opdrachtnemer moet dat extra bewijs binnen 14 kalenderdagen aanleveren, tenzij een andere termijn is genoemd. Doet hij dat niet op tijd? Dan kan de inkopende organisatie de potentiële opdrachtnemer uitsluiten van de procedure.</w:t>
      </w:r>
    </w:p>
    <w:p w14:paraId="7F7814D4" w14:textId="4C0F1AB5" w:rsidR="009C5141" w:rsidRDefault="00C56688" w:rsidP="00C56688">
      <w:r>
        <w:t>De opdrachtnemer werkt kosteloos mee aan deze controle.</w:t>
      </w:r>
    </w:p>
    <w:tbl>
      <w:tblPr>
        <w:tblStyle w:val="Rastertabel1licht-Accent1"/>
        <w:tblW w:w="5000" w:type="pct"/>
        <w:tblLook w:val="04A0" w:firstRow="1" w:lastRow="0" w:firstColumn="1" w:lastColumn="0" w:noHBand="0" w:noVBand="1"/>
      </w:tblPr>
      <w:tblGrid>
        <w:gridCol w:w="543"/>
        <w:gridCol w:w="4303"/>
        <w:gridCol w:w="4216"/>
      </w:tblGrid>
      <w:tr w:rsidR="00E10B97" w:rsidRPr="00C12AEF" w14:paraId="3D4B7175" w14:textId="77777777" w:rsidTr="00504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tcPr>
          <w:p w14:paraId="7A8D2923" w14:textId="77777777" w:rsidR="00E10B97" w:rsidRPr="00846BCF" w:rsidRDefault="00E10B97" w:rsidP="007C3BA8">
            <w:pPr>
              <w:spacing w:before="60" w:after="60"/>
              <w:rPr>
                <w:rFonts w:ascii="Calibri" w:eastAsia="Arial" w:hAnsi="Calibri" w:cs="Calibri"/>
                <w:bCs w:val="0"/>
                <w:sz w:val="22"/>
                <w:szCs w:val="22"/>
              </w:rPr>
            </w:pPr>
            <w:r w:rsidRPr="00846BCF">
              <w:rPr>
                <w:rFonts w:ascii="Calibri" w:eastAsia="Arial" w:hAnsi="Calibri" w:cs="Calibri"/>
                <w:bCs w:val="0"/>
                <w:sz w:val="22"/>
                <w:szCs w:val="22"/>
              </w:rPr>
              <w:lastRenderedPageBreak/>
              <w:t>Nr.</w:t>
            </w:r>
          </w:p>
        </w:tc>
        <w:tc>
          <w:tcPr>
            <w:tcW w:w="2339" w:type="pct"/>
          </w:tcPr>
          <w:p w14:paraId="147018E8" w14:textId="77777777" w:rsidR="00E10B97" w:rsidRPr="00846BCF" w:rsidRDefault="00E10B97" w:rsidP="007C3BA8">
            <w:pPr>
              <w:spacing w:before="60" w:after="6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val="0"/>
                <w:sz w:val="22"/>
                <w:szCs w:val="22"/>
              </w:rPr>
            </w:pPr>
            <w:r w:rsidRPr="00846BCF">
              <w:rPr>
                <w:rFonts w:ascii="Calibri" w:eastAsia="Arial" w:hAnsi="Calibri" w:cs="Calibri"/>
                <w:bCs w:val="0"/>
                <w:sz w:val="22"/>
                <w:szCs w:val="22"/>
              </w:rPr>
              <w:t>Eis</w:t>
            </w:r>
          </w:p>
        </w:tc>
        <w:tc>
          <w:tcPr>
            <w:tcW w:w="2344" w:type="pct"/>
          </w:tcPr>
          <w:p w14:paraId="2B78330E" w14:textId="77777777" w:rsidR="00E10B97" w:rsidRPr="00846BCF" w:rsidRDefault="00E10B97" w:rsidP="007C3BA8">
            <w:pPr>
              <w:spacing w:before="60" w:after="6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val="0"/>
                <w:sz w:val="22"/>
                <w:szCs w:val="22"/>
              </w:rPr>
            </w:pPr>
            <w:r w:rsidRPr="00846BCF">
              <w:rPr>
                <w:rFonts w:ascii="Calibri" w:eastAsia="Arial" w:hAnsi="Calibri" w:cs="Calibri"/>
                <w:bCs w:val="0"/>
                <w:sz w:val="22"/>
                <w:szCs w:val="22"/>
              </w:rPr>
              <w:t>Bewijsmiddel</w:t>
            </w:r>
          </w:p>
        </w:tc>
      </w:tr>
      <w:tr w:rsidR="00E10B97" w:rsidRPr="00C12AEF" w14:paraId="20B858FD" w14:textId="77777777" w:rsidTr="00504101">
        <w:tc>
          <w:tcPr>
            <w:cnfStyle w:val="001000000000" w:firstRow="0" w:lastRow="0" w:firstColumn="1" w:lastColumn="0" w:oddVBand="0" w:evenVBand="0" w:oddHBand="0" w:evenHBand="0" w:firstRowFirstColumn="0" w:firstRowLastColumn="0" w:lastRowFirstColumn="0" w:lastRowLastColumn="0"/>
            <w:tcW w:w="317" w:type="pct"/>
          </w:tcPr>
          <w:p w14:paraId="124C7963" w14:textId="77777777" w:rsidR="00E10B97" w:rsidRPr="00C12AEF" w:rsidRDefault="00E10B97" w:rsidP="007C3BA8">
            <w:pPr>
              <w:spacing w:before="60" w:after="60"/>
              <w:rPr>
                <w:i/>
                <w:iCs/>
                <w:sz w:val="21"/>
                <w:szCs w:val="21"/>
              </w:rPr>
            </w:pPr>
            <w:r>
              <w:rPr>
                <w:i/>
                <w:iCs/>
                <w:sz w:val="21"/>
                <w:szCs w:val="21"/>
              </w:rPr>
              <w:t>1.</w:t>
            </w:r>
          </w:p>
        </w:tc>
        <w:tc>
          <w:tcPr>
            <w:tcW w:w="2339" w:type="pct"/>
          </w:tcPr>
          <w:p w14:paraId="1AD98350" w14:textId="77777777" w:rsidR="00E10B97" w:rsidRPr="00846BCF" w:rsidRDefault="00E10B97" w:rsidP="007C3BA8">
            <w:pPr>
              <w:spacing w:before="60" w:after="60"/>
              <w:cnfStyle w:val="000000000000" w:firstRow="0" w:lastRow="0" w:firstColumn="0" w:lastColumn="0" w:oddVBand="0" w:evenVBand="0" w:oddHBand="0" w:evenHBand="0" w:firstRowFirstColumn="0" w:firstRowLastColumn="0" w:lastRowFirstColumn="0" w:lastRowLastColumn="0"/>
              <w:rPr>
                <w:b/>
                <w:bCs/>
              </w:rPr>
            </w:pPr>
            <w:r w:rsidRPr="00846BCF">
              <w:rPr>
                <w:b/>
                <w:bCs/>
              </w:rPr>
              <w:t>Algemeen</w:t>
            </w:r>
          </w:p>
          <w:p w14:paraId="258F5E52" w14:textId="77777777" w:rsidR="00E10B97" w:rsidRPr="00846BCF" w:rsidRDefault="00E10B97" w:rsidP="007C3BA8">
            <w:pPr>
              <w:spacing w:before="60" w:after="60"/>
              <w:cnfStyle w:val="000000000000" w:firstRow="0" w:lastRow="0" w:firstColumn="0" w:lastColumn="0" w:oddVBand="0" w:evenVBand="0" w:oddHBand="0" w:evenHBand="0" w:firstRowFirstColumn="0" w:firstRowLastColumn="0" w:lastRowFirstColumn="0" w:lastRowLastColumn="0"/>
            </w:pPr>
            <w:r w:rsidRPr="00846BCF">
              <w:t>De (potentiële) aanbieder dient ingeschreven te staan in een beroeps- en/of handelsregister (KvK).</w:t>
            </w:r>
          </w:p>
        </w:tc>
        <w:tc>
          <w:tcPr>
            <w:tcW w:w="2344" w:type="pct"/>
          </w:tcPr>
          <w:p w14:paraId="6B0B73FC" w14:textId="77777777" w:rsidR="0083397D" w:rsidRPr="00846BCF" w:rsidRDefault="0083397D" w:rsidP="0083397D">
            <w:pPr>
              <w:cnfStyle w:val="000000000000" w:firstRow="0" w:lastRow="0" w:firstColumn="0" w:lastColumn="0" w:oddVBand="0" w:evenVBand="0" w:oddHBand="0" w:evenHBand="0" w:firstRowFirstColumn="0" w:firstRowLastColumn="0" w:lastRowFirstColumn="0" w:lastRowLastColumn="0"/>
              <w:rPr>
                <w:b/>
                <w:bCs/>
              </w:rPr>
            </w:pPr>
            <w:r w:rsidRPr="00846BCF">
              <w:rPr>
                <w:b/>
                <w:bCs/>
              </w:rPr>
              <w:t>Indienen bij inschrijving:</w:t>
            </w:r>
          </w:p>
          <w:p w14:paraId="316D6D87" w14:textId="77777777" w:rsidR="0083397D" w:rsidRPr="00846BCF" w:rsidRDefault="0083397D" w:rsidP="0083397D">
            <w:pPr>
              <w:cnfStyle w:val="000000000000" w:firstRow="0" w:lastRow="0" w:firstColumn="0" w:lastColumn="0" w:oddVBand="0" w:evenVBand="0" w:oddHBand="0" w:evenHBand="0" w:firstRowFirstColumn="0" w:firstRowLastColumn="0" w:lastRowFirstColumn="0" w:lastRowLastColumn="0"/>
            </w:pPr>
            <w:r w:rsidRPr="00846BCF">
              <w:t xml:space="preserve">Door middel van het invullen van Deel IV en het indienen van het UEA verklaart inschrijver dat de inschrijver voldoet aan de gestelde beroepsbevoegdheid. </w:t>
            </w:r>
            <w:r w:rsidRPr="00846BCF">
              <w:br/>
            </w:r>
          </w:p>
          <w:p w14:paraId="4E0FABEF" w14:textId="77777777" w:rsidR="0083397D" w:rsidRPr="00846BCF" w:rsidRDefault="0083397D" w:rsidP="0083397D">
            <w:pPr>
              <w:cnfStyle w:val="000000000000" w:firstRow="0" w:lastRow="0" w:firstColumn="0" w:lastColumn="0" w:oddVBand="0" w:evenVBand="0" w:oddHBand="0" w:evenHBand="0" w:firstRowFirstColumn="0" w:firstRowLastColumn="0" w:lastRowFirstColumn="0" w:lastRowLastColumn="0"/>
              <w:rPr>
                <w:b/>
                <w:bCs/>
              </w:rPr>
            </w:pPr>
            <w:r w:rsidRPr="00846BCF">
              <w:rPr>
                <w:b/>
                <w:bCs/>
              </w:rPr>
              <w:t>Op eerste verzoek in te dienen bewijsmiddel na gunningsbeslissing:</w:t>
            </w:r>
          </w:p>
          <w:p w14:paraId="0822237E" w14:textId="4A43CC23" w:rsidR="00E10B97" w:rsidRPr="00846BCF" w:rsidRDefault="0083397D" w:rsidP="0083397D">
            <w:pPr>
              <w:spacing w:before="60" w:after="60"/>
              <w:cnfStyle w:val="000000000000" w:firstRow="0" w:lastRow="0" w:firstColumn="0" w:lastColumn="0" w:oddVBand="0" w:evenVBand="0" w:oddHBand="0" w:evenHBand="0" w:firstRowFirstColumn="0" w:firstRowLastColumn="0" w:lastRowFirstColumn="0" w:lastRowLastColumn="0"/>
            </w:pPr>
            <w:r w:rsidRPr="00846BCF">
              <w:t>Uittreksel van het betreffende beroeps- en/of handelsregister die op het tijdstip van indiening niet ouder is dan zes (6) maanden. Uit het uittreksel moet ook de tekenbevoegdheid te herleiden zijn</w:t>
            </w:r>
          </w:p>
        </w:tc>
      </w:tr>
      <w:tr w:rsidR="00E10B97" w:rsidRPr="00C12AEF" w14:paraId="4B808CB2" w14:textId="77777777" w:rsidTr="00504101">
        <w:tc>
          <w:tcPr>
            <w:cnfStyle w:val="001000000000" w:firstRow="0" w:lastRow="0" w:firstColumn="1" w:lastColumn="0" w:oddVBand="0" w:evenVBand="0" w:oddHBand="0" w:evenHBand="0" w:firstRowFirstColumn="0" w:firstRowLastColumn="0" w:lastRowFirstColumn="0" w:lastRowLastColumn="0"/>
            <w:tcW w:w="317" w:type="pct"/>
          </w:tcPr>
          <w:p w14:paraId="5B3AAEEF" w14:textId="77777777" w:rsidR="00E10B97" w:rsidRPr="00D92818" w:rsidRDefault="00E10B97" w:rsidP="007C3BA8">
            <w:pPr>
              <w:spacing w:before="60" w:after="60"/>
              <w:rPr>
                <w:i/>
                <w:iCs/>
                <w:sz w:val="21"/>
                <w:szCs w:val="21"/>
              </w:rPr>
            </w:pPr>
            <w:r>
              <w:rPr>
                <w:i/>
                <w:iCs/>
                <w:sz w:val="21"/>
                <w:szCs w:val="21"/>
              </w:rPr>
              <w:t>2.</w:t>
            </w:r>
          </w:p>
        </w:tc>
        <w:tc>
          <w:tcPr>
            <w:tcW w:w="2339" w:type="pct"/>
          </w:tcPr>
          <w:p w14:paraId="7555FC89" w14:textId="77777777" w:rsidR="00E10B97" w:rsidRPr="00846BCF" w:rsidRDefault="00E10B97" w:rsidP="007C3BA8">
            <w:pPr>
              <w:spacing w:before="60" w:after="60"/>
              <w:cnfStyle w:val="000000000000" w:firstRow="0" w:lastRow="0" w:firstColumn="0" w:lastColumn="0" w:oddVBand="0" w:evenVBand="0" w:oddHBand="0" w:evenHBand="0" w:firstRowFirstColumn="0" w:firstRowLastColumn="0" w:lastRowFirstColumn="0" w:lastRowLastColumn="0"/>
              <w:rPr>
                <w:b/>
                <w:bCs/>
              </w:rPr>
            </w:pPr>
            <w:r w:rsidRPr="00846BCF">
              <w:rPr>
                <w:b/>
                <w:bCs/>
              </w:rPr>
              <w:t xml:space="preserve">Certificering </w:t>
            </w:r>
          </w:p>
          <w:p w14:paraId="7EC5FB51" w14:textId="77777777" w:rsidR="00E10B97" w:rsidRPr="00846BCF" w:rsidRDefault="00E10B97" w:rsidP="007C3BA8">
            <w:pPr>
              <w:spacing w:before="60" w:after="60"/>
              <w:cnfStyle w:val="000000000000" w:firstRow="0" w:lastRow="0" w:firstColumn="0" w:lastColumn="0" w:oddVBand="0" w:evenVBand="0" w:oddHBand="0" w:evenHBand="0" w:firstRowFirstColumn="0" w:firstRowLastColumn="0" w:lastRowFirstColumn="0" w:lastRowLastColumn="0"/>
            </w:pPr>
            <w:r w:rsidRPr="00846BCF">
              <w:t>De (potentiële) aanbieder beschikt over een geldig kwaliteitscertificaat dat aantoont dat de organisatie werkt volgens een aantoonbaar kwaliteitsmanagementsysteem voor het leveren van huishoudelijke ondersteuning. Het certificaat dient afgegeven te zijn door een onafhankelijke, geaccrediteerde certificerende instantie.</w:t>
            </w:r>
          </w:p>
          <w:p w14:paraId="0C4753D5" w14:textId="77777777" w:rsidR="00E10B97" w:rsidRPr="00846BCF" w:rsidRDefault="00E10B97" w:rsidP="007C3BA8">
            <w:pPr>
              <w:spacing w:before="60" w:after="60"/>
              <w:cnfStyle w:val="000000000000" w:firstRow="0" w:lastRow="0" w:firstColumn="0" w:lastColumn="0" w:oddVBand="0" w:evenVBand="0" w:oddHBand="0" w:evenHBand="0" w:firstRowFirstColumn="0" w:firstRowLastColumn="0" w:lastRowFirstColumn="0" w:lastRowLastColumn="0"/>
            </w:pPr>
            <w:r w:rsidRPr="00846BCF">
              <w:t>Toegestane certificeringen zijn:</w:t>
            </w:r>
          </w:p>
          <w:p w14:paraId="2767BA2B" w14:textId="77777777" w:rsidR="00E10B97" w:rsidRPr="00846BCF" w:rsidRDefault="00E10B97" w:rsidP="00E10B97">
            <w:pPr>
              <w:numPr>
                <w:ilvl w:val="0"/>
                <w:numId w:val="35"/>
              </w:numPr>
              <w:spacing w:before="60" w:after="60"/>
              <w:cnfStyle w:val="000000000000" w:firstRow="0" w:lastRow="0" w:firstColumn="0" w:lastColumn="0" w:oddVBand="0" w:evenVBand="0" w:oddHBand="0" w:evenHBand="0" w:firstRowFirstColumn="0" w:firstRowLastColumn="0" w:lastRowFirstColumn="0" w:lastRowLastColumn="0"/>
            </w:pPr>
            <w:r w:rsidRPr="00846BCF">
              <w:t xml:space="preserve">HKZ-certificering voor Thuiszorg of </w:t>
            </w:r>
            <w:proofErr w:type="spellStart"/>
            <w:r w:rsidRPr="00846BCF">
              <w:t>Wmo</w:t>
            </w:r>
            <w:proofErr w:type="spellEnd"/>
            <w:r w:rsidRPr="00846BCF">
              <w:t xml:space="preserve"> (Harmonisatie Kwaliteitsbeoordeling in de Zorgsector);</w:t>
            </w:r>
          </w:p>
          <w:p w14:paraId="515DC868" w14:textId="77777777" w:rsidR="00E10B97" w:rsidRPr="00846BCF" w:rsidRDefault="00E10B97" w:rsidP="00E10B97">
            <w:pPr>
              <w:numPr>
                <w:ilvl w:val="0"/>
                <w:numId w:val="35"/>
              </w:numPr>
              <w:spacing w:before="60" w:after="60"/>
              <w:cnfStyle w:val="000000000000" w:firstRow="0" w:lastRow="0" w:firstColumn="0" w:lastColumn="0" w:oddVBand="0" w:evenVBand="0" w:oddHBand="0" w:evenHBand="0" w:firstRowFirstColumn="0" w:firstRowLastColumn="0" w:lastRowFirstColumn="0" w:lastRowLastColumn="0"/>
            </w:pPr>
            <w:r w:rsidRPr="00846BCF">
              <w:t>ISO 9001:2015, mits van toepassing op de zorg- of dienstverleningsprocessen;</w:t>
            </w:r>
          </w:p>
          <w:p w14:paraId="15DE0DE2" w14:textId="77777777" w:rsidR="00E10B97" w:rsidRPr="00846BCF" w:rsidRDefault="00E10B97" w:rsidP="00E10B97">
            <w:pPr>
              <w:numPr>
                <w:ilvl w:val="0"/>
                <w:numId w:val="35"/>
              </w:numPr>
              <w:spacing w:before="60" w:after="60"/>
              <w:cnfStyle w:val="000000000000" w:firstRow="0" w:lastRow="0" w:firstColumn="0" w:lastColumn="0" w:oddVBand="0" w:evenVBand="0" w:oddHBand="0" w:evenHBand="0" w:firstRowFirstColumn="0" w:firstRowLastColumn="0" w:lastRowFirstColumn="0" w:lastRowLastColumn="0"/>
            </w:pPr>
            <w:r w:rsidRPr="00846BCF">
              <w:t>PREZO Zorg Thuis;</w:t>
            </w:r>
          </w:p>
          <w:p w14:paraId="02C75140" w14:textId="77777777" w:rsidR="00E10B97" w:rsidRPr="00846BCF" w:rsidRDefault="00E10B97" w:rsidP="00E10B97">
            <w:pPr>
              <w:numPr>
                <w:ilvl w:val="0"/>
                <w:numId w:val="35"/>
              </w:numPr>
              <w:spacing w:before="60" w:after="60"/>
              <w:cnfStyle w:val="000000000000" w:firstRow="0" w:lastRow="0" w:firstColumn="0" w:lastColumn="0" w:oddVBand="0" w:evenVBand="0" w:oddHBand="0" w:evenHBand="0" w:firstRowFirstColumn="0" w:firstRowLastColumn="0" w:lastRowFirstColumn="0" w:lastRowLastColumn="0"/>
            </w:pPr>
            <w:r w:rsidRPr="00846BCF">
              <w:t xml:space="preserve">Kiwa certificaat voor ZZP (Kiwa Mijn Keurmerk); of </w:t>
            </w:r>
          </w:p>
          <w:p w14:paraId="3384B5EE" w14:textId="77777777" w:rsidR="00E10B97" w:rsidRPr="00846BCF" w:rsidRDefault="00E10B97" w:rsidP="00E10B97">
            <w:pPr>
              <w:numPr>
                <w:ilvl w:val="0"/>
                <w:numId w:val="35"/>
              </w:numPr>
              <w:spacing w:before="60" w:after="60"/>
              <w:cnfStyle w:val="000000000000" w:firstRow="0" w:lastRow="0" w:firstColumn="0" w:lastColumn="0" w:oddVBand="0" w:evenVBand="0" w:oddHBand="0" w:evenHBand="0" w:firstRowFirstColumn="0" w:firstRowLastColumn="0" w:lastRowFirstColumn="0" w:lastRowLastColumn="0"/>
            </w:pPr>
            <w:r w:rsidRPr="00846BCF">
              <w:t>Een gelijkwaardig certificaat.</w:t>
            </w:r>
          </w:p>
          <w:p w14:paraId="05442F5A" w14:textId="77777777" w:rsidR="00E10B97" w:rsidRDefault="00E10B97" w:rsidP="007C3BA8">
            <w:pPr>
              <w:spacing w:before="60" w:after="60"/>
              <w:cnfStyle w:val="000000000000" w:firstRow="0" w:lastRow="0" w:firstColumn="0" w:lastColumn="0" w:oddVBand="0" w:evenVBand="0" w:oddHBand="0" w:evenHBand="0" w:firstRowFirstColumn="0" w:firstRowLastColumn="0" w:lastRowFirstColumn="0" w:lastRowLastColumn="0"/>
            </w:pPr>
          </w:p>
          <w:p w14:paraId="7986E761" w14:textId="77777777" w:rsidR="00A96779" w:rsidRDefault="00A96779" w:rsidP="007C3BA8">
            <w:pPr>
              <w:spacing w:before="60" w:after="60"/>
              <w:cnfStyle w:val="000000000000" w:firstRow="0" w:lastRow="0" w:firstColumn="0" w:lastColumn="0" w:oddVBand="0" w:evenVBand="0" w:oddHBand="0" w:evenHBand="0" w:firstRowFirstColumn="0" w:firstRowLastColumn="0" w:lastRowFirstColumn="0" w:lastRowLastColumn="0"/>
            </w:pPr>
          </w:p>
          <w:p w14:paraId="66106EA0" w14:textId="77777777" w:rsidR="00A96779" w:rsidRPr="00846BCF" w:rsidRDefault="00A96779" w:rsidP="007C3BA8">
            <w:pPr>
              <w:spacing w:before="60" w:after="60"/>
              <w:cnfStyle w:val="000000000000" w:firstRow="0" w:lastRow="0" w:firstColumn="0" w:lastColumn="0" w:oddVBand="0" w:evenVBand="0" w:oddHBand="0" w:evenHBand="0" w:firstRowFirstColumn="0" w:firstRowLastColumn="0" w:lastRowFirstColumn="0" w:lastRowLastColumn="0"/>
            </w:pPr>
          </w:p>
          <w:p w14:paraId="23D9498B" w14:textId="77777777" w:rsidR="00E10B97" w:rsidRPr="00846BCF" w:rsidRDefault="00E10B97" w:rsidP="007C3BA8">
            <w:pPr>
              <w:spacing w:before="60" w:after="60"/>
              <w:cnfStyle w:val="000000000000" w:firstRow="0" w:lastRow="0" w:firstColumn="0" w:lastColumn="0" w:oddVBand="0" w:evenVBand="0" w:oddHBand="0" w:evenHBand="0" w:firstRowFirstColumn="0" w:firstRowLastColumn="0" w:lastRowFirstColumn="0" w:lastRowLastColumn="0"/>
              <w:rPr>
                <w:u w:val="single"/>
              </w:rPr>
            </w:pPr>
            <w:r w:rsidRPr="00846BCF">
              <w:rPr>
                <w:u w:val="single"/>
              </w:rPr>
              <w:t xml:space="preserve">Toelichting: </w:t>
            </w:r>
          </w:p>
          <w:p w14:paraId="61E715A9" w14:textId="77777777" w:rsidR="00E10B97" w:rsidRPr="00C12AEF" w:rsidRDefault="00E10B97" w:rsidP="007C3BA8">
            <w:pPr>
              <w:spacing w:before="60" w:after="60"/>
              <w:cnfStyle w:val="000000000000" w:firstRow="0" w:lastRow="0" w:firstColumn="0" w:lastColumn="0" w:oddVBand="0" w:evenVBand="0" w:oddHBand="0" w:evenHBand="0" w:firstRowFirstColumn="0" w:firstRowLastColumn="0" w:lastRowFirstColumn="0" w:lastRowLastColumn="0"/>
              <w:rPr>
                <w:sz w:val="21"/>
                <w:szCs w:val="21"/>
              </w:rPr>
            </w:pPr>
            <w:r w:rsidRPr="00846BCF">
              <w:t xml:space="preserve">Met een gelijkwaardig certificaat wordt een systeem bedoeld dat vergelijkbaar is </w:t>
            </w:r>
            <w:r w:rsidRPr="00846BCF">
              <w:lastRenderedPageBreak/>
              <w:t>in opzet, doel en werking, en dat wordt getoetst door een onafhankelijke, geaccrediteerde instantie.</w:t>
            </w:r>
          </w:p>
        </w:tc>
        <w:tc>
          <w:tcPr>
            <w:tcW w:w="2344" w:type="pct"/>
          </w:tcPr>
          <w:p w14:paraId="4171C829" w14:textId="77777777" w:rsidR="00846BCF" w:rsidRPr="00846BCF" w:rsidRDefault="00846BCF" w:rsidP="00846BCF">
            <w:pPr>
              <w:cnfStyle w:val="000000000000" w:firstRow="0" w:lastRow="0" w:firstColumn="0" w:lastColumn="0" w:oddVBand="0" w:evenVBand="0" w:oddHBand="0" w:evenHBand="0" w:firstRowFirstColumn="0" w:firstRowLastColumn="0" w:lastRowFirstColumn="0" w:lastRowLastColumn="0"/>
              <w:rPr>
                <w:b/>
                <w:bCs/>
              </w:rPr>
            </w:pPr>
            <w:r w:rsidRPr="00846BCF">
              <w:rPr>
                <w:b/>
                <w:bCs/>
              </w:rPr>
              <w:lastRenderedPageBreak/>
              <w:t xml:space="preserve">Indienen bij inschrijving: </w:t>
            </w:r>
          </w:p>
          <w:p w14:paraId="4518B6C5" w14:textId="77777777" w:rsidR="00846BCF" w:rsidRPr="00846BCF" w:rsidRDefault="00846BCF" w:rsidP="00846BCF">
            <w:pPr>
              <w:cnfStyle w:val="000000000000" w:firstRow="0" w:lastRow="0" w:firstColumn="0" w:lastColumn="0" w:oddVBand="0" w:evenVBand="0" w:oddHBand="0" w:evenHBand="0" w:firstRowFirstColumn="0" w:firstRowLastColumn="0" w:lastRowFirstColumn="0" w:lastRowLastColumn="0"/>
            </w:pPr>
            <w:r w:rsidRPr="00846BCF">
              <w:t xml:space="preserve">Door middel van het invullen en indienen van Deel IV van het UEA verklaart inschrijver dat de inschrijver voldoet aan de gestelde geschiktheidseisen. </w:t>
            </w:r>
          </w:p>
          <w:p w14:paraId="6028704B" w14:textId="77777777" w:rsidR="00846BCF" w:rsidRPr="00846BCF" w:rsidRDefault="00846BCF" w:rsidP="00846BCF">
            <w:pPr>
              <w:cnfStyle w:val="000000000000" w:firstRow="0" w:lastRow="0" w:firstColumn="0" w:lastColumn="0" w:oddVBand="0" w:evenVBand="0" w:oddHBand="0" w:evenHBand="0" w:firstRowFirstColumn="0" w:firstRowLastColumn="0" w:lastRowFirstColumn="0" w:lastRowLastColumn="0"/>
            </w:pPr>
          </w:p>
          <w:p w14:paraId="35C0AE08" w14:textId="0A68C717" w:rsidR="00846BCF" w:rsidRPr="00846BCF" w:rsidRDefault="00846BCF" w:rsidP="00846BCF">
            <w:pPr>
              <w:spacing w:before="60" w:after="60"/>
              <w:cnfStyle w:val="000000000000" w:firstRow="0" w:lastRow="0" w:firstColumn="0" w:lastColumn="0" w:oddVBand="0" w:evenVBand="0" w:oddHBand="0" w:evenHBand="0" w:firstRowFirstColumn="0" w:firstRowLastColumn="0" w:lastRowFirstColumn="0" w:lastRowLastColumn="0"/>
            </w:pPr>
            <w:r w:rsidRPr="00846BCF">
              <w:rPr>
                <w:b/>
                <w:bCs/>
              </w:rPr>
              <w:t>Op eerste verzoek in te dienen bewijsmiddel na gunningsbeslissing:</w:t>
            </w:r>
            <w:r w:rsidRPr="00846BCF">
              <w:t xml:space="preserve"> Kopie van het betreffende geldige en relevante certificaat of gelijkwaardig bewijsmiddel</w:t>
            </w:r>
          </w:p>
          <w:p w14:paraId="7936EF20" w14:textId="7BCC4A81" w:rsidR="00E10B97" w:rsidRPr="00C12AEF" w:rsidRDefault="00E10B97" w:rsidP="007C3BA8">
            <w:pPr>
              <w:spacing w:before="60" w:after="60"/>
              <w:cnfStyle w:val="000000000000" w:firstRow="0" w:lastRow="0" w:firstColumn="0" w:lastColumn="0" w:oddVBand="0" w:evenVBand="0" w:oddHBand="0" w:evenHBand="0" w:firstRowFirstColumn="0" w:firstRowLastColumn="0" w:lastRowFirstColumn="0" w:lastRowLastColumn="0"/>
              <w:rPr>
                <w:sz w:val="21"/>
                <w:szCs w:val="21"/>
              </w:rPr>
            </w:pPr>
          </w:p>
        </w:tc>
      </w:tr>
      <w:tr w:rsidR="00E10B97" w:rsidRPr="00C12AEF" w14:paraId="20D1212D" w14:textId="77777777" w:rsidTr="00504101">
        <w:tc>
          <w:tcPr>
            <w:cnfStyle w:val="001000000000" w:firstRow="0" w:lastRow="0" w:firstColumn="1" w:lastColumn="0" w:oddVBand="0" w:evenVBand="0" w:oddHBand="0" w:evenHBand="0" w:firstRowFirstColumn="0" w:firstRowLastColumn="0" w:lastRowFirstColumn="0" w:lastRowLastColumn="0"/>
            <w:tcW w:w="317" w:type="pct"/>
          </w:tcPr>
          <w:p w14:paraId="1DA25C10" w14:textId="77777777" w:rsidR="00E10B97" w:rsidRPr="00DE4802" w:rsidRDefault="00E10B97" w:rsidP="007C3BA8">
            <w:pPr>
              <w:spacing w:before="60" w:after="60"/>
              <w:rPr>
                <w:i/>
                <w:iCs/>
                <w:sz w:val="21"/>
                <w:szCs w:val="21"/>
              </w:rPr>
            </w:pPr>
            <w:r>
              <w:rPr>
                <w:i/>
                <w:iCs/>
                <w:sz w:val="21"/>
                <w:szCs w:val="21"/>
              </w:rPr>
              <w:t>3.</w:t>
            </w:r>
          </w:p>
        </w:tc>
        <w:tc>
          <w:tcPr>
            <w:tcW w:w="2339" w:type="pct"/>
          </w:tcPr>
          <w:p w14:paraId="78B28BA7" w14:textId="77777777" w:rsidR="00E10B97" w:rsidRPr="00D41098" w:rsidRDefault="00E10B97" w:rsidP="007C3BA8">
            <w:pPr>
              <w:spacing w:before="60" w:after="60"/>
              <w:cnfStyle w:val="000000000000" w:firstRow="0" w:lastRow="0" w:firstColumn="0" w:lastColumn="0" w:oddVBand="0" w:evenVBand="0" w:oddHBand="0" w:evenHBand="0" w:firstRowFirstColumn="0" w:firstRowLastColumn="0" w:lastRowFirstColumn="0" w:lastRowLastColumn="0"/>
              <w:rPr>
                <w:b/>
                <w:bCs/>
              </w:rPr>
            </w:pPr>
            <w:r w:rsidRPr="00D41098">
              <w:rPr>
                <w:b/>
                <w:bCs/>
              </w:rPr>
              <w:t>Verzekering</w:t>
            </w:r>
          </w:p>
          <w:p w14:paraId="74A48E8F" w14:textId="19436D86" w:rsidR="00E10B97" w:rsidRPr="00D41098" w:rsidRDefault="00E10B97" w:rsidP="007C3BA8">
            <w:pPr>
              <w:spacing w:before="60" w:after="60"/>
              <w:cnfStyle w:val="000000000000" w:firstRow="0" w:lastRow="0" w:firstColumn="0" w:lastColumn="0" w:oddVBand="0" w:evenVBand="0" w:oddHBand="0" w:evenHBand="0" w:firstRowFirstColumn="0" w:firstRowLastColumn="0" w:lastRowFirstColumn="0" w:lastRowLastColumn="0"/>
            </w:pPr>
            <w:r w:rsidRPr="00D41098">
              <w:t xml:space="preserve">In overeenstemming met artikel 16 van de </w:t>
            </w:r>
            <w:hyperlink r:id="rId15" w:history="1">
              <w:r w:rsidR="000E3C9D" w:rsidRPr="00835D1A">
                <w:rPr>
                  <w:rStyle w:val="Hyperlink"/>
                </w:rPr>
                <w:t>Model Algemene Inkoopvoorwaarden</w:t>
              </w:r>
            </w:hyperlink>
            <w:r w:rsidR="000A7D71">
              <w:rPr>
                <w:rStyle w:val="Hyperlink"/>
              </w:rPr>
              <w:t xml:space="preserve"> </w:t>
            </w:r>
            <w:hyperlink r:id="rId16" w:history="1">
              <w:r w:rsidR="008328DB" w:rsidRPr="002C481B">
                <w:rPr>
                  <w:rStyle w:val="Hyperlink"/>
                </w:rPr>
                <w:t>https://vng.nl/sites/default/files/2024-10/vng-model-algemene-inkoopvoorwaarden.pdf</w:t>
              </w:r>
            </w:hyperlink>
            <w:r w:rsidRPr="00D41098">
              <w:t xml:space="preserve"> van de Vereniging van Nederlandse Gemeenten (september2024), dient de (potentiële) aanbieder adequaat verzekerd te zijn tegen bedrijf</w:t>
            </w:r>
            <w:r w:rsidR="00835D1A">
              <w:t>s</w:t>
            </w:r>
            <w:r w:rsidRPr="00D41098">
              <w:t>aansprakelijkheid.</w:t>
            </w:r>
          </w:p>
          <w:p w14:paraId="67FDFEC1" w14:textId="77777777" w:rsidR="00E10B97" w:rsidRPr="00D41098" w:rsidRDefault="00E10B97" w:rsidP="007C3BA8">
            <w:pPr>
              <w:spacing w:before="60" w:after="60"/>
              <w:cnfStyle w:val="000000000000" w:firstRow="0" w:lastRow="0" w:firstColumn="0" w:lastColumn="0" w:oddVBand="0" w:evenVBand="0" w:oddHBand="0" w:evenHBand="0" w:firstRowFirstColumn="0" w:firstRowLastColumn="0" w:lastRowFirstColumn="0" w:lastRowLastColumn="0"/>
            </w:pPr>
            <w:r w:rsidRPr="00D41098">
              <w:t>De inschrijver dient ten tijde van de aanmelding en gedurende de uitvoering van de opdracht te beschikken over een:</w:t>
            </w:r>
          </w:p>
          <w:p w14:paraId="5DA4B23D" w14:textId="44D43E05" w:rsidR="00E10B97" w:rsidRPr="00D41098" w:rsidRDefault="00835D1A" w:rsidP="008B0C27">
            <w:pPr>
              <w:numPr>
                <w:ilvl w:val="0"/>
                <w:numId w:val="34"/>
              </w:numPr>
              <w:tabs>
                <w:tab w:val="clear" w:pos="720"/>
                <w:tab w:val="num" w:pos="450"/>
              </w:tabs>
              <w:spacing w:before="60" w:after="60"/>
              <w:ind w:left="450"/>
              <w:cnfStyle w:val="000000000000" w:firstRow="0" w:lastRow="0" w:firstColumn="0" w:lastColumn="0" w:oddVBand="0" w:evenVBand="0" w:oddHBand="0" w:evenHBand="0" w:firstRowFirstColumn="0" w:firstRowLastColumn="0" w:lastRowFirstColumn="0" w:lastRowLastColumn="0"/>
            </w:pPr>
            <w:r>
              <w:t>Bedrijfsa</w:t>
            </w:r>
            <w:r w:rsidR="00E10B97" w:rsidRPr="00D41098">
              <w:t xml:space="preserve">ansprakelijkheidsverzekering met een minimale dekking van € </w:t>
            </w:r>
            <w:r w:rsidR="00A51493">
              <w:t>2</w:t>
            </w:r>
            <w:r w:rsidR="00E10B97" w:rsidRPr="00D41098">
              <w:t>.</w:t>
            </w:r>
            <w:r w:rsidR="00A51493">
              <w:t>5</w:t>
            </w:r>
            <w:r w:rsidR="00E10B97" w:rsidRPr="00D41098">
              <w:t>00.000 per gebeurtenis met een minimale dekking van € 5</w:t>
            </w:r>
            <w:r w:rsidR="008B0C27">
              <w:t>.0</w:t>
            </w:r>
            <w:r w:rsidR="00E10B97" w:rsidRPr="00D41098">
              <w:t>00.000 per jaar</w:t>
            </w:r>
            <w:r w:rsidR="008B0C27">
              <w:t>.</w:t>
            </w:r>
          </w:p>
        </w:tc>
        <w:tc>
          <w:tcPr>
            <w:tcW w:w="2344" w:type="pct"/>
          </w:tcPr>
          <w:p w14:paraId="5F629C9D" w14:textId="77777777" w:rsidR="00D41098" w:rsidRPr="00D41098" w:rsidRDefault="00D41098" w:rsidP="00D41098">
            <w:pPr>
              <w:cnfStyle w:val="000000000000" w:firstRow="0" w:lastRow="0" w:firstColumn="0" w:lastColumn="0" w:oddVBand="0" w:evenVBand="0" w:oddHBand="0" w:evenHBand="0" w:firstRowFirstColumn="0" w:firstRowLastColumn="0" w:lastRowFirstColumn="0" w:lastRowLastColumn="0"/>
              <w:rPr>
                <w:b/>
                <w:bCs/>
              </w:rPr>
            </w:pPr>
            <w:r w:rsidRPr="00D41098">
              <w:rPr>
                <w:b/>
                <w:bCs/>
              </w:rPr>
              <w:t xml:space="preserve">Indienen bij inschrijving: </w:t>
            </w:r>
          </w:p>
          <w:p w14:paraId="74D5ECAE" w14:textId="4F815F13" w:rsidR="00D41098" w:rsidRPr="00D41098" w:rsidRDefault="00D41098" w:rsidP="00D41098">
            <w:pPr>
              <w:cnfStyle w:val="000000000000" w:firstRow="0" w:lastRow="0" w:firstColumn="0" w:lastColumn="0" w:oddVBand="0" w:evenVBand="0" w:oddHBand="0" w:evenHBand="0" w:firstRowFirstColumn="0" w:firstRowLastColumn="0" w:lastRowFirstColumn="0" w:lastRowLastColumn="0"/>
            </w:pPr>
            <w:r w:rsidRPr="00D41098">
              <w:t xml:space="preserve">Door middel van het invullen en indienen van deel IV van het UEA verklaart inschrijver dat de inschrijver voldoet aan de gestelde eisen aan de financiële en economische draagkracht. </w:t>
            </w:r>
          </w:p>
          <w:p w14:paraId="4DE5C539" w14:textId="77777777" w:rsidR="00D41098" w:rsidRPr="00D41098" w:rsidRDefault="00D41098" w:rsidP="00D41098">
            <w:pPr>
              <w:cnfStyle w:val="000000000000" w:firstRow="0" w:lastRow="0" w:firstColumn="0" w:lastColumn="0" w:oddVBand="0" w:evenVBand="0" w:oddHBand="0" w:evenHBand="0" w:firstRowFirstColumn="0" w:firstRowLastColumn="0" w:lastRowFirstColumn="0" w:lastRowLastColumn="0"/>
            </w:pPr>
          </w:p>
          <w:p w14:paraId="1256A3A8" w14:textId="02CBF8D9" w:rsidR="00E10B97" w:rsidRPr="00D41098" w:rsidRDefault="00D41098" w:rsidP="00D41098">
            <w:pPr>
              <w:spacing w:before="60" w:after="60"/>
              <w:cnfStyle w:val="000000000000" w:firstRow="0" w:lastRow="0" w:firstColumn="0" w:lastColumn="0" w:oddVBand="0" w:evenVBand="0" w:oddHBand="0" w:evenHBand="0" w:firstRowFirstColumn="0" w:firstRowLastColumn="0" w:lastRowFirstColumn="0" w:lastRowLastColumn="0"/>
            </w:pPr>
            <w:r w:rsidRPr="00D41098">
              <w:rPr>
                <w:b/>
                <w:bCs/>
              </w:rPr>
              <w:t>Op eerste verzoek in te dienen bewijsmiddel na gunningsbeslissing:</w:t>
            </w:r>
            <w:r w:rsidRPr="00D41098">
              <w:t xml:space="preserve"> Kopie van de polis van de verzekering voor wettelijke en/of bedrijfsaansprakelijkheid.</w:t>
            </w:r>
          </w:p>
        </w:tc>
      </w:tr>
      <w:tr w:rsidR="005862A4" w:rsidRPr="00C12AEF" w14:paraId="0DFFC02D" w14:textId="77777777" w:rsidTr="00504101">
        <w:tc>
          <w:tcPr>
            <w:cnfStyle w:val="001000000000" w:firstRow="0" w:lastRow="0" w:firstColumn="1" w:lastColumn="0" w:oddVBand="0" w:evenVBand="0" w:oddHBand="0" w:evenHBand="0" w:firstRowFirstColumn="0" w:firstRowLastColumn="0" w:lastRowFirstColumn="0" w:lastRowLastColumn="0"/>
            <w:tcW w:w="317" w:type="pct"/>
          </w:tcPr>
          <w:p w14:paraId="34CEF732" w14:textId="5742DB32" w:rsidR="005862A4" w:rsidRDefault="005862A4" w:rsidP="005862A4">
            <w:pPr>
              <w:spacing w:before="60" w:after="60"/>
              <w:rPr>
                <w:i/>
                <w:iCs/>
                <w:sz w:val="21"/>
                <w:szCs w:val="21"/>
              </w:rPr>
            </w:pPr>
            <w:r>
              <w:rPr>
                <w:i/>
                <w:iCs/>
                <w:sz w:val="21"/>
                <w:szCs w:val="21"/>
              </w:rPr>
              <w:t>4.</w:t>
            </w:r>
          </w:p>
        </w:tc>
        <w:tc>
          <w:tcPr>
            <w:tcW w:w="2339" w:type="pct"/>
          </w:tcPr>
          <w:p w14:paraId="333DC8E2" w14:textId="77777777" w:rsidR="005862A4" w:rsidRPr="00C52BC2" w:rsidRDefault="005862A4" w:rsidP="005862A4">
            <w:pPr>
              <w:cnfStyle w:val="000000000000" w:firstRow="0" w:lastRow="0" w:firstColumn="0" w:lastColumn="0" w:oddVBand="0" w:evenVBand="0" w:oddHBand="0" w:evenHBand="0" w:firstRowFirstColumn="0" w:firstRowLastColumn="0" w:lastRowFirstColumn="0" w:lastRowLastColumn="0"/>
              <w:rPr>
                <w:b/>
                <w:bCs/>
              </w:rPr>
            </w:pPr>
            <w:r w:rsidRPr="00C52BC2">
              <w:rPr>
                <w:b/>
                <w:bCs/>
              </w:rPr>
              <w:t>Technische en beroepsbekwaamheid</w:t>
            </w:r>
          </w:p>
          <w:p w14:paraId="3ADFF77D" w14:textId="55F77390" w:rsidR="005862A4" w:rsidRPr="00C52BC2" w:rsidRDefault="005862A4" w:rsidP="005862A4">
            <w:pPr>
              <w:cnfStyle w:val="000000000000" w:firstRow="0" w:lastRow="0" w:firstColumn="0" w:lastColumn="0" w:oddVBand="0" w:evenVBand="0" w:oddHBand="0" w:evenHBand="0" w:firstRowFirstColumn="0" w:firstRowLastColumn="0" w:lastRowFirstColumn="0" w:lastRowLastColumn="0"/>
            </w:pPr>
            <w:r w:rsidRPr="00C52BC2">
              <w:t>Voldoende ervaring in het uitvoeren van Hulp bij het Huishouden aan particuliere personen zoals bedoeld in deze aanbesteding.</w:t>
            </w:r>
          </w:p>
          <w:p w14:paraId="3D264695" w14:textId="77777777" w:rsidR="005862A4" w:rsidRPr="00C52BC2" w:rsidRDefault="005862A4" w:rsidP="005862A4">
            <w:pPr>
              <w:cnfStyle w:val="000000000000" w:firstRow="0" w:lastRow="0" w:firstColumn="0" w:lastColumn="0" w:oddVBand="0" w:evenVBand="0" w:oddHBand="0" w:evenHBand="0" w:firstRowFirstColumn="0" w:firstRowLastColumn="0" w:lastRowFirstColumn="0" w:lastRowLastColumn="0"/>
            </w:pPr>
          </w:p>
          <w:p w14:paraId="006EA99C" w14:textId="46FAC8E5" w:rsidR="005862A4" w:rsidRPr="00C52BC2" w:rsidRDefault="005862A4" w:rsidP="005862A4">
            <w:pPr>
              <w:cnfStyle w:val="000000000000" w:firstRow="0" w:lastRow="0" w:firstColumn="0" w:lastColumn="0" w:oddVBand="0" w:evenVBand="0" w:oddHBand="0" w:evenHBand="0" w:firstRowFirstColumn="0" w:firstRowLastColumn="0" w:lastRowFirstColumn="0" w:lastRowLastColumn="0"/>
              <w:rPr>
                <w:b/>
                <w:bCs/>
              </w:rPr>
            </w:pPr>
            <w:r w:rsidRPr="00C52BC2">
              <w:rPr>
                <w:b/>
                <w:bCs/>
              </w:rPr>
              <w:t>Kerncompetentie</w:t>
            </w:r>
            <w:r w:rsidR="004C1368">
              <w:rPr>
                <w:b/>
                <w:bCs/>
              </w:rPr>
              <w:t xml:space="preserve"> 1</w:t>
            </w:r>
            <w:r w:rsidRPr="00C52BC2">
              <w:rPr>
                <w:b/>
                <w:bCs/>
              </w:rPr>
              <w:t>:</w:t>
            </w:r>
          </w:p>
          <w:p w14:paraId="306D733B" w14:textId="0821D7ED" w:rsidR="005862A4" w:rsidRPr="00C52BC2" w:rsidRDefault="005862A4" w:rsidP="005862A4">
            <w:pPr>
              <w:cnfStyle w:val="000000000000" w:firstRow="0" w:lastRow="0" w:firstColumn="0" w:lastColumn="0" w:oddVBand="0" w:evenVBand="0" w:oddHBand="0" w:evenHBand="0" w:firstRowFirstColumn="0" w:firstRowLastColumn="0" w:lastRowFirstColumn="0" w:lastRowLastColumn="0"/>
            </w:pPr>
            <w:r w:rsidRPr="00C52BC2">
              <w:t xml:space="preserve">Inschrijver dient bij minimaal </w:t>
            </w:r>
            <w:r w:rsidR="005871CE">
              <w:t>160</w:t>
            </w:r>
            <w:r w:rsidRPr="00C52BC2">
              <w:t xml:space="preserve"> cliënten </w:t>
            </w:r>
            <w:r w:rsidR="005871CE">
              <w:t xml:space="preserve">per jaar </w:t>
            </w:r>
            <w:proofErr w:type="spellStart"/>
            <w:r w:rsidRPr="00C52BC2">
              <w:t>Wmo</w:t>
            </w:r>
            <w:proofErr w:type="spellEnd"/>
            <w:r w:rsidRPr="00C52BC2">
              <w:t xml:space="preserve"> Hulp bij het Huishouden te hebben verzorgd bij één of meerdere opdrachtgevers. </w:t>
            </w:r>
          </w:p>
          <w:p w14:paraId="02EE07B1" w14:textId="77777777" w:rsidR="005862A4" w:rsidRPr="00D41098" w:rsidRDefault="005862A4" w:rsidP="005862A4">
            <w:pPr>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2344" w:type="pct"/>
          </w:tcPr>
          <w:p w14:paraId="545E3461" w14:textId="4B7B9568" w:rsidR="005862A4" w:rsidRPr="005862A4" w:rsidRDefault="005862A4" w:rsidP="005862A4">
            <w:pPr>
              <w:cnfStyle w:val="000000000000" w:firstRow="0" w:lastRow="0" w:firstColumn="0" w:lastColumn="0" w:oddVBand="0" w:evenVBand="0" w:oddHBand="0" w:evenHBand="0" w:firstRowFirstColumn="0" w:firstRowLastColumn="0" w:lastRowFirstColumn="0" w:lastRowLastColumn="0"/>
            </w:pPr>
            <w:r w:rsidRPr="005862A4">
              <w:rPr>
                <w:b/>
                <w:bCs/>
              </w:rPr>
              <w:t>Indienen bij inschrijving:</w:t>
            </w:r>
            <w:r w:rsidRPr="005862A4">
              <w:t xml:space="preserve"> Door middel van het invullen en indienen van Deel IV van het UEA en een naar waarheid ingevulde bijlage </w:t>
            </w:r>
            <w:r w:rsidR="004A5E11">
              <w:t>5</w:t>
            </w:r>
            <w:r w:rsidRPr="005862A4">
              <w:t xml:space="preserve"> Verklaring referentie, verklaart inschrijver dat de inschrijver voldoet aan de gestelde kerncompetentie. Deze referentie mag niet ouder zijn dan drie (3) jaar op het moment van inschrijving.</w:t>
            </w:r>
          </w:p>
          <w:p w14:paraId="00A9D291" w14:textId="3D0C5C48" w:rsidR="005862A4" w:rsidRPr="005862A4" w:rsidRDefault="005862A4" w:rsidP="005862A4">
            <w:pPr>
              <w:cnfStyle w:val="000000000000" w:firstRow="0" w:lastRow="0" w:firstColumn="0" w:lastColumn="0" w:oddVBand="0" w:evenVBand="0" w:oddHBand="0" w:evenHBand="0" w:firstRowFirstColumn="0" w:firstRowLastColumn="0" w:lastRowFirstColumn="0" w:lastRowLastColumn="0"/>
            </w:pPr>
            <w:r w:rsidRPr="005862A4">
              <w:t xml:space="preserve"> </w:t>
            </w:r>
          </w:p>
        </w:tc>
      </w:tr>
    </w:tbl>
    <w:p w14:paraId="1391692D" w14:textId="77777777" w:rsidR="00CB5110" w:rsidRDefault="00CB5110" w:rsidP="002148FD">
      <w:pPr>
        <w:pStyle w:val="Kop1"/>
      </w:pPr>
    </w:p>
    <w:p w14:paraId="6362466F" w14:textId="77777777" w:rsidR="00CB5110" w:rsidRDefault="00CB5110">
      <w:pPr>
        <w:spacing w:after="0"/>
        <w:rPr>
          <w:rFonts w:ascii="Calibri" w:eastAsiaTheme="majorEastAsia" w:hAnsi="Calibri" w:cstheme="majorBidi"/>
          <w:b/>
          <w:color w:val="12828C"/>
          <w:sz w:val="32"/>
          <w:szCs w:val="32"/>
        </w:rPr>
      </w:pPr>
      <w:r>
        <w:br w:type="page"/>
      </w:r>
    </w:p>
    <w:p w14:paraId="5FD80D15" w14:textId="4C7C9B65" w:rsidR="00BD36DC" w:rsidRDefault="00BD36DC" w:rsidP="002148FD">
      <w:pPr>
        <w:pStyle w:val="Kop1"/>
      </w:pPr>
      <w:bookmarkStart w:id="27" w:name="_Toc216957411"/>
      <w:r>
        <w:lastRenderedPageBreak/>
        <w:t>4.</w:t>
      </w:r>
      <w:r>
        <w:tab/>
        <w:t>Gunningscriteria</w:t>
      </w:r>
      <w:bookmarkEnd w:id="27"/>
    </w:p>
    <w:p w14:paraId="1EC0F6EA" w14:textId="77777777" w:rsidR="00695788" w:rsidRPr="00695788" w:rsidRDefault="00E83A53" w:rsidP="00695788">
      <w:r w:rsidRPr="00E83A53">
        <w:t>De inschrijving wordt beoordeeld op basis van het gunningscriterium de beste prijs-kwaliteitverhouding</w:t>
      </w:r>
      <w:r w:rsidR="00015D2C">
        <w:t>.</w:t>
      </w:r>
      <w:r w:rsidR="00695788">
        <w:t xml:space="preserve"> </w:t>
      </w:r>
      <w:r w:rsidR="00695788" w:rsidRPr="00695788">
        <w:t xml:space="preserve">Waarbij prijs 0% meetelt en kwaliteit 100%, gezien de prijs vast staat. </w:t>
      </w:r>
    </w:p>
    <w:p w14:paraId="6CCDDB35" w14:textId="7164B9F8" w:rsidR="00ED4C57" w:rsidRPr="004C1F2B" w:rsidRDefault="004C1F2B" w:rsidP="004C1F2B">
      <w:pPr>
        <w:spacing w:before="240"/>
        <w:rPr>
          <w:u w:val="single"/>
        </w:rPr>
      </w:pPr>
      <w:proofErr w:type="spellStart"/>
      <w:r w:rsidRPr="004C1F2B">
        <w:rPr>
          <w:u w:val="single"/>
        </w:rPr>
        <w:t>Subgunningscriteria</w:t>
      </w:r>
      <w:proofErr w:type="spellEnd"/>
    </w:p>
    <w:p w14:paraId="58B34A28" w14:textId="77777777" w:rsidR="004C1F2B" w:rsidRPr="004C1F2B" w:rsidRDefault="004C1F2B" w:rsidP="004C1F2B">
      <w:r w:rsidRPr="004C1F2B">
        <w:t xml:space="preserve">De volgende </w:t>
      </w:r>
      <w:proofErr w:type="spellStart"/>
      <w:r w:rsidRPr="004C1F2B">
        <w:t>subgunningscriteria</w:t>
      </w:r>
      <w:proofErr w:type="spellEnd"/>
      <w:r w:rsidRPr="004C1F2B">
        <w:t xml:space="preserve"> zijn van toepassing:</w:t>
      </w:r>
    </w:p>
    <w:tbl>
      <w:tblPr>
        <w:tblStyle w:val="Onopgemaaktetabel1"/>
        <w:tblW w:w="4782" w:type="pct"/>
        <w:tblLook w:val="04A0" w:firstRow="1" w:lastRow="0" w:firstColumn="1" w:lastColumn="0" w:noHBand="0" w:noVBand="1"/>
      </w:tblPr>
      <w:tblGrid>
        <w:gridCol w:w="8667"/>
      </w:tblGrid>
      <w:tr w:rsidR="003F4119" w14:paraId="1E0840C4" w14:textId="4ACB2941" w:rsidTr="003F4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B2C92A" w14:textId="085D7107" w:rsidR="003F4119" w:rsidRPr="002565A0" w:rsidRDefault="003F4119" w:rsidP="001305FB">
            <w:pPr>
              <w:spacing w:before="60" w:after="60"/>
              <w:rPr>
                <w:b w:val="0"/>
                <w:bCs w:val="0"/>
              </w:rPr>
            </w:pPr>
            <w:r w:rsidRPr="002565A0">
              <w:rPr>
                <w:b w:val="0"/>
                <w:bCs w:val="0"/>
              </w:rPr>
              <w:t>Kwaliteitscriterium plan van aanpak</w:t>
            </w:r>
            <w:r>
              <w:rPr>
                <w:b w:val="0"/>
                <w:bCs w:val="0"/>
              </w:rPr>
              <w:t>:</w:t>
            </w:r>
          </w:p>
          <w:p w14:paraId="5C1F24A0" w14:textId="2F118D2B" w:rsidR="003F4119" w:rsidRPr="002565A0" w:rsidRDefault="003F4119" w:rsidP="001305FB">
            <w:pPr>
              <w:spacing w:before="60" w:after="60"/>
              <w:rPr>
                <w:b w:val="0"/>
                <w:bCs w:val="0"/>
              </w:rPr>
            </w:pPr>
            <w:r>
              <w:rPr>
                <w:b w:val="0"/>
                <w:bCs w:val="0"/>
              </w:rPr>
              <w:t xml:space="preserve">Criterium 1. </w:t>
            </w:r>
            <w:r w:rsidRPr="002565A0">
              <w:rPr>
                <w:b w:val="0"/>
                <w:bCs w:val="0"/>
              </w:rPr>
              <w:t xml:space="preserve">Uitvoering van de opdracht </w:t>
            </w:r>
            <w:r>
              <w:rPr>
                <w:b w:val="0"/>
                <w:bCs w:val="0"/>
              </w:rPr>
              <w:t xml:space="preserve">                   </w:t>
            </w:r>
            <w:r w:rsidRPr="002565A0">
              <w:rPr>
                <w:b w:val="0"/>
                <w:bCs w:val="0"/>
              </w:rPr>
              <w:t>– maximaal 40 punten te behalen</w:t>
            </w:r>
          </w:p>
          <w:p w14:paraId="029BD158" w14:textId="4EBBFE65" w:rsidR="003F4119" w:rsidRPr="002565A0" w:rsidRDefault="003F4119" w:rsidP="002565A0">
            <w:pPr>
              <w:spacing w:before="60" w:after="60"/>
              <w:rPr>
                <w:b w:val="0"/>
                <w:bCs w:val="0"/>
              </w:rPr>
            </w:pPr>
            <w:r>
              <w:rPr>
                <w:b w:val="0"/>
                <w:bCs w:val="0"/>
              </w:rPr>
              <w:t xml:space="preserve">Criterium 2. </w:t>
            </w:r>
            <w:r w:rsidRPr="002565A0">
              <w:rPr>
                <w:b w:val="0"/>
                <w:bCs w:val="0"/>
              </w:rPr>
              <w:t>Cliëntperspectief</w:t>
            </w:r>
            <w:r>
              <w:rPr>
                <w:b w:val="0"/>
                <w:bCs w:val="0"/>
              </w:rPr>
              <w:t xml:space="preserve">                                      </w:t>
            </w:r>
            <w:r w:rsidRPr="002565A0">
              <w:rPr>
                <w:b w:val="0"/>
                <w:bCs w:val="0"/>
              </w:rPr>
              <w:t xml:space="preserve"> – maximaal 20 punten te behalen</w:t>
            </w:r>
            <w:r>
              <w:rPr>
                <w:b w:val="0"/>
                <w:bCs w:val="0"/>
              </w:rPr>
              <w:t xml:space="preserve"> Criterium 3. </w:t>
            </w:r>
            <w:r w:rsidRPr="002565A0">
              <w:rPr>
                <w:b w:val="0"/>
                <w:bCs w:val="0"/>
              </w:rPr>
              <w:t xml:space="preserve">Implementatie </w:t>
            </w:r>
            <w:r>
              <w:rPr>
                <w:b w:val="0"/>
                <w:bCs w:val="0"/>
              </w:rPr>
              <w:t xml:space="preserve">                                          </w:t>
            </w:r>
            <w:r w:rsidRPr="002565A0">
              <w:rPr>
                <w:b w:val="0"/>
                <w:bCs w:val="0"/>
              </w:rPr>
              <w:t>– maximaal 10 punten te behalen</w:t>
            </w:r>
          </w:p>
          <w:p w14:paraId="51A76631" w14:textId="6A5A28F6" w:rsidR="003F4119" w:rsidRPr="002565A0" w:rsidRDefault="003F4119" w:rsidP="002565A0">
            <w:pPr>
              <w:spacing w:before="60" w:after="60"/>
              <w:rPr>
                <w:b w:val="0"/>
                <w:bCs w:val="0"/>
              </w:rPr>
            </w:pPr>
            <w:r>
              <w:rPr>
                <w:b w:val="0"/>
                <w:bCs w:val="0"/>
              </w:rPr>
              <w:t xml:space="preserve">Criterium 4. </w:t>
            </w:r>
            <w:r w:rsidRPr="002565A0">
              <w:rPr>
                <w:b w:val="0"/>
                <w:bCs w:val="0"/>
              </w:rPr>
              <w:t>Kwaliteit en ontwikkeling</w:t>
            </w:r>
            <w:r>
              <w:rPr>
                <w:b w:val="0"/>
                <w:bCs w:val="0"/>
              </w:rPr>
              <w:t xml:space="preserve"> personeel     </w:t>
            </w:r>
            <w:r w:rsidRPr="002565A0">
              <w:rPr>
                <w:b w:val="0"/>
                <w:bCs w:val="0"/>
              </w:rPr>
              <w:t xml:space="preserve"> – maximaal 30 punten te behalen</w:t>
            </w:r>
          </w:p>
        </w:tc>
      </w:tr>
    </w:tbl>
    <w:p w14:paraId="5373DB4E" w14:textId="77777777" w:rsidR="00024919" w:rsidRDefault="00024919" w:rsidP="004C1F2B"/>
    <w:p w14:paraId="696D7519" w14:textId="1314104E" w:rsidR="00C31FE2" w:rsidRDefault="00B86D11" w:rsidP="00BD36DC">
      <w:r>
        <w:t xml:space="preserve">De </w:t>
      </w:r>
      <w:proofErr w:type="spellStart"/>
      <w:r>
        <w:t>subgunningscriteria</w:t>
      </w:r>
      <w:proofErr w:type="spellEnd"/>
      <w:r>
        <w:t xml:space="preserve"> worden in onderstaande toegelicht.</w:t>
      </w:r>
    </w:p>
    <w:p w14:paraId="7DC260E5" w14:textId="2A687F63" w:rsidR="002B7216" w:rsidRPr="002B7216" w:rsidRDefault="002B7216" w:rsidP="002B7216">
      <w:pPr>
        <w:spacing w:before="360"/>
        <w:rPr>
          <w:b/>
          <w:bCs/>
          <w:color w:val="12828C"/>
        </w:rPr>
      </w:pPr>
      <w:r w:rsidRPr="002B7216">
        <w:rPr>
          <w:b/>
          <w:bCs/>
          <w:color w:val="12828C"/>
        </w:rPr>
        <w:t xml:space="preserve">Kwalitatieve </w:t>
      </w:r>
      <w:proofErr w:type="spellStart"/>
      <w:r w:rsidRPr="002B7216">
        <w:rPr>
          <w:b/>
          <w:bCs/>
          <w:color w:val="12828C"/>
        </w:rPr>
        <w:t>subgunningscriteria</w:t>
      </w:r>
      <w:proofErr w:type="spellEnd"/>
    </w:p>
    <w:p w14:paraId="29EB267C" w14:textId="014AD322" w:rsidR="00522D48" w:rsidRPr="000148A1" w:rsidRDefault="00522D48" w:rsidP="00522D48">
      <w:r w:rsidRPr="000148A1">
        <w:t xml:space="preserve">Indien tijdens de kwalitatieve beoordeling van de inschrijving blijkt dat inschrijving niet voldoet aan de gestelde minimumeisen in </w:t>
      </w:r>
      <w:r w:rsidR="000148A1">
        <w:t>de aanbestedingsdocumenten en de</w:t>
      </w:r>
      <w:r w:rsidRPr="000148A1">
        <w:t xml:space="preserve"> bijbehorende bijlage(n), wordt de inschrijving alsnog ongeldig verklaard en uitgesloten van verdere deelname aan de aanbestedingsprocedure.</w:t>
      </w:r>
    </w:p>
    <w:p w14:paraId="3D302A28" w14:textId="77777777" w:rsidR="00522D48" w:rsidRDefault="00522D48" w:rsidP="00522D48">
      <w:pPr>
        <w:tabs>
          <w:tab w:val="left" w:pos="3754"/>
        </w:tabs>
        <w:rPr>
          <w:rFonts w:ascii="Calibri" w:eastAsia="Arial" w:hAnsi="Calibri" w:cs="Calibri"/>
          <w:sz w:val="22"/>
          <w:szCs w:val="22"/>
        </w:rPr>
      </w:pPr>
    </w:p>
    <w:p w14:paraId="29418971" w14:textId="77777777" w:rsidR="00522D48" w:rsidRPr="008E32AA" w:rsidRDefault="00522D48" w:rsidP="00522D48">
      <w:r w:rsidRPr="008E32AA">
        <w:t>U dient bij uw inschrijving een Plan van aanpak in te dienen. Het Plan van aanpak wordt beoordeeld op de volgende onderdelen:</w:t>
      </w:r>
    </w:p>
    <w:p w14:paraId="5242716B" w14:textId="3D425A75" w:rsidR="00522D48" w:rsidRPr="008E32AA" w:rsidRDefault="00522D48" w:rsidP="00522D48">
      <w:pPr>
        <w:numPr>
          <w:ilvl w:val="0"/>
          <w:numId w:val="37"/>
        </w:numPr>
        <w:spacing w:after="0"/>
      </w:pPr>
      <w:r w:rsidRPr="008E32AA">
        <w:t>Uitvoering van de opdracht</w:t>
      </w:r>
      <w:r w:rsidR="008E32AA">
        <w:t>;</w:t>
      </w:r>
    </w:p>
    <w:p w14:paraId="5A05E6A4" w14:textId="52C6A74D" w:rsidR="00522D48" w:rsidRPr="008E32AA" w:rsidRDefault="00522D48" w:rsidP="00522D48">
      <w:pPr>
        <w:numPr>
          <w:ilvl w:val="0"/>
          <w:numId w:val="37"/>
        </w:numPr>
        <w:spacing w:after="0"/>
      </w:pPr>
      <w:r w:rsidRPr="008E32AA">
        <w:t>Cliëntperspectief;</w:t>
      </w:r>
    </w:p>
    <w:p w14:paraId="2F6E1A70" w14:textId="544E65C0" w:rsidR="00522D48" w:rsidRPr="008E32AA" w:rsidRDefault="00522D48" w:rsidP="00522D48">
      <w:pPr>
        <w:numPr>
          <w:ilvl w:val="0"/>
          <w:numId w:val="37"/>
        </w:numPr>
        <w:spacing w:after="0"/>
      </w:pPr>
      <w:r w:rsidRPr="008E32AA">
        <w:t>Implementatie</w:t>
      </w:r>
      <w:r w:rsidR="008E32AA">
        <w:t>;</w:t>
      </w:r>
    </w:p>
    <w:p w14:paraId="2DF91401" w14:textId="1960D0EB" w:rsidR="00522D48" w:rsidRPr="008E32AA" w:rsidRDefault="00522D48" w:rsidP="00522D48">
      <w:pPr>
        <w:numPr>
          <w:ilvl w:val="0"/>
          <w:numId w:val="37"/>
        </w:numPr>
        <w:spacing w:after="0"/>
      </w:pPr>
      <w:r w:rsidRPr="008E32AA">
        <w:t>Kwaliteit en ontwikkeling personeel.</w:t>
      </w:r>
    </w:p>
    <w:p w14:paraId="472CCC29" w14:textId="77777777" w:rsidR="005D5E54" w:rsidRDefault="005D5E54"/>
    <w:p w14:paraId="623EFD21" w14:textId="7C4B3321" w:rsidR="005D5E54" w:rsidRDefault="005D5E54">
      <w:r>
        <w:t xml:space="preserve">In onderstaande tabel is het </w:t>
      </w:r>
      <w:proofErr w:type="spellStart"/>
      <w:r>
        <w:t>subgunningscriterium</w:t>
      </w:r>
      <w:proofErr w:type="spellEnd"/>
      <w:r>
        <w:t xml:space="preserve"> verder uitgewerkt.</w:t>
      </w:r>
      <w:r>
        <w:br w:type="page"/>
      </w:r>
    </w:p>
    <w:tbl>
      <w:tblPr>
        <w:tblW w:w="10055" w:type="dxa"/>
        <w:tblInd w:w="-567" w:type="dxa"/>
        <w:tblLayout w:type="fixed"/>
        <w:tblCellMar>
          <w:left w:w="0" w:type="dxa"/>
          <w:right w:w="0" w:type="dxa"/>
        </w:tblCellMar>
        <w:tblLook w:val="04A0" w:firstRow="1" w:lastRow="0" w:firstColumn="1" w:lastColumn="0" w:noHBand="0" w:noVBand="1"/>
      </w:tblPr>
      <w:tblGrid>
        <w:gridCol w:w="1355"/>
        <w:gridCol w:w="1278"/>
        <w:gridCol w:w="1128"/>
        <w:gridCol w:w="6294"/>
      </w:tblGrid>
      <w:tr w:rsidR="00522D48" w:rsidRPr="00905AA7" w14:paraId="52674CBE" w14:textId="77777777" w:rsidTr="06668844">
        <w:tc>
          <w:tcPr>
            <w:tcW w:w="10055" w:type="dxa"/>
            <w:gridSpan w:val="4"/>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17FD45A5" w14:textId="04E50D61" w:rsidR="00522D48" w:rsidRPr="00905AA7" w:rsidRDefault="00522D48" w:rsidP="007C3BA8">
            <w:pPr>
              <w:rPr>
                <w:rFonts w:ascii="Calibri" w:eastAsia="Arial" w:hAnsi="Calibri" w:cs="Calibri"/>
                <w:b/>
                <w:bCs/>
                <w:color w:val="FF0000"/>
                <w:sz w:val="22"/>
                <w:szCs w:val="22"/>
              </w:rPr>
            </w:pPr>
          </w:p>
          <w:p w14:paraId="6A657858" w14:textId="77777777" w:rsidR="00522D48" w:rsidRPr="00745FF7" w:rsidRDefault="00522D48" w:rsidP="007C3BA8">
            <w:pPr>
              <w:rPr>
                <w:rFonts w:ascii="Calibri" w:eastAsia="Arial" w:hAnsi="Calibri" w:cs="Calibri"/>
                <w:b/>
                <w:bCs/>
                <w:sz w:val="22"/>
                <w:szCs w:val="22"/>
                <w:lang w:val="en-IE"/>
              </w:rPr>
            </w:pPr>
            <w:r w:rsidRPr="00745FF7">
              <w:rPr>
                <w:rFonts w:ascii="Calibri" w:eastAsia="Arial" w:hAnsi="Calibri" w:cs="Calibri"/>
                <w:b/>
                <w:bCs/>
                <w:sz w:val="22"/>
                <w:szCs w:val="22"/>
              </w:rPr>
              <w:t>Kwaliteitscriteria Plan van aanpak</w:t>
            </w:r>
          </w:p>
          <w:p w14:paraId="51C6CB04" w14:textId="77777777" w:rsidR="00522D48" w:rsidRPr="00905AA7" w:rsidRDefault="00522D48" w:rsidP="007C3BA8">
            <w:pPr>
              <w:rPr>
                <w:rFonts w:ascii="Calibri" w:eastAsia="Arial" w:hAnsi="Calibri" w:cs="Calibri"/>
                <w:b/>
                <w:bCs/>
                <w:color w:val="FF0000"/>
                <w:sz w:val="22"/>
                <w:szCs w:val="22"/>
              </w:rPr>
            </w:pPr>
          </w:p>
        </w:tc>
      </w:tr>
      <w:tr w:rsidR="00522D48" w:rsidRPr="00905AA7" w14:paraId="2D57D818" w14:textId="77777777" w:rsidTr="00074D13">
        <w:trPr>
          <w:trHeight w:val="596"/>
        </w:trPr>
        <w:tc>
          <w:tcPr>
            <w:tcW w:w="1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7EB44" w14:textId="7FBA4780" w:rsidR="00522D48" w:rsidRPr="00917DAA" w:rsidRDefault="00DB7CF4" w:rsidP="007C3BA8">
            <w:pPr>
              <w:rPr>
                <w:rFonts w:ascii="Calibri" w:eastAsia="Arial" w:hAnsi="Calibri" w:cs="Calibri"/>
                <w:b/>
                <w:bCs/>
                <w:sz w:val="22"/>
                <w:szCs w:val="22"/>
              </w:rPr>
            </w:pPr>
            <w:r>
              <w:rPr>
                <w:rFonts w:ascii="Calibri" w:eastAsia="Arial" w:hAnsi="Calibri" w:cs="Calibri"/>
                <w:b/>
                <w:bCs/>
                <w:sz w:val="22"/>
                <w:szCs w:val="22"/>
              </w:rPr>
              <w:t>Criterium</w:t>
            </w:r>
          </w:p>
          <w:p w14:paraId="45096C2A" w14:textId="77777777" w:rsidR="00522D48" w:rsidRPr="00745FF7" w:rsidRDefault="00522D48" w:rsidP="007C3BA8">
            <w:pPr>
              <w:rPr>
                <w:rFonts w:ascii="Calibri" w:eastAsia="Arial" w:hAnsi="Calibri" w:cs="Calibri"/>
                <w:b/>
                <w:bCs/>
                <w:sz w:val="22"/>
                <w:szCs w:val="22"/>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158766A5" w14:textId="77777777" w:rsidR="00522D48" w:rsidRPr="004A2316" w:rsidRDefault="00522D48" w:rsidP="007C3BA8">
            <w:pPr>
              <w:rPr>
                <w:rFonts w:ascii="Calibri" w:eastAsia="Arial" w:hAnsi="Calibri" w:cs="Calibri"/>
                <w:b/>
                <w:bCs/>
                <w:sz w:val="22"/>
                <w:szCs w:val="22"/>
              </w:rPr>
            </w:pPr>
            <w:r w:rsidRPr="004A2316">
              <w:rPr>
                <w:rFonts w:ascii="Calibri" w:eastAsia="Arial" w:hAnsi="Calibri" w:cs="Calibri"/>
                <w:b/>
                <w:bCs/>
                <w:sz w:val="22"/>
                <w:szCs w:val="22"/>
              </w:rPr>
              <w:t>Omvang</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14:paraId="06798430" w14:textId="77777777" w:rsidR="00522D48" w:rsidRPr="004A2316" w:rsidRDefault="00522D48" w:rsidP="007C3BA8">
            <w:pPr>
              <w:rPr>
                <w:rFonts w:ascii="Calibri" w:eastAsia="Arial" w:hAnsi="Calibri" w:cs="Calibri"/>
                <w:b/>
                <w:bCs/>
                <w:sz w:val="22"/>
                <w:szCs w:val="22"/>
              </w:rPr>
            </w:pPr>
            <w:r>
              <w:rPr>
                <w:rFonts w:ascii="Calibri" w:eastAsia="Arial" w:hAnsi="Calibri" w:cs="Calibri"/>
                <w:b/>
                <w:bCs/>
                <w:sz w:val="22"/>
                <w:szCs w:val="22"/>
              </w:rPr>
              <w:t>Maximaal aantal te behalen punten</w:t>
            </w:r>
          </w:p>
        </w:tc>
        <w:tc>
          <w:tcPr>
            <w:tcW w:w="6294" w:type="dxa"/>
            <w:tcBorders>
              <w:top w:val="nil"/>
              <w:left w:val="nil"/>
              <w:bottom w:val="single" w:sz="8" w:space="0" w:color="auto"/>
              <w:right w:val="single" w:sz="8" w:space="0" w:color="auto"/>
            </w:tcBorders>
            <w:tcMar>
              <w:top w:w="0" w:type="dxa"/>
              <w:left w:w="108" w:type="dxa"/>
              <w:bottom w:w="0" w:type="dxa"/>
              <w:right w:w="108" w:type="dxa"/>
            </w:tcMar>
            <w:hideMark/>
          </w:tcPr>
          <w:p w14:paraId="7ED0DA69" w14:textId="77777777" w:rsidR="00522D48" w:rsidRPr="004A2316" w:rsidRDefault="00522D48" w:rsidP="007C3BA8">
            <w:pPr>
              <w:rPr>
                <w:rFonts w:ascii="Calibri" w:eastAsia="Arial" w:hAnsi="Calibri" w:cs="Calibri"/>
                <w:b/>
                <w:bCs/>
                <w:sz w:val="22"/>
                <w:szCs w:val="22"/>
              </w:rPr>
            </w:pPr>
            <w:r w:rsidRPr="004A2316">
              <w:rPr>
                <w:rFonts w:ascii="Calibri" w:eastAsia="Arial" w:hAnsi="Calibri" w:cs="Calibri"/>
                <w:b/>
                <w:bCs/>
                <w:sz w:val="22"/>
                <w:szCs w:val="22"/>
              </w:rPr>
              <w:t>Omschrijving criterium</w:t>
            </w:r>
          </w:p>
        </w:tc>
      </w:tr>
      <w:tr w:rsidR="00522D48" w:rsidRPr="00905AA7" w14:paraId="19685A8C" w14:textId="77777777" w:rsidTr="00074D13">
        <w:trPr>
          <w:trHeight w:val="5565"/>
        </w:trPr>
        <w:tc>
          <w:tcPr>
            <w:tcW w:w="1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E491" w14:textId="77777777" w:rsidR="00522D48" w:rsidRPr="00745FF7" w:rsidRDefault="00522D48" w:rsidP="007C3BA8">
            <w:pPr>
              <w:rPr>
                <w:rFonts w:ascii="Calibri" w:eastAsia="Arial" w:hAnsi="Calibri" w:cs="Calibri"/>
                <w:sz w:val="22"/>
                <w:szCs w:val="22"/>
              </w:rPr>
            </w:pPr>
            <w:r w:rsidRPr="00745FF7">
              <w:rPr>
                <w:rFonts w:ascii="Calibri" w:eastAsia="Arial" w:hAnsi="Calibri" w:cs="Calibri"/>
                <w:sz w:val="22"/>
                <w:szCs w:val="22"/>
              </w:rPr>
              <w:t>1</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7C924BF7"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137932E7" w14:textId="49F5FE44"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3 A4</w:t>
            </w:r>
            <w:r w:rsidR="00074D13" w:rsidRPr="00074D13">
              <w:rPr>
                <w:rFonts w:ascii="Calibri" w:eastAsia="Arial" w:hAnsi="Calibri" w:cs="Calibri"/>
                <w:sz w:val="22"/>
                <w:szCs w:val="22"/>
              </w:rPr>
              <w:t xml:space="preserve"> pagina’s</w:t>
            </w:r>
          </w:p>
          <w:p w14:paraId="2BA27840" w14:textId="77777777" w:rsidR="00522D48" w:rsidRPr="005D5E54" w:rsidRDefault="00522D48" w:rsidP="007C3BA8">
            <w:pPr>
              <w:rPr>
                <w:rFonts w:ascii="Calibri" w:eastAsia="Arial" w:hAnsi="Calibri" w:cs="Calibri"/>
                <w:sz w:val="22"/>
                <w:szCs w:val="22"/>
              </w:rPr>
            </w:pPr>
            <w:r w:rsidRPr="005D5E54">
              <w:rPr>
                <w:rFonts w:ascii="Calibri" w:eastAsia="Arial" w:hAnsi="Calibri" w:cs="Calibri"/>
                <w:sz w:val="22"/>
                <w:szCs w:val="22"/>
              </w:rPr>
              <w:t xml:space="preserve">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14:paraId="12EBE8CC"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7F4EA0C3" w14:textId="6B66D43C" w:rsidR="00522D48" w:rsidRPr="00074D13" w:rsidRDefault="005D5E54" w:rsidP="00074D13">
            <w:pPr>
              <w:pStyle w:val="Geenafstand"/>
              <w:rPr>
                <w:rFonts w:ascii="Calibri" w:eastAsia="Arial" w:hAnsi="Calibri" w:cs="Calibri"/>
                <w:sz w:val="22"/>
                <w:szCs w:val="22"/>
              </w:rPr>
            </w:pPr>
            <w:r w:rsidRPr="00074D13">
              <w:rPr>
                <w:rFonts w:ascii="Calibri" w:eastAsia="Arial" w:hAnsi="Calibri" w:cs="Calibri"/>
                <w:sz w:val="22"/>
                <w:szCs w:val="22"/>
              </w:rPr>
              <w:t>40</w:t>
            </w:r>
            <w:r w:rsidR="00522D48" w:rsidRPr="00074D13">
              <w:rPr>
                <w:rFonts w:ascii="Calibri" w:eastAsia="Arial" w:hAnsi="Calibri" w:cs="Calibri"/>
                <w:sz w:val="22"/>
                <w:szCs w:val="22"/>
              </w:rPr>
              <w:t xml:space="preserve"> punten</w:t>
            </w:r>
          </w:p>
        </w:tc>
        <w:tc>
          <w:tcPr>
            <w:tcW w:w="6294" w:type="dxa"/>
            <w:tcBorders>
              <w:top w:val="nil"/>
              <w:left w:val="nil"/>
              <w:bottom w:val="single" w:sz="8" w:space="0" w:color="auto"/>
              <w:right w:val="single" w:sz="8" w:space="0" w:color="auto"/>
            </w:tcBorders>
            <w:tcMar>
              <w:top w:w="0" w:type="dxa"/>
              <w:left w:w="108" w:type="dxa"/>
              <w:bottom w:w="0" w:type="dxa"/>
              <w:right w:w="108" w:type="dxa"/>
            </w:tcMar>
          </w:tcPr>
          <w:p w14:paraId="067A640F" w14:textId="77777777" w:rsidR="00522D48" w:rsidRPr="00745FF7" w:rsidRDefault="00522D48" w:rsidP="007C3BA8">
            <w:pPr>
              <w:rPr>
                <w:rFonts w:ascii="Calibri" w:eastAsia="Arial" w:hAnsi="Calibri" w:cs="Calibri"/>
                <w:b/>
                <w:bCs/>
                <w:sz w:val="22"/>
                <w:szCs w:val="22"/>
              </w:rPr>
            </w:pPr>
            <w:r w:rsidRPr="00745FF7">
              <w:rPr>
                <w:rFonts w:ascii="Calibri" w:eastAsia="Arial" w:hAnsi="Calibri" w:cs="Calibri"/>
                <w:b/>
                <w:bCs/>
                <w:sz w:val="22"/>
                <w:szCs w:val="22"/>
              </w:rPr>
              <w:t>Uitvoering van de opdracht</w:t>
            </w:r>
          </w:p>
          <w:p w14:paraId="205D59CF" w14:textId="77777777" w:rsidR="00522D48" w:rsidRDefault="00522D48" w:rsidP="007C3BA8">
            <w:pPr>
              <w:rPr>
                <w:rFonts w:ascii="Calibri" w:eastAsia="Arial" w:hAnsi="Calibri" w:cs="Calibri"/>
                <w:sz w:val="22"/>
                <w:szCs w:val="22"/>
              </w:rPr>
            </w:pPr>
            <w:r w:rsidRPr="00745FF7">
              <w:rPr>
                <w:rFonts w:ascii="Calibri" w:eastAsia="Arial" w:hAnsi="Calibri" w:cs="Calibri"/>
                <w:sz w:val="22"/>
                <w:szCs w:val="22"/>
              </w:rPr>
              <w:t xml:space="preserve">In dit onderdeel beschrijft de inschrijver </w:t>
            </w:r>
            <w:r w:rsidRPr="00F10654">
              <w:rPr>
                <w:rFonts w:ascii="Calibri" w:eastAsia="Arial" w:hAnsi="Calibri" w:cs="Calibri"/>
                <w:sz w:val="22"/>
                <w:szCs w:val="22"/>
              </w:rPr>
              <w:t>hoe u invulling geeft aan de uitvoering van de opdracht, daarbij besteedt u specifiek aandacht aan</w:t>
            </w:r>
            <w:r>
              <w:rPr>
                <w:rFonts w:ascii="Calibri" w:eastAsia="Arial" w:hAnsi="Calibri" w:cs="Calibri"/>
                <w:sz w:val="22"/>
                <w:szCs w:val="22"/>
              </w:rPr>
              <w:t>:</w:t>
            </w:r>
          </w:p>
          <w:p w14:paraId="384B232E" w14:textId="77777777" w:rsidR="00522D48" w:rsidRPr="00745FF7" w:rsidRDefault="00522D48" w:rsidP="00522D48">
            <w:pPr>
              <w:numPr>
                <w:ilvl w:val="0"/>
                <w:numId w:val="39"/>
              </w:numPr>
              <w:spacing w:after="0"/>
              <w:rPr>
                <w:rFonts w:ascii="Calibri" w:eastAsia="Arial" w:hAnsi="Calibri" w:cs="Calibri"/>
                <w:sz w:val="22"/>
                <w:szCs w:val="22"/>
              </w:rPr>
            </w:pPr>
            <w:r>
              <w:rPr>
                <w:rFonts w:ascii="Calibri" w:eastAsia="Arial" w:hAnsi="Calibri" w:cs="Calibri"/>
                <w:sz w:val="22"/>
                <w:szCs w:val="22"/>
              </w:rPr>
              <w:t>O</w:t>
            </w:r>
            <w:r w:rsidRPr="00745FF7">
              <w:rPr>
                <w:rFonts w:ascii="Calibri" w:eastAsia="Arial" w:hAnsi="Calibri" w:cs="Calibri"/>
                <w:sz w:val="22"/>
                <w:szCs w:val="22"/>
              </w:rPr>
              <w:t xml:space="preserve">p welke wijze </w:t>
            </w:r>
            <w:r>
              <w:rPr>
                <w:rFonts w:ascii="Calibri" w:eastAsia="Arial" w:hAnsi="Calibri" w:cs="Calibri"/>
                <w:sz w:val="22"/>
                <w:szCs w:val="22"/>
              </w:rPr>
              <w:t>u</w:t>
            </w:r>
            <w:r w:rsidRPr="00745FF7">
              <w:rPr>
                <w:rFonts w:ascii="Calibri" w:eastAsia="Arial" w:hAnsi="Calibri" w:cs="Calibri"/>
                <w:sz w:val="22"/>
                <w:szCs w:val="22"/>
              </w:rPr>
              <w:t xml:space="preserve"> bewaakt dat het resultaat (schoon en leefbaar huis) geleverd wordt</w:t>
            </w:r>
            <w:r>
              <w:rPr>
                <w:rFonts w:ascii="Calibri" w:eastAsia="Arial" w:hAnsi="Calibri" w:cs="Calibri"/>
                <w:sz w:val="22"/>
                <w:szCs w:val="22"/>
              </w:rPr>
              <w:t>;</w:t>
            </w:r>
          </w:p>
          <w:p w14:paraId="35917267" w14:textId="77777777" w:rsidR="00522D48" w:rsidRDefault="00522D48" w:rsidP="00522D48">
            <w:pPr>
              <w:numPr>
                <w:ilvl w:val="0"/>
                <w:numId w:val="39"/>
              </w:numPr>
              <w:spacing w:after="0"/>
              <w:rPr>
                <w:rFonts w:ascii="Calibri" w:eastAsia="Arial" w:hAnsi="Calibri" w:cs="Calibri"/>
                <w:sz w:val="22"/>
                <w:szCs w:val="22"/>
              </w:rPr>
            </w:pPr>
            <w:r w:rsidRPr="0078352D">
              <w:rPr>
                <w:rFonts w:ascii="Calibri" w:eastAsia="Arial" w:hAnsi="Calibri" w:cs="Calibri"/>
                <w:sz w:val="22"/>
                <w:szCs w:val="22"/>
              </w:rPr>
              <w:t xml:space="preserve">Hoe </w:t>
            </w:r>
            <w:r>
              <w:rPr>
                <w:rFonts w:ascii="Calibri" w:eastAsia="Arial" w:hAnsi="Calibri" w:cs="Calibri"/>
                <w:sz w:val="22"/>
                <w:szCs w:val="22"/>
              </w:rPr>
              <w:t xml:space="preserve">u </w:t>
            </w:r>
            <w:r w:rsidRPr="00745FF7">
              <w:rPr>
                <w:rFonts w:ascii="Calibri" w:eastAsia="Arial" w:hAnsi="Calibri" w:cs="Calibri"/>
                <w:sz w:val="22"/>
                <w:szCs w:val="22"/>
              </w:rPr>
              <w:t>cliënt</w:t>
            </w:r>
            <w:r>
              <w:rPr>
                <w:rFonts w:ascii="Calibri" w:eastAsia="Arial" w:hAnsi="Calibri" w:cs="Calibri"/>
                <w:sz w:val="22"/>
                <w:szCs w:val="22"/>
              </w:rPr>
              <w:t>en motiveert en stimuleert</w:t>
            </w:r>
            <w:r w:rsidRPr="0078352D">
              <w:rPr>
                <w:rFonts w:ascii="Calibri" w:eastAsia="Arial" w:hAnsi="Calibri" w:cs="Calibri"/>
                <w:sz w:val="22"/>
                <w:szCs w:val="22"/>
              </w:rPr>
              <w:t xml:space="preserve"> om zoveel mogelijk huishoudelijke werkzaamheden zelfstandig uit te (blijven) voeren (principes van ‘</w:t>
            </w:r>
            <w:proofErr w:type="spellStart"/>
            <w:r w:rsidRPr="0078352D">
              <w:rPr>
                <w:rFonts w:ascii="Calibri" w:eastAsia="Arial" w:hAnsi="Calibri" w:cs="Calibri"/>
                <w:sz w:val="22"/>
                <w:szCs w:val="22"/>
              </w:rPr>
              <w:t>reablement</w:t>
            </w:r>
            <w:proofErr w:type="spellEnd"/>
            <w:r w:rsidRPr="0078352D">
              <w:rPr>
                <w:rFonts w:ascii="Calibri" w:eastAsia="Arial" w:hAnsi="Calibri" w:cs="Calibri"/>
                <w:sz w:val="22"/>
                <w:szCs w:val="22"/>
              </w:rPr>
              <w:t>’)</w:t>
            </w:r>
            <w:r>
              <w:rPr>
                <w:rFonts w:ascii="Calibri" w:eastAsia="Arial" w:hAnsi="Calibri" w:cs="Calibri"/>
                <w:sz w:val="22"/>
                <w:szCs w:val="22"/>
              </w:rPr>
              <w:t xml:space="preserve">. Onder </w:t>
            </w:r>
            <w:proofErr w:type="spellStart"/>
            <w:r>
              <w:rPr>
                <w:rFonts w:ascii="Calibri" w:eastAsia="Arial" w:hAnsi="Calibri" w:cs="Calibri"/>
                <w:sz w:val="22"/>
                <w:szCs w:val="22"/>
              </w:rPr>
              <w:t>reablement</w:t>
            </w:r>
            <w:proofErr w:type="spellEnd"/>
            <w:r>
              <w:rPr>
                <w:rFonts w:ascii="Calibri" w:eastAsia="Arial" w:hAnsi="Calibri" w:cs="Calibri"/>
                <w:sz w:val="22"/>
                <w:szCs w:val="22"/>
              </w:rPr>
              <w:t xml:space="preserve"> wordt verstaan een werkwijze in de zorg die gericht is op het versterken van de zelfredzaamheid en autonomie van de </w:t>
            </w:r>
            <w:r w:rsidRPr="00745FF7">
              <w:rPr>
                <w:rFonts w:ascii="Calibri" w:eastAsia="Arial" w:hAnsi="Calibri" w:cs="Calibri"/>
                <w:sz w:val="22"/>
                <w:szCs w:val="22"/>
              </w:rPr>
              <w:t>cliënt</w:t>
            </w:r>
            <w:r>
              <w:rPr>
                <w:rFonts w:ascii="Calibri" w:eastAsia="Arial" w:hAnsi="Calibri" w:cs="Calibri"/>
                <w:sz w:val="22"/>
                <w:szCs w:val="22"/>
              </w:rPr>
              <w:t xml:space="preserve"> zodat ze zolang mogelijk zelfstandig kunnen blijven functioneren;</w:t>
            </w:r>
          </w:p>
          <w:p w14:paraId="27DEB954" w14:textId="77777777" w:rsidR="00522D48" w:rsidRDefault="00522D48" w:rsidP="00522D48">
            <w:pPr>
              <w:numPr>
                <w:ilvl w:val="0"/>
                <w:numId w:val="39"/>
              </w:numPr>
              <w:spacing w:after="0"/>
              <w:rPr>
                <w:rFonts w:ascii="Calibri" w:eastAsia="Arial" w:hAnsi="Calibri" w:cs="Calibri"/>
                <w:sz w:val="22"/>
                <w:szCs w:val="22"/>
              </w:rPr>
            </w:pPr>
            <w:r w:rsidRPr="00F5504C">
              <w:rPr>
                <w:rFonts w:ascii="Calibri" w:eastAsia="Arial" w:hAnsi="Calibri" w:cs="Calibri"/>
                <w:sz w:val="22"/>
                <w:szCs w:val="22"/>
              </w:rPr>
              <w:t>Hoe u eventuele wachtlijsten en personeelstekorten probeert te voorkomen en omgaat met eventuele wachtlijsten</w:t>
            </w:r>
            <w:r>
              <w:rPr>
                <w:rFonts w:ascii="Calibri" w:eastAsia="Arial" w:hAnsi="Calibri" w:cs="Calibri"/>
                <w:sz w:val="22"/>
                <w:szCs w:val="22"/>
              </w:rPr>
              <w:t>;</w:t>
            </w:r>
          </w:p>
          <w:p w14:paraId="7C1DAC4F" w14:textId="1CFBF5E1" w:rsidR="00522D48" w:rsidRPr="00074D13" w:rsidRDefault="00522D48" w:rsidP="007C3BA8">
            <w:pPr>
              <w:numPr>
                <w:ilvl w:val="0"/>
                <w:numId w:val="39"/>
              </w:numPr>
              <w:spacing w:after="0"/>
              <w:rPr>
                <w:rFonts w:ascii="Calibri" w:eastAsia="Arial" w:hAnsi="Calibri" w:cs="Calibri"/>
                <w:sz w:val="22"/>
                <w:szCs w:val="22"/>
              </w:rPr>
            </w:pPr>
            <w:r w:rsidRPr="009B6CBF">
              <w:rPr>
                <w:rFonts w:ascii="Calibri" w:eastAsia="Arial" w:hAnsi="Calibri" w:cs="Calibri"/>
                <w:sz w:val="22"/>
                <w:szCs w:val="22"/>
              </w:rPr>
              <w:t>Hoe u inspeelt op relevante ontwikkelingen en innovaties op het gebied van h</w:t>
            </w:r>
            <w:r w:rsidR="007C3BA8">
              <w:rPr>
                <w:rFonts w:ascii="Calibri" w:eastAsia="Arial" w:hAnsi="Calibri" w:cs="Calibri"/>
                <w:sz w:val="22"/>
                <w:szCs w:val="22"/>
              </w:rPr>
              <w:t>uishoudelijke ondersteuning</w:t>
            </w:r>
            <w:r w:rsidRPr="009B6CBF">
              <w:rPr>
                <w:rFonts w:ascii="Calibri" w:eastAsia="Arial" w:hAnsi="Calibri" w:cs="Calibri"/>
                <w:sz w:val="22"/>
                <w:szCs w:val="22"/>
              </w:rPr>
              <w:t>.</w:t>
            </w:r>
          </w:p>
        </w:tc>
      </w:tr>
      <w:tr w:rsidR="00522D48" w:rsidRPr="00905AA7" w14:paraId="15A0DFDD" w14:textId="77777777" w:rsidTr="00074D13">
        <w:tblPrEx>
          <w:tblBorders>
            <w:top w:val="none" w:sz="6" w:space="0" w:color="auto"/>
            <w:left w:val="none" w:sz="6" w:space="0" w:color="auto"/>
            <w:bottom w:val="none" w:sz="6" w:space="0" w:color="auto"/>
            <w:right w:val="none" w:sz="6" w:space="0" w:color="auto"/>
          </w:tblBorders>
          <w:tblLook w:val="0000" w:firstRow="0" w:lastRow="0" w:firstColumn="0" w:lastColumn="0" w:noHBand="0" w:noVBand="0"/>
        </w:tblPrEx>
        <w:tc>
          <w:tcPr>
            <w:tcW w:w="135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666C79" w14:textId="77777777" w:rsidR="00522D48" w:rsidRPr="00074D13" w:rsidRDefault="00522D48" w:rsidP="007C3BA8">
            <w:pPr>
              <w:rPr>
                <w:rFonts w:ascii="Calibri" w:eastAsia="Arial" w:hAnsi="Calibri" w:cs="Calibri"/>
                <w:sz w:val="22"/>
                <w:szCs w:val="22"/>
                <w:lang w:val="en-IE"/>
              </w:rPr>
            </w:pPr>
            <w:r w:rsidRPr="00074D13">
              <w:rPr>
                <w:rFonts w:ascii="Calibri" w:eastAsia="Arial" w:hAnsi="Calibri" w:cs="Calibri"/>
                <w:sz w:val="22"/>
                <w:szCs w:val="22"/>
              </w:rPr>
              <w:t>2</w:t>
            </w:r>
          </w:p>
        </w:tc>
        <w:tc>
          <w:tcPr>
            <w:tcW w:w="1278" w:type="dxa"/>
            <w:tcBorders>
              <w:top w:val="nil"/>
              <w:left w:val="nil"/>
              <w:bottom w:val="single" w:sz="4" w:space="0" w:color="auto"/>
              <w:right w:val="single" w:sz="8" w:space="0" w:color="auto"/>
            </w:tcBorders>
            <w:tcMar>
              <w:top w:w="0" w:type="dxa"/>
              <w:left w:w="108" w:type="dxa"/>
              <w:bottom w:w="0" w:type="dxa"/>
              <w:right w:w="108" w:type="dxa"/>
            </w:tcMar>
          </w:tcPr>
          <w:p w14:paraId="1B5C3FF7"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3D0EB0AF" w14:textId="65A8676B"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2 A4</w:t>
            </w:r>
            <w:r w:rsidR="00074D13" w:rsidRPr="00074D13">
              <w:rPr>
                <w:rFonts w:ascii="Calibri" w:eastAsia="Arial" w:hAnsi="Calibri" w:cs="Calibri"/>
                <w:sz w:val="22"/>
                <w:szCs w:val="22"/>
              </w:rPr>
              <w:t xml:space="preserve"> pagina’s</w:t>
            </w:r>
          </w:p>
          <w:p w14:paraId="779D0E20" w14:textId="77777777" w:rsidR="00522D48" w:rsidRPr="00074D13" w:rsidRDefault="00522D48" w:rsidP="00074D13">
            <w:pPr>
              <w:pStyle w:val="Geenafstand"/>
              <w:rPr>
                <w:rFonts w:ascii="Calibri" w:eastAsia="Arial" w:hAnsi="Calibri" w:cs="Calibri"/>
                <w:sz w:val="22"/>
                <w:szCs w:val="22"/>
              </w:rPr>
            </w:pPr>
          </w:p>
        </w:tc>
        <w:tc>
          <w:tcPr>
            <w:tcW w:w="1128" w:type="dxa"/>
            <w:tcBorders>
              <w:top w:val="nil"/>
              <w:left w:val="nil"/>
              <w:bottom w:val="single" w:sz="4" w:space="0" w:color="auto"/>
              <w:right w:val="single" w:sz="8" w:space="0" w:color="auto"/>
            </w:tcBorders>
            <w:tcMar>
              <w:top w:w="0" w:type="dxa"/>
              <w:left w:w="108" w:type="dxa"/>
              <w:bottom w:w="0" w:type="dxa"/>
              <w:right w:w="108" w:type="dxa"/>
            </w:tcMar>
            <w:hideMark/>
          </w:tcPr>
          <w:p w14:paraId="5F33D8AF"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630CA38A" w14:textId="6E58320A" w:rsidR="00522D48" w:rsidRPr="00074D13" w:rsidRDefault="005D5E54" w:rsidP="00074D13">
            <w:pPr>
              <w:pStyle w:val="Geenafstand"/>
              <w:rPr>
                <w:rFonts w:ascii="Calibri" w:eastAsia="Arial" w:hAnsi="Calibri" w:cs="Calibri"/>
                <w:sz w:val="22"/>
                <w:szCs w:val="22"/>
              </w:rPr>
            </w:pPr>
            <w:r w:rsidRPr="00074D13">
              <w:rPr>
                <w:rFonts w:ascii="Calibri" w:eastAsia="Arial" w:hAnsi="Calibri" w:cs="Calibri"/>
                <w:sz w:val="22"/>
                <w:szCs w:val="22"/>
              </w:rPr>
              <w:t>20</w:t>
            </w:r>
            <w:r w:rsidR="00522D48" w:rsidRPr="00074D13">
              <w:rPr>
                <w:rFonts w:ascii="Calibri" w:eastAsia="Arial" w:hAnsi="Calibri" w:cs="Calibri"/>
                <w:sz w:val="22"/>
                <w:szCs w:val="22"/>
              </w:rPr>
              <w:t xml:space="preserve"> punten</w:t>
            </w:r>
          </w:p>
        </w:tc>
        <w:tc>
          <w:tcPr>
            <w:tcW w:w="6294" w:type="dxa"/>
            <w:tcBorders>
              <w:top w:val="nil"/>
              <w:left w:val="nil"/>
              <w:bottom w:val="single" w:sz="4" w:space="0" w:color="auto"/>
              <w:right w:val="single" w:sz="8" w:space="0" w:color="auto"/>
            </w:tcBorders>
            <w:tcMar>
              <w:top w:w="0" w:type="dxa"/>
              <w:left w:w="108" w:type="dxa"/>
              <w:bottom w:w="0" w:type="dxa"/>
              <w:right w:w="108" w:type="dxa"/>
            </w:tcMar>
          </w:tcPr>
          <w:p w14:paraId="76EAC989" w14:textId="77777777" w:rsidR="00522D48" w:rsidRPr="00074D13" w:rsidRDefault="00522D48" w:rsidP="007C3BA8">
            <w:pPr>
              <w:rPr>
                <w:rFonts w:ascii="Calibri" w:eastAsia="Arial" w:hAnsi="Calibri" w:cs="Calibri"/>
                <w:b/>
                <w:bCs/>
                <w:sz w:val="22"/>
                <w:szCs w:val="22"/>
              </w:rPr>
            </w:pPr>
            <w:r w:rsidRPr="00074D13">
              <w:rPr>
                <w:rFonts w:ascii="Calibri" w:eastAsia="Arial" w:hAnsi="Calibri" w:cs="Calibri"/>
                <w:b/>
                <w:bCs/>
                <w:sz w:val="22"/>
                <w:szCs w:val="22"/>
              </w:rPr>
              <w:t>Cliëntperspectief</w:t>
            </w:r>
          </w:p>
          <w:p w14:paraId="284275E5" w14:textId="77777777" w:rsidR="00522D48" w:rsidRPr="00074D13" w:rsidRDefault="00522D48" w:rsidP="007C3BA8">
            <w:pPr>
              <w:rPr>
                <w:rFonts w:ascii="Calibri" w:eastAsia="Arial" w:hAnsi="Calibri" w:cs="Calibri"/>
                <w:sz w:val="22"/>
                <w:szCs w:val="22"/>
              </w:rPr>
            </w:pPr>
            <w:r w:rsidRPr="00074D13">
              <w:rPr>
                <w:rFonts w:ascii="Calibri" w:eastAsia="Arial" w:hAnsi="Calibri" w:cs="Calibri"/>
                <w:sz w:val="22"/>
                <w:szCs w:val="22"/>
              </w:rPr>
              <w:t xml:space="preserve">In dit onderdeel beschrijft de inschrijver hoe het cliëntperspectief wordt geborgd in de aanpak van de organisatie. </w:t>
            </w:r>
          </w:p>
          <w:p w14:paraId="18B1A60A" w14:textId="77777777" w:rsidR="00522D48" w:rsidRPr="00074D13" w:rsidRDefault="00522D48" w:rsidP="007C3BA8">
            <w:pPr>
              <w:rPr>
                <w:rFonts w:ascii="Calibri" w:eastAsia="Arial" w:hAnsi="Calibri" w:cs="Calibri"/>
                <w:sz w:val="22"/>
                <w:szCs w:val="22"/>
              </w:rPr>
            </w:pPr>
            <w:r w:rsidRPr="00074D13">
              <w:rPr>
                <w:rFonts w:ascii="Calibri" w:eastAsia="Arial" w:hAnsi="Calibri" w:cs="Calibri"/>
                <w:sz w:val="22"/>
                <w:szCs w:val="22"/>
              </w:rPr>
              <w:t>Inschrijver wordt verzocht om in ieder geval aan te geven:</w:t>
            </w:r>
          </w:p>
          <w:p w14:paraId="723B8AEC" w14:textId="77777777" w:rsidR="00522D48" w:rsidRPr="00074D13" w:rsidRDefault="00522D48" w:rsidP="00522D48">
            <w:pPr>
              <w:numPr>
                <w:ilvl w:val="0"/>
                <w:numId w:val="40"/>
              </w:numPr>
              <w:spacing w:after="0"/>
              <w:rPr>
                <w:rFonts w:ascii="Calibri" w:eastAsia="Arial" w:hAnsi="Calibri" w:cs="Calibri"/>
                <w:sz w:val="22"/>
                <w:szCs w:val="22"/>
              </w:rPr>
            </w:pPr>
            <w:r w:rsidRPr="00074D13">
              <w:rPr>
                <w:rFonts w:ascii="Calibri" w:eastAsia="Arial" w:hAnsi="Calibri" w:cs="Calibri"/>
                <w:sz w:val="22"/>
                <w:szCs w:val="22"/>
              </w:rPr>
              <w:t>Hoe de communicatie met de cliënt verloopt;</w:t>
            </w:r>
          </w:p>
          <w:p w14:paraId="714D6FE6" w14:textId="77777777" w:rsidR="00522D48" w:rsidRPr="00074D13" w:rsidRDefault="00522D48" w:rsidP="00522D48">
            <w:pPr>
              <w:numPr>
                <w:ilvl w:val="0"/>
                <w:numId w:val="40"/>
              </w:numPr>
              <w:spacing w:after="0"/>
              <w:rPr>
                <w:rFonts w:ascii="Calibri" w:eastAsia="Arial" w:hAnsi="Calibri" w:cs="Calibri"/>
                <w:sz w:val="22"/>
                <w:szCs w:val="22"/>
              </w:rPr>
            </w:pPr>
            <w:r w:rsidRPr="00074D13">
              <w:rPr>
                <w:rFonts w:ascii="Calibri" w:eastAsia="Arial" w:hAnsi="Calibri" w:cs="Calibri"/>
                <w:sz w:val="22"/>
                <w:szCs w:val="22"/>
              </w:rPr>
              <w:t>Hoe afstemming met de cliënt over de ervaringen en tevredenheid verloopt;</w:t>
            </w:r>
          </w:p>
          <w:p w14:paraId="42CAC79C" w14:textId="77777777" w:rsidR="00522D48" w:rsidRPr="00074D13" w:rsidRDefault="00522D48" w:rsidP="00522D48">
            <w:pPr>
              <w:numPr>
                <w:ilvl w:val="0"/>
                <w:numId w:val="40"/>
              </w:numPr>
              <w:spacing w:after="0"/>
              <w:rPr>
                <w:rFonts w:ascii="Calibri" w:eastAsia="Arial" w:hAnsi="Calibri" w:cs="Calibri"/>
                <w:sz w:val="22"/>
                <w:szCs w:val="22"/>
              </w:rPr>
            </w:pPr>
            <w:r w:rsidRPr="00074D13">
              <w:rPr>
                <w:rFonts w:ascii="Calibri" w:eastAsia="Arial" w:hAnsi="Calibri" w:cs="Calibri"/>
                <w:sz w:val="22"/>
                <w:szCs w:val="22"/>
              </w:rPr>
              <w:t>Hoe de organisatie omgaat met klachten en de afhandeling hiervan;</w:t>
            </w:r>
          </w:p>
          <w:p w14:paraId="78588BA7" w14:textId="77777777" w:rsidR="00522D48" w:rsidRPr="00074D13" w:rsidRDefault="00522D48" w:rsidP="00522D48">
            <w:pPr>
              <w:numPr>
                <w:ilvl w:val="0"/>
                <w:numId w:val="40"/>
              </w:numPr>
              <w:spacing w:after="0"/>
              <w:rPr>
                <w:rFonts w:ascii="Calibri" w:eastAsia="Arial" w:hAnsi="Calibri" w:cs="Calibri"/>
                <w:sz w:val="22"/>
                <w:szCs w:val="22"/>
              </w:rPr>
            </w:pPr>
            <w:r w:rsidRPr="00074D13">
              <w:rPr>
                <w:rFonts w:ascii="Calibri" w:eastAsia="Arial" w:hAnsi="Calibri" w:cs="Calibri"/>
                <w:sz w:val="22"/>
                <w:szCs w:val="22"/>
              </w:rPr>
              <w:t>Op welke wijze u handelt om klachten te voorkomen;</w:t>
            </w:r>
          </w:p>
          <w:p w14:paraId="77F279A7" w14:textId="77777777" w:rsidR="00522D48" w:rsidRPr="00074D13" w:rsidRDefault="00522D48" w:rsidP="00522D48">
            <w:pPr>
              <w:numPr>
                <w:ilvl w:val="0"/>
                <w:numId w:val="40"/>
              </w:numPr>
              <w:spacing w:after="0"/>
              <w:rPr>
                <w:rFonts w:ascii="Calibri" w:eastAsia="Arial" w:hAnsi="Calibri" w:cs="Calibri"/>
                <w:sz w:val="22"/>
                <w:szCs w:val="22"/>
              </w:rPr>
            </w:pPr>
            <w:r w:rsidRPr="00074D13">
              <w:rPr>
                <w:rFonts w:ascii="Calibri" w:eastAsia="Arial" w:hAnsi="Calibri" w:cs="Calibri"/>
                <w:sz w:val="22"/>
                <w:szCs w:val="22"/>
              </w:rPr>
              <w:t>Wat u nog méér doet om het cliëntperspectief te borgen.</w:t>
            </w:r>
          </w:p>
          <w:p w14:paraId="2C3202C4" w14:textId="77777777" w:rsidR="00522D48" w:rsidRPr="00074D13" w:rsidRDefault="00522D48" w:rsidP="007C3BA8">
            <w:pPr>
              <w:rPr>
                <w:rFonts w:ascii="Calibri" w:eastAsia="Arial" w:hAnsi="Calibri" w:cs="Calibri"/>
                <w:color w:val="FF0000"/>
                <w:sz w:val="22"/>
                <w:szCs w:val="22"/>
              </w:rPr>
            </w:pPr>
          </w:p>
        </w:tc>
      </w:tr>
      <w:tr w:rsidR="00522D48" w:rsidRPr="00905AA7" w14:paraId="5A4A1230" w14:textId="77777777" w:rsidTr="00074D13">
        <w:tblPrEx>
          <w:tblBorders>
            <w:top w:val="none" w:sz="6" w:space="0" w:color="auto"/>
            <w:left w:val="none" w:sz="6" w:space="0" w:color="auto"/>
            <w:bottom w:val="none" w:sz="6" w:space="0" w:color="auto"/>
            <w:right w:val="none" w:sz="6" w:space="0" w:color="auto"/>
          </w:tblBorders>
          <w:tblLook w:val="0000" w:firstRow="0" w:lastRow="0" w:firstColumn="0" w:lastColumn="0" w:noHBand="0" w:noVBand="0"/>
        </w:tblPrEx>
        <w:tc>
          <w:tcPr>
            <w:tcW w:w="13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8DFC6" w14:textId="77777777" w:rsidR="00522D48" w:rsidRPr="00074D13" w:rsidRDefault="00522D48" w:rsidP="007C3BA8">
            <w:pPr>
              <w:rPr>
                <w:rFonts w:ascii="Calibri" w:eastAsia="Arial" w:hAnsi="Calibri" w:cs="Calibri"/>
                <w:sz w:val="22"/>
                <w:szCs w:val="22"/>
                <w:lang w:val="en-IE"/>
              </w:rPr>
            </w:pPr>
            <w:r w:rsidRPr="00074D13">
              <w:rPr>
                <w:rFonts w:ascii="Calibri" w:eastAsia="Arial" w:hAnsi="Calibri" w:cs="Calibri"/>
                <w:sz w:val="22"/>
                <w:szCs w:val="22"/>
              </w:rPr>
              <w:t>3</w:t>
            </w:r>
          </w:p>
        </w:tc>
        <w:tc>
          <w:tcPr>
            <w:tcW w:w="127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6D9B80"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09F35EE9" w14:textId="45C3903E" w:rsidR="00522D48" w:rsidRPr="00074D13" w:rsidRDefault="00DE44BB" w:rsidP="00074D13">
            <w:pPr>
              <w:pStyle w:val="Geenafstand"/>
              <w:rPr>
                <w:rFonts w:ascii="Calibri" w:eastAsia="Arial" w:hAnsi="Calibri" w:cs="Calibri"/>
                <w:sz w:val="22"/>
                <w:szCs w:val="22"/>
              </w:rPr>
            </w:pPr>
            <w:r>
              <w:rPr>
                <w:rFonts w:ascii="Calibri" w:eastAsia="Arial" w:hAnsi="Calibri" w:cs="Calibri"/>
                <w:sz w:val="22"/>
                <w:szCs w:val="22"/>
              </w:rPr>
              <w:t>2</w:t>
            </w:r>
            <w:r w:rsidR="00522D48" w:rsidRPr="00074D13">
              <w:rPr>
                <w:rFonts w:ascii="Calibri" w:eastAsia="Arial" w:hAnsi="Calibri" w:cs="Calibri"/>
                <w:sz w:val="22"/>
                <w:szCs w:val="22"/>
              </w:rPr>
              <w:t xml:space="preserve"> A4</w:t>
            </w:r>
            <w:r w:rsidR="00074D13" w:rsidRPr="00074D13">
              <w:rPr>
                <w:rFonts w:ascii="Calibri" w:eastAsia="Arial" w:hAnsi="Calibri" w:cs="Calibri"/>
                <w:sz w:val="22"/>
                <w:szCs w:val="22"/>
              </w:rPr>
              <w:t xml:space="preserve"> pagina</w:t>
            </w:r>
          </w:p>
        </w:tc>
        <w:tc>
          <w:tcPr>
            <w:tcW w:w="11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8CC937"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2C102224" w14:textId="02C7A9E2" w:rsidR="00522D48" w:rsidRPr="00074D13" w:rsidRDefault="005D5E54" w:rsidP="00074D13">
            <w:pPr>
              <w:pStyle w:val="Geenafstand"/>
              <w:rPr>
                <w:rFonts w:ascii="Calibri" w:eastAsia="Arial" w:hAnsi="Calibri" w:cs="Calibri"/>
                <w:sz w:val="22"/>
                <w:szCs w:val="22"/>
              </w:rPr>
            </w:pPr>
            <w:r w:rsidRPr="00074D13">
              <w:rPr>
                <w:rFonts w:ascii="Calibri" w:eastAsia="Arial" w:hAnsi="Calibri" w:cs="Calibri"/>
                <w:sz w:val="22"/>
                <w:szCs w:val="22"/>
              </w:rPr>
              <w:t>10</w:t>
            </w:r>
            <w:r w:rsidR="00522D48" w:rsidRPr="00074D13">
              <w:rPr>
                <w:rFonts w:ascii="Calibri" w:eastAsia="Arial" w:hAnsi="Calibri" w:cs="Calibri"/>
                <w:sz w:val="22"/>
                <w:szCs w:val="22"/>
              </w:rPr>
              <w:t xml:space="preserve"> punten</w:t>
            </w:r>
          </w:p>
        </w:tc>
        <w:tc>
          <w:tcPr>
            <w:tcW w:w="6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FA8CC8" w14:textId="48849F32" w:rsidR="00522D48" w:rsidRPr="00074D13" w:rsidRDefault="00522D48" w:rsidP="007C3BA8">
            <w:pPr>
              <w:rPr>
                <w:rFonts w:ascii="Calibri" w:eastAsia="Arial" w:hAnsi="Calibri" w:cs="Calibri"/>
                <w:b/>
                <w:bCs/>
                <w:sz w:val="22"/>
                <w:szCs w:val="22"/>
              </w:rPr>
            </w:pPr>
            <w:r w:rsidRPr="00074D13">
              <w:rPr>
                <w:rFonts w:ascii="Calibri" w:eastAsia="Arial" w:hAnsi="Calibri" w:cs="Calibri"/>
                <w:b/>
                <w:bCs/>
                <w:sz w:val="22"/>
                <w:szCs w:val="22"/>
              </w:rPr>
              <w:t xml:space="preserve">Implementatie </w:t>
            </w:r>
          </w:p>
          <w:p w14:paraId="03F795FF" w14:textId="77777777" w:rsidR="00522D48" w:rsidRPr="00074D13" w:rsidRDefault="00522D48" w:rsidP="007C3BA8">
            <w:pPr>
              <w:rPr>
                <w:rFonts w:ascii="Calibri" w:eastAsia="Arial" w:hAnsi="Calibri" w:cs="Calibri"/>
                <w:sz w:val="22"/>
                <w:szCs w:val="22"/>
              </w:rPr>
            </w:pPr>
            <w:r w:rsidRPr="00074D13">
              <w:rPr>
                <w:rFonts w:ascii="Calibri" w:eastAsia="Arial" w:hAnsi="Calibri" w:cs="Calibri"/>
                <w:sz w:val="22"/>
                <w:szCs w:val="22"/>
              </w:rPr>
              <w:t xml:space="preserve">In dit onderdeel beschrijft de inschrijver op welke wijze hij zorgdraagt voor de implementatie van de aanbesteding en de voorgeschreven aanpak. </w:t>
            </w:r>
          </w:p>
          <w:p w14:paraId="4C421A1A" w14:textId="77777777" w:rsidR="00522D48" w:rsidRPr="00074D13" w:rsidRDefault="00522D48" w:rsidP="007C3BA8">
            <w:pPr>
              <w:rPr>
                <w:rFonts w:ascii="Calibri" w:eastAsia="Arial" w:hAnsi="Calibri" w:cs="Calibri"/>
                <w:sz w:val="22"/>
                <w:szCs w:val="22"/>
              </w:rPr>
            </w:pPr>
            <w:r w:rsidRPr="00074D13">
              <w:rPr>
                <w:rFonts w:ascii="Calibri" w:eastAsia="Arial" w:hAnsi="Calibri" w:cs="Calibri"/>
                <w:sz w:val="22"/>
                <w:szCs w:val="22"/>
              </w:rPr>
              <w:t>Inschrijver wordt verzocht om in ieder geval aan te geven:</w:t>
            </w:r>
          </w:p>
          <w:p w14:paraId="1EF02656" w14:textId="1B7E5CC4"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lastRenderedPageBreak/>
              <w:t xml:space="preserve">Hoe de implementatie van de opdracht, zoals beschreven in het </w:t>
            </w:r>
            <w:r w:rsidR="00935F87">
              <w:rPr>
                <w:rFonts w:ascii="Calibri" w:eastAsia="Arial" w:hAnsi="Calibri" w:cs="Calibri"/>
                <w:sz w:val="22"/>
                <w:szCs w:val="22"/>
              </w:rPr>
              <w:t>Inkoop</w:t>
            </w:r>
            <w:r w:rsidRPr="00074D13">
              <w:rPr>
                <w:rFonts w:ascii="Calibri" w:eastAsia="Arial" w:hAnsi="Calibri" w:cs="Calibri"/>
                <w:sz w:val="22"/>
                <w:szCs w:val="22"/>
              </w:rPr>
              <w:t xml:space="preserve"> document inclusief </w:t>
            </w:r>
            <w:r w:rsidR="00FD038D">
              <w:rPr>
                <w:rFonts w:ascii="Calibri" w:eastAsia="Arial" w:hAnsi="Calibri" w:cs="Calibri"/>
                <w:sz w:val="22"/>
                <w:szCs w:val="22"/>
              </w:rPr>
              <w:t>bijlage 2. De overeenkomst</w:t>
            </w:r>
            <w:r w:rsidRPr="00074D13">
              <w:rPr>
                <w:rFonts w:ascii="Calibri" w:eastAsia="Arial" w:hAnsi="Calibri" w:cs="Calibri"/>
                <w:sz w:val="22"/>
                <w:szCs w:val="22"/>
              </w:rPr>
              <w:t>, zal worden ingeregeld en de bijbehorende werkwijze;</w:t>
            </w:r>
          </w:p>
          <w:p w14:paraId="7DFB860F"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Wat de tijdsplanning zal zijn;</w:t>
            </w:r>
          </w:p>
          <w:p w14:paraId="3552DEF7"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Welke medewerkers (rollen) verantwoordelijk zullen zijn voor welke onderdelen;</w:t>
            </w:r>
          </w:p>
          <w:p w14:paraId="47408AC3"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Hoe u knelpunten bij de uitvoering van het plan signaleert en hoe u deze oplost;</w:t>
            </w:r>
          </w:p>
          <w:p w14:paraId="12183D4C"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Wat doet u aan communicatie met medewerkers, bestaande cliënten en nieuwe cliënten;</w:t>
            </w:r>
          </w:p>
          <w:p w14:paraId="46F45A03"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Op welke wijze u er aan bijdraagt dat er zo min mogelijk onrust ontstaat bij de implementatie;</w:t>
            </w:r>
          </w:p>
          <w:p w14:paraId="272DF0EB"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Op welke wijze u bijdraagt aan het in stand houden van “koppeltjes” van hulpen en cliënten, die verbonden zijn aan de thans gegunde partijen die in deze aanbesteding mogelijk niet gegund worden.</w:t>
            </w:r>
          </w:p>
          <w:p w14:paraId="28803A52" w14:textId="77777777" w:rsidR="00522D48" w:rsidRPr="00074D13" w:rsidRDefault="00522D48" w:rsidP="007C3BA8">
            <w:pPr>
              <w:rPr>
                <w:rFonts w:ascii="Calibri" w:eastAsia="Arial" w:hAnsi="Calibri" w:cs="Calibri"/>
                <w:color w:val="FF0000"/>
                <w:sz w:val="22"/>
                <w:szCs w:val="22"/>
              </w:rPr>
            </w:pPr>
          </w:p>
        </w:tc>
      </w:tr>
      <w:tr w:rsidR="00522D48" w:rsidRPr="00905AA7" w14:paraId="195F0337" w14:textId="77777777" w:rsidTr="00074D13">
        <w:tblPrEx>
          <w:tblBorders>
            <w:top w:val="none" w:sz="6" w:space="0" w:color="auto"/>
            <w:left w:val="none" w:sz="6" w:space="0" w:color="auto"/>
            <w:bottom w:val="none" w:sz="6" w:space="0" w:color="auto"/>
            <w:right w:val="none" w:sz="6" w:space="0" w:color="auto"/>
          </w:tblBorders>
          <w:tblLook w:val="0000" w:firstRow="0" w:lastRow="0" w:firstColumn="0" w:lastColumn="0" w:noHBand="0" w:noVBand="0"/>
        </w:tblPrEx>
        <w:tc>
          <w:tcPr>
            <w:tcW w:w="135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6A89054" w14:textId="77777777" w:rsidR="00522D48" w:rsidRPr="00074D13" w:rsidRDefault="00522D48" w:rsidP="007C3BA8">
            <w:pPr>
              <w:rPr>
                <w:rFonts w:ascii="Calibri" w:eastAsia="Arial" w:hAnsi="Calibri" w:cs="Calibri"/>
                <w:sz w:val="22"/>
                <w:szCs w:val="22"/>
                <w:lang w:val="en-IE"/>
              </w:rPr>
            </w:pPr>
            <w:r w:rsidRPr="00074D13">
              <w:rPr>
                <w:rFonts w:ascii="Calibri" w:eastAsia="Arial" w:hAnsi="Calibri" w:cs="Calibri"/>
                <w:sz w:val="22"/>
                <w:szCs w:val="22"/>
              </w:rPr>
              <w:lastRenderedPageBreak/>
              <w:t>4</w:t>
            </w:r>
          </w:p>
        </w:tc>
        <w:tc>
          <w:tcPr>
            <w:tcW w:w="1278" w:type="dxa"/>
            <w:tcBorders>
              <w:top w:val="nil"/>
              <w:left w:val="nil"/>
              <w:bottom w:val="single" w:sz="4" w:space="0" w:color="auto"/>
              <w:right w:val="single" w:sz="8" w:space="0" w:color="auto"/>
            </w:tcBorders>
            <w:tcMar>
              <w:top w:w="0" w:type="dxa"/>
              <w:left w:w="108" w:type="dxa"/>
              <w:bottom w:w="0" w:type="dxa"/>
              <w:right w:w="108" w:type="dxa"/>
            </w:tcMar>
          </w:tcPr>
          <w:p w14:paraId="6BB5DEFF"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3B38DFD6" w14:textId="4A68EBCB"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2 A4</w:t>
            </w:r>
            <w:r w:rsidR="00074D13" w:rsidRPr="00074D13">
              <w:rPr>
                <w:rFonts w:ascii="Calibri" w:eastAsia="Arial" w:hAnsi="Calibri" w:cs="Calibri"/>
                <w:sz w:val="22"/>
                <w:szCs w:val="22"/>
              </w:rPr>
              <w:t xml:space="preserve"> pagina’s</w:t>
            </w:r>
          </w:p>
          <w:p w14:paraId="0FEFF0AF" w14:textId="77777777" w:rsidR="00522D48" w:rsidRPr="00074D13" w:rsidRDefault="00522D48" w:rsidP="00074D13">
            <w:pPr>
              <w:pStyle w:val="Geenafstand"/>
              <w:rPr>
                <w:rFonts w:ascii="Calibri" w:eastAsia="Arial" w:hAnsi="Calibri" w:cs="Calibri"/>
                <w:sz w:val="22"/>
                <w:szCs w:val="22"/>
              </w:rPr>
            </w:pPr>
          </w:p>
        </w:tc>
        <w:tc>
          <w:tcPr>
            <w:tcW w:w="1128" w:type="dxa"/>
            <w:tcBorders>
              <w:top w:val="nil"/>
              <w:left w:val="nil"/>
              <w:bottom w:val="single" w:sz="4" w:space="0" w:color="auto"/>
              <w:right w:val="single" w:sz="8" w:space="0" w:color="auto"/>
            </w:tcBorders>
            <w:tcMar>
              <w:top w:w="0" w:type="dxa"/>
              <w:left w:w="108" w:type="dxa"/>
              <w:bottom w:w="0" w:type="dxa"/>
              <w:right w:w="108" w:type="dxa"/>
            </w:tcMar>
          </w:tcPr>
          <w:p w14:paraId="02F1182F" w14:textId="77777777" w:rsidR="00522D48" w:rsidRPr="00074D13" w:rsidRDefault="00522D48" w:rsidP="00074D13">
            <w:pPr>
              <w:pStyle w:val="Geenafstand"/>
              <w:rPr>
                <w:rFonts w:ascii="Calibri" w:eastAsia="Arial" w:hAnsi="Calibri" w:cs="Calibri"/>
                <w:sz w:val="22"/>
                <w:szCs w:val="22"/>
              </w:rPr>
            </w:pPr>
            <w:r w:rsidRPr="00074D13">
              <w:rPr>
                <w:rFonts w:ascii="Calibri" w:eastAsia="Arial" w:hAnsi="Calibri" w:cs="Calibri"/>
                <w:sz w:val="22"/>
                <w:szCs w:val="22"/>
              </w:rPr>
              <w:t>Maximaal</w:t>
            </w:r>
          </w:p>
          <w:p w14:paraId="763975CC" w14:textId="401DAC03" w:rsidR="00522D48" w:rsidRPr="00074D13" w:rsidRDefault="005D5E54" w:rsidP="00074D13">
            <w:pPr>
              <w:pStyle w:val="Geenafstand"/>
              <w:rPr>
                <w:rFonts w:ascii="Calibri" w:eastAsia="Arial" w:hAnsi="Calibri" w:cs="Calibri"/>
                <w:sz w:val="22"/>
                <w:szCs w:val="22"/>
              </w:rPr>
            </w:pPr>
            <w:r w:rsidRPr="00074D13">
              <w:rPr>
                <w:rFonts w:ascii="Calibri" w:eastAsia="Arial" w:hAnsi="Calibri" w:cs="Calibri"/>
                <w:sz w:val="22"/>
                <w:szCs w:val="22"/>
              </w:rPr>
              <w:t>30</w:t>
            </w:r>
            <w:r w:rsidR="00522D48" w:rsidRPr="00074D13">
              <w:rPr>
                <w:rFonts w:ascii="Calibri" w:eastAsia="Arial" w:hAnsi="Calibri" w:cs="Calibri"/>
                <w:sz w:val="22"/>
                <w:szCs w:val="22"/>
              </w:rPr>
              <w:t xml:space="preserve"> punten</w:t>
            </w:r>
          </w:p>
          <w:p w14:paraId="15691231" w14:textId="77777777" w:rsidR="00522D48" w:rsidRPr="00074D13" w:rsidRDefault="00522D48" w:rsidP="00074D13">
            <w:pPr>
              <w:pStyle w:val="Geenafstand"/>
              <w:rPr>
                <w:rFonts w:ascii="Calibri" w:eastAsia="Arial" w:hAnsi="Calibri" w:cs="Calibri"/>
                <w:sz w:val="22"/>
                <w:szCs w:val="22"/>
              </w:rPr>
            </w:pPr>
          </w:p>
        </w:tc>
        <w:tc>
          <w:tcPr>
            <w:tcW w:w="6294" w:type="dxa"/>
            <w:tcBorders>
              <w:top w:val="nil"/>
              <w:left w:val="nil"/>
              <w:bottom w:val="single" w:sz="4" w:space="0" w:color="auto"/>
              <w:right w:val="single" w:sz="8" w:space="0" w:color="auto"/>
            </w:tcBorders>
            <w:tcMar>
              <w:top w:w="0" w:type="dxa"/>
              <w:left w:w="108" w:type="dxa"/>
              <w:bottom w:w="0" w:type="dxa"/>
              <w:right w:w="108" w:type="dxa"/>
            </w:tcMar>
          </w:tcPr>
          <w:p w14:paraId="7AEBAEC0" w14:textId="77777777" w:rsidR="00522D48" w:rsidRPr="00074D13" w:rsidRDefault="00522D48" w:rsidP="007C3BA8">
            <w:pPr>
              <w:rPr>
                <w:rFonts w:ascii="Calibri" w:eastAsia="Arial" w:hAnsi="Calibri" w:cs="Calibri"/>
                <w:b/>
                <w:bCs/>
                <w:sz w:val="22"/>
                <w:szCs w:val="22"/>
              </w:rPr>
            </w:pPr>
            <w:r w:rsidRPr="00074D13">
              <w:rPr>
                <w:rFonts w:ascii="Calibri" w:eastAsia="Arial" w:hAnsi="Calibri" w:cs="Calibri"/>
                <w:b/>
                <w:bCs/>
                <w:sz w:val="22"/>
                <w:szCs w:val="22"/>
              </w:rPr>
              <w:t>Kwaliteit en ontwikkeling personeel</w:t>
            </w:r>
            <w:r w:rsidRPr="00074D13">
              <w:rPr>
                <w:rFonts w:ascii="Calibri" w:eastAsia="Arial" w:hAnsi="Calibri" w:cs="Calibri"/>
                <w:sz w:val="22"/>
                <w:szCs w:val="22"/>
              </w:rPr>
              <w:t xml:space="preserve"> </w:t>
            </w:r>
          </w:p>
          <w:p w14:paraId="3E9BEA7F" w14:textId="77777777" w:rsidR="00522D48" w:rsidRPr="00074D13" w:rsidRDefault="00522D48" w:rsidP="007C3BA8">
            <w:pPr>
              <w:rPr>
                <w:rFonts w:ascii="Calibri" w:eastAsia="Arial" w:hAnsi="Calibri" w:cs="Calibri"/>
                <w:sz w:val="22"/>
                <w:szCs w:val="22"/>
              </w:rPr>
            </w:pPr>
            <w:r w:rsidRPr="00074D13">
              <w:rPr>
                <w:rFonts w:ascii="Calibri" w:eastAsia="Arial" w:hAnsi="Calibri" w:cs="Calibri"/>
                <w:sz w:val="22"/>
                <w:szCs w:val="22"/>
              </w:rPr>
              <w:t>Opdrachtgever is van mening dat medewerkers in grote mate bepalend zijn voor de kwaliteit van de dienstverlening. In dit onderdeel beschrijft de inschrijver op welke  wijze hij de kwaliteit en ontwikkeling van het personeel borgt.</w:t>
            </w:r>
            <w:r w:rsidRPr="00074D13">
              <w:rPr>
                <w:rFonts w:ascii="Calibri" w:eastAsia="Arial" w:hAnsi="Calibri" w:cs="Calibri"/>
                <w:sz w:val="22"/>
                <w:szCs w:val="22"/>
              </w:rPr>
              <w:br/>
            </w:r>
            <w:r w:rsidRPr="00074D13">
              <w:rPr>
                <w:rFonts w:ascii="Calibri" w:eastAsia="Arial" w:hAnsi="Calibri" w:cs="Calibri"/>
                <w:sz w:val="22"/>
                <w:szCs w:val="22"/>
              </w:rPr>
              <w:br/>
              <w:t>Inschrijver wordt verzocht om in ieder geval aan te geven:</w:t>
            </w:r>
          </w:p>
          <w:p w14:paraId="7E7FCF97"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Op welke wijze de duurzame inzetbaarheid (vitaliteit en welzijn, arbeidsomstandigheden en ontwikkeling) van het personeel wordt gewaarborgd en ziekteverzuim zoveel mogelijk wordt voorkomen;</w:t>
            </w:r>
          </w:p>
          <w:p w14:paraId="084BE2AC"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 xml:space="preserve">In deze tijd van een krappe arbeidsmarkt kan het een uitdaging zijn om voldoende en gekwalificeerd personeel te vinden en te behouden. U dient concreet aan te geven welke maatregelen u treft om te blijven voldoen aan de vraag naar huishoudelijke ondersteuning; </w:t>
            </w:r>
          </w:p>
          <w:p w14:paraId="62439C0D"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Op welke wijze u medewerkers begeleidt binnen de organisatie, en medewerkers ondersteunt in hun signaleringsfunctie;</w:t>
            </w:r>
          </w:p>
          <w:p w14:paraId="56C68812" w14:textId="77777777" w:rsidR="00522D48" w:rsidRPr="00074D13" w:rsidRDefault="00522D48" w:rsidP="00522D48">
            <w:pPr>
              <w:numPr>
                <w:ilvl w:val="0"/>
                <w:numId w:val="41"/>
              </w:numPr>
              <w:spacing w:after="0"/>
              <w:rPr>
                <w:rFonts w:ascii="Calibri" w:eastAsia="Arial" w:hAnsi="Calibri" w:cs="Calibri"/>
                <w:sz w:val="22"/>
                <w:szCs w:val="22"/>
              </w:rPr>
            </w:pPr>
            <w:r w:rsidRPr="00074D13">
              <w:rPr>
                <w:rFonts w:ascii="Calibri" w:eastAsia="Arial" w:hAnsi="Calibri" w:cs="Calibri"/>
                <w:sz w:val="22"/>
                <w:szCs w:val="22"/>
              </w:rPr>
              <w:t>Op welke wijze u nieuwe medewerkers schoolt en begeleidt bij de start van het dienstverband als huishoudelijke hulp.</w:t>
            </w:r>
          </w:p>
        </w:tc>
      </w:tr>
      <w:tr w:rsidR="00522D48" w:rsidRPr="00905AA7" w14:paraId="3E07982C" w14:textId="77777777" w:rsidTr="00074D13">
        <w:tc>
          <w:tcPr>
            <w:tcW w:w="13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0B254D" w14:textId="77777777" w:rsidR="00522D48" w:rsidRPr="00905AA7" w:rsidRDefault="00522D48" w:rsidP="007C3BA8">
            <w:pPr>
              <w:rPr>
                <w:rFonts w:ascii="Calibri" w:eastAsia="Arial" w:hAnsi="Calibri" w:cs="Calibri"/>
                <w:color w:val="FF0000"/>
                <w:sz w:val="22"/>
                <w:szCs w:val="22"/>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tcPr>
          <w:p w14:paraId="5FA2F062" w14:textId="77777777" w:rsidR="00522D48" w:rsidRPr="00905AA7" w:rsidRDefault="00522D48" w:rsidP="007C3BA8">
            <w:pPr>
              <w:rPr>
                <w:rFonts w:ascii="Calibri" w:eastAsia="Arial" w:hAnsi="Calibri" w:cs="Calibri"/>
                <w:color w:val="FF0000"/>
                <w:sz w:val="22"/>
                <w:szCs w:val="22"/>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tcPr>
          <w:p w14:paraId="08ECD1B9" w14:textId="77777777" w:rsidR="00522D48" w:rsidRPr="00917DAA" w:rsidRDefault="00522D48" w:rsidP="007C3BA8">
            <w:pPr>
              <w:rPr>
                <w:rFonts w:ascii="Calibri" w:eastAsia="Arial" w:hAnsi="Calibri" w:cs="Calibri"/>
                <w:sz w:val="22"/>
                <w:szCs w:val="22"/>
              </w:rPr>
            </w:pPr>
            <w:r w:rsidRPr="00917DAA">
              <w:rPr>
                <w:rFonts w:ascii="Calibri" w:eastAsia="Arial" w:hAnsi="Calibri" w:cs="Calibri"/>
                <w:sz w:val="22"/>
                <w:szCs w:val="22"/>
              </w:rPr>
              <w:t>Maximaal 100 punten</w:t>
            </w:r>
          </w:p>
        </w:tc>
        <w:tc>
          <w:tcPr>
            <w:tcW w:w="6294" w:type="dxa"/>
            <w:tcBorders>
              <w:top w:val="nil"/>
              <w:left w:val="nil"/>
              <w:bottom w:val="single" w:sz="8" w:space="0" w:color="auto"/>
              <w:right w:val="single" w:sz="8" w:space="0" w:color="auto"/>
            </w:tcBorders>
            <w:tcMar>
              <w:top w:w="0" w:type="dxa"/>
              <w:left w:w="108" w:type="dxa"/>
              <w:bottom w:w="0" w:type="dxa"/>
              <w:right w:w="108" w:type="dxa"/>
            </w:tcMar>
          </w:tcPr>
          <w:p w14:paraId="00364BD3" w14:textId="77777777" w:rsidR="00522D48" w:rsidRPr="00905AA7" w:rsidRDefault="00522D48" w:rsidP="007C3BA8">
            <w:pPr>
              <w:rPr>
                <w:rFonts w:ascii="Calibri" w:eastAsia="Arial" w:hAnsi="Calibri" w:cs="Calibri"/>
                <w:b/>
                <w:bCs/>
                <w:color w:val="FF0000"/>
                <w:sz w:val="22"/>
                <w:szCs w:val="22"/>
              </w:rPr>
            </w:pPr>
          </w:p>
        </w:tc>
      </w:tr>
      <w:tr w:rsidR="00522D48" w:rsidRPr="00905AA7" w14:paraId="0A64CCE5" w14:textId="77777777" w:rsidTr="06668844">
        <w:trPr>
          <w:trHeight w:val="47"/>
        </w:trPr>
        <w:tc>
          <w:tcPr>
            <w:tcW w:w="10055" w:type="dxa"/>
            <w:gridSpan w:val="4"/>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4465A481" w14:textId="77777777" w:rsidR="00522D48" w:rsidRPr="00745FF7" w:rsidRDefault="00522D48" w:rsidP="007C3BA8">
            <w:pPr>
              <w:rPr>
                <w:rFonts w:ascii="Calibri" w:eastAsia="Arial" w:hAnsi="Calibri" w:cs="Calibri"/>
                <w:color w:val="FF0000"/>
                <w:sz w:val="22"/>
                <w:szCs w:val="22"/>
              </w:rPr>
            </w:pPr>
            <w:r w:rsidRPr="00AB191A">
              <w:rPr>
                <w:rFonts w:ascii="Calibri" w:eastAsia="Arial" w:hAnsi="Calibri" w:cs="Calibri"/>
                <w:sz w:val="22"/>
                <w:szCs w:val="22"/>
              </w:rPr>
              <w:t xml:space="preserve">Schema’s, tabellen, bijlagen, voorpagina’s inhoudsopgaven e.d. </w:t>
            </w:r>
            <w:r w:rsidRPr="00745FF7">
              <w:rPr>
                <w:rFonts w:ascii="Calibri" w:eastAsia="Arial" w:hAnsi="Calibri" w:cs="Calibri"/>
                <w:sz w:val="22"/>
                <w:szCs w:val="22"/>
              </w:rPr>
              <w:t>worden meegeteld</w:t>
            </w:r>
            <w:r>
              <w:rPr>
                <w:rFonts w:ascii="Calibri" w:eastAsia="Arial" w:hAnsi="Calibri" w:cs="Calibri"/>
                <w:sz w:val="22"/>
                <w:szCs w:val="22"/>
              </w:rPr>
              <w:t xml:space="preserve"> in het maximaal aantal pagina’s deze dienen in een bijlage te worden gevoegd</w:t>
            </w:r>
            <w:r w:rsidRPr="00AB191A">
              <w:rPr>
                <w:rFonts w:ascii="Calibri" w:eastAsia="Arial" w:hAnsi="Calibri" w:cs="Calibri"/>
                <w:sz w:val="22"/>
                <w:szCs w:val="22"/>
              </w:rPr>
              <w:t xml:space="preserve">. Indien het </w:t>
            </w:r>
            <w:r>
              <w:rPr>
                <w:rFonts w:ascii="Calibri" w:eastAsia="Arial" w:hAnsi="Calibri" w:cs="Calibri"/>
                <w:sz w:val="22"/>
                <w:szCs w:val="22"/>
              </w:rPr>
              <w:t>m</w:t>
            </w:r>
            <w:r w:rsidRPr="00AB191A">
              <w:rPr>
                <w:rFonts w:ascii="Calibri" w:eastAsia="Arial" w:hAnsi="Calibri" w:cs="Calibri"/>
                <w:sz w:val="22"/>
                <w:szCs w:val="22"/>
              </w:rPr>
              <w:t xml:space="preserve">aximaal </w:t>
            </w:r>
            <w:r w:rsidRPr="00AB191A">
              <w:rPr>
                <w:rFonts w:ascii="Calibri" w:eastAsia="Arial" w:hAnsi="Calibri" w:cs="Calibri"/>
                <w:color w:val="000000"/>
                <w:sz w:val="22"/>
                <w:szCs w:val="22"/>
              </w:rPr>
              <w:t>aantal pagina’s wordt overschreden, worden alleen de eers</w:t>
            </w:r>
            <w:r>
              <w:rPr>
                <w:rFonts w:ascii="Calibri" w:eastAsia="Arial" w:hAnsi="Calibri" w:cs="Calibri"/>
                <w:color w:val="000000"/>
                <w:sz w:val="22"/>
                <w:szCs w:val="22"/>
              </w:rPr>
              <w:t xml:space="preserve">t toegestane </w:t>
            </w:r>
            <w:r w:rsidRPr="00AB191A">
              <w:rPr>
                <w:rFonts w:ascii="Calibri" w:eastAsia="Arial" w:hAnsi="Calibri" w:cs="Calibri"/>
                <w:color w:val="000000"/>
                <w:sz w:val="22"/>
                <w:szCs w:val="22"/>
              </w:rPr>
              <w:t>pagina’s beoordeeld.</w:t>
            </w:r>
          </w:p>
        </w:tc>
      </w:tr>
    </w:tbl>
    <w:p w14:paraId="2648C9B2" w14:textId="77777777" w:rsidR="00975379" w:rsidRDefault="00975379" w:rsidP="00975379">
      <w:pPr>
        <w:pStyle w:val="Geenafstand"/>
      </w:pPr>
      <w:bookmarkStart w:id="28" w:name="_Toc98331744"/>
    </w:p>
    <w:p w14:paraId="03AA1F91" w14:textId="77777777" w:rsidR="00975379" w:rsidRDefault="00975379" w:rsidP="00975379">
      <w:pPr>
        <w:pStyle w:val="Geenafstand"/>
        <w:rPr>
          <w:b/>
          <w:bCs/>
          <w:color w:val="12828C"/>
        </w:rPr>
      </w:pPr>
    </w:p>
    <w:p w14:paraId="2D77D5AD" w14:textId="77777777" w:rsidR="00975379" w:rsidRDefault="00975379" w:rsidP="00975379">
      <w:pPr>
        <w:pStyle w:val="Geenafstand"/>
        <w:rPr>
          <w:b/>
          <w:bCs/>
          <w:color w:val="12828C"/>
        </w:rPr>
      </w:pPr>
    </w:p>
    <w:p w14:paraId="5017FB30" w14:textId="77777777" w:rsidR="00975379" w:rsidRDefault="00975379" w:rsidP="00975379">
      <w:pPr>
        <w:pStyle w:val="Geenafstand"/>
        <w:rPr>
          <w:b/>
          <w:bCs/>
          <w:color w:val="12828C"/>
        </w:rPr>
      </w:pPr>
    </w:p>
    <w:p w14:paraId="4607F445" w14:textId="77777777" w:rsidR="00975379" w:rsidRDefault="00975379" w:rsidP="00975379">
      <w:pPr>
        <w:pStyle w:val="Geenafstand"/>
        <w:rPr>
          <w:b/>
          <w:bCs/>
          <w:color w:val="12828C"/>
        </w:rPr>
      </w:pPr>
    </w:p>
    <w:p w14:paraId="48F3D2EA" w14:textId="77777777" w:rsidR="00975379" w:rsidRDefault="00975379" w:rsidP="00975379">
      <w:pPr>
        <w:pStyle w:val="Geenafstand"/>
        <w:rPr>
          <w:b/>
          <w:bCs/>
          <w:color w:val="12828C"/>
        </w:rPr>
      </w:pPr>
    </w:p>
    <w:p w14:paraId="58153379" w14:textId="3A32C672" w:rsidR="00522D48" w:rsidRPr="00975379" w:rsidRDefault="00522D48" w:rsidP="00975379">
      <w:pPr>
        <w:pStyle w:val="Geenafstand"/>
        <w:rPr>
          <w:b/>
          <w:bCs/>
          <w:color w:val="12828C"/>
        </w:rPr>
      </w:pPr>
      <w:r w:rsidRPr="00975379">
        <w:rPr>
          <w:b/>
          <w:bCs/>
          <w:color w:val="12828C"/>
        </w:rPr>
        <w:lastRenderedPageBreak/>
        <w:t>Beoordelingsmethodiek</w:t>
      </w:r>
      <w:bookmarkEnd w:id="28"/>
    </w:p>
    <w:p w14:paraId="3CE019D6" w14:textId="7AA87AA6" w:rsidR="00522D48" w:rsidRPr="00975379" w:rsidRDefault="00522D48" w:rsidP="00031638">
      <w:r w:rsidRPr="00975379">
        <w:t xml:space="preserve">De beoordeling vindt plaats door een beoordelingsteam. Dit team bestaat uit </w:t>
      </w:r>
      <w:r w:rsidR="00975379">
        <w:t>3</w:t>
      </w:r>
      <w:r w:rsidRPr="00975379">
        <w:t xml:space="preserve"> personen, werkzaam bij de aanbestedende dienst</w:t>
      </w:r>
      <w:r w:rsidR="00031638">
        <w:t xml:space="preserve">, waarbij er 1 afgevaardigde is per gemeente. </w:t>
      </w:r>
    </w:p>
    <w:p w14:paraId="086940B4" w14:textId="77777777" w:rsidR="00522D48" w:rsidRPr="00031638" w:rsidRDefault="00522D48" w:rsidP="00522D48">
      <w:pPr>
        <w:pBdr>
          <w:top w:val="nil"/>
          <w:left w:val="nil"/>
          <w:bottom w:val="nil"/>
          <w:right w:val="nil"/>
          <w:between w:val="nil"/>
        </w:pBdr>
      </w:pPr>
      <w:r w:rsidRPr="00031638">
        <w:t>Indien één van de leden van het beoordelingsteam door omstandigheden niet aanwezig kan zijn bij de beoordeling, zal deze met gepaste deskundigheid vervangen worden.</w:t>
      </w:r>
    </w:p>
    <w:p w14:paraId="6CF13C13" w14:textId="77777777" w:rsidR="00522D48" w:rsidRPr="00031638" w:rsidRDefault="00522D48" w:rsidP="00522D48">
      <w:pPr>
        <w:pBdr>
          <w:top w:val="nil"/>
          <w:left w:val="nil"/>
          <w:bottom w:val="nil"/>
          <w:right w:val="nil"/>
          <w:between w:val="nil"/>
        </w:pBdr>
      </w:pPr>
      <w:r w:rsidRPr="00031638">
        <w:t>De volgende stappen worden doorlopen:</w:t>
      </w:r>
    </w:p>
    <w:p w14:paraId="5DDADC4E" w14:textId="6A9956E1" w:rsidR="001550C6" w:rsidRDefault="00522D48" w:rsidP="001550C6">
      <w:pPr>
        <w:pStyle w:val="Lijstalinea"/>
        <w:numPr>
          <w:ilvl w:val="1"/>
          <w:numId w:val="48"/>
        </w:numPr>
      </w:pPr>
      <w:r w:rsidRPr="00031638">
        <w:t xml:space="preserve">Verspreiding door de inkoopadviseur van de kwalitatieve inschrijvingen Plan van Aanpak onder het beoordelingsteam; </w:t>
      </w:r>
    </w:p>
    <w:p w14:paraId="17099966" w14:textId="21448CD0" w:rsidR="00CE7B17" w:rsidRDefault="00522D48" w:rsidP="001550C6">
      <w:pPr>
        <w:pStyle w:val="Lijstalinea"/>
        <w:numPr>
          <w:ilvl w:val="1"/>
          <w:numId w:val="48"/>
        </w:numPr>
      </w:pPr>
      <w:r w:rsidRPr="00031638">
        <w:t xml:space="preserve">Individuele beoordeling per </w:t>
      </w:r>
      <w:proofErr w:type="spellStart"/>
      <w:r w:rsidRPr="00031638">
        <w:t>subgunningscriterium</w:t>
      </w:r>
      <w:proofErr w:type="spellEnd"/>
      <w:r w:rsidRPr="00031638">
        <w:t xml:space="preserve"> door de leden van het</w:t>
      </w:r>
      <w:r w:rsidR="00CE7B17">
        <w:t xml:space="preserve"> </w:t>
      </w:r>
      <w:r w:rsidRPr="00031638">
        <w:t>beoordelingsteam;</w:t>
      </w:r>
    </w:p>
    <w:p w14:paraId="2A338433" w14:textId="570108FA" w:rsidR="00522D48" w:rsidRPr="00031638" w:rsidRDefault="00522D48" w:rsidP="00CE7B17">
      <w:pPr>
        <w:pStyle w:val="Lijstalinea"/>
        <w:numPr>
          <w:ilvl w:val="1"/>
          <w:numId w:val="48"/>
        </w:numPr>
        <w:spacing w:after="0"/>
      </w:pPr>
      <w:r w:rsidRPr="00031638">
        <w:t xml:space="preserve">Gezamenlijke beoordeling per </w:t>
      </w:r>
      <w:proofErr w:type="spellStart"/>
      <w:r w:rsidRPr="00031638">
        <w:t>subgunningscriterium</w:t>
      </w:r>
      <w:proofErr w:type="spellEnd"/>
      <w:r w:rsidRPr="00031638">
        <w:t xml:space="preserve"> in consensus; </w:t>
      </w:r>
    </w:p>
    <w:p w14:paraId="15635E97" w14:textId="6FE88F70" w:rsidR="00522D48" w:rsidRPr="00031638" w:rsidRDefault="00522D48" w:rsidP="00CE7B17">
      <w:pPr>
        <w:pStyle w:val="Lijstalinea"/>
        <w:numPr>
          <w:ilvl w:val="1"/>
          <w:numId w:val="48"/>
        </w:numPr>
        <w:spacing w:after="0"/>
      </w:pPr>
      <w:r w:rsidRPr="00031638">
        <w:t>Berekening van de eindscores.</w:t>
      </w:r>
    </w:p>
    <w:p w14:paraId="203073F7" w14:textId="77777777" w:rsidR="00522D48" w:rsidRPr="00AB191A" w:rsidRDefault="00522D48" w:rsidP="00522D48">
      <w:pPr>
        <w:pBdr>
          <w:top w:val="nil"/>
          <w:left w:val="nil"/>
          <w:bottom w:val="nil"/>
          <w:right w:val="nil"/>
          <w:between w:val="nil"/>
        </w:pBdr>
        <w:rPr>
          <w:rFonts w:ascii="Calibri" w:eastAsia="Arial" w:hAnsi="Calibri" w:cs="Calibri"/>
          <w:sz w:val="22"/>
          <w:szCs w:val="22"/>
        </w:rPr>
      </w:pPr>
    </w:p>
    <w:p w14:paraId="7DDD8B8A" w14:textId="77777777" w:rsidR="00522D48" w:rsidRPr="00E758E1" w:rsidRDefault="00522D48" w:rsidP="00522D48">
      <w:pPr>
        <w:pBdr>
          <w:top w:val="nil"/>
          <w:left w:val="nil"/>
          <w:bottom w:val="nil"/>
          <w:right w:val="nil"/>
          <w:between w:val="nil"/>
        </w:pBdr>
      </w:pPr>
      <w:r w:rsidRPr="00E758E1">
        <w:t>De score wordt als volgt berekend:</w:t>
      </w:r>
    </w:p>
    <w:tbl>
      <w:tblPr>
        <w:tblStyle w:val="Tabelraster"/>
        <w:tblW w:w="0" w:type="auto"/>
        <w:tblLook w:val="04A0" w:firstRow="1" w:lastRow="0" w:firstColumn="1" w:lastColumn="0" w:noHBand="0" w:noVBand="1"/>
      </w:tblPr>
      <w:tblGrid>
        <w:gridCol w:w="2689"/>
        <w:gridCol w:w="6373"/>
      </w:tblGrid>
      <w:tr w:rsidR="00522D48" w14:paraId="22D8DEBB" w14:textId="77777777" w:rsidTr="00C15850">
        <w:tc>
          <w:tcPr>
            <w:tcW w:w="2689" w:type="dxa"/>
            <w:shd w:val="clear" w:color="auto" w:fill="E7E6E6" w:themeFill="background2"/>
          </w:tcPr>
          <w:p w14:paraId="373F31E8" w14:textId="77777777" w:rsidR="00522D48" w:rsidRPr="00031638" w:rsidRDefault="00522D48" w:rsidP="007C3BA8">
            <w:pPr>
              <w:rPr>
                <w:b/>
                <w:bCs/>
              </w:rPr>
            </w:pPr>
            <w:r w:rsidRPr="00031638">
              <w:rPr>
                <w:b/>
                <w:bCs/>
              </w:rPr>
              <w:t>% van  maximaal te behalen punten</w:t>
            </w:r>
          </w:p>
        </w:tc>
        <w:tc>
          <w:tcPr>
            <w:tcW w:w="6373" w:type="dxa"/>
            <w:shd w:val="clear" w:color="auto" w:fill="E7E6E6" w:themeFill="background2"/>
          </w:tcPr>
          <w:p w14:paraId="0E6A6607" w14:textId="77777777" w:rsidR="00522D48" w:rsidRPr="00031638" w:rsidRDefault="00522D48" w:rsidP="007C3BA8">
            <w:pPr>
              <w:rPr>
                <w:b/>
                <w:bCs/>
              </w:rPr>
            </w:pPr>
            <w:r w:rsidRPr="00031638">
              <w:rPr>
                <w:b/>
                <w:bCs/>
              </w:rPr>
              <w:t>Omschrijving</w:t>
            </w:r>
          </w:p>
        </w:tc>
      </w:tr>
      <w:tr w:rsidR="00522D48" w14:paraId="4EF606EA" w14:textId="77777777" w:rsidTr="007C3BA8">
        <w:tc>
          <w:tcPr>
            <w:tcW w:w="2689" w:type="dxa"/>
          </w:tcPr>
          <w:p w14:paraId="74E56AA5" w14:textId="77777777" w:rsidR="00522D48" w:rsidRPr="00031638" w:rsidRDefault="00522D48" w:rsidP="007C3BA8">
            <w:pPr>
              <w:jc w:val="center"/>
            </w:pPr>
            <w:r w:rsidRPr="00031638">
              <w:t>0%</w:t>
            </w:r>
          </w:p>
        </w:tc>
        <w:tc>
          <w:tcPr>
            <w:tcW w:w="6373" w:type="dxa"/>
          </w:tcPr>
          <w:p w14:paraId="20393D6B" w14:textId="77777777" w:rsidR="00522D48" w:rsidRPr="00031638" w:rsidRDefault="00522D48" w:rsidP="007C3BA8">
            <w:r w:rsidRPr="00031638">
              <w:t>De uitwerking is onvoldoende.</w:t>
            </w:r>
          </w:p>
        </w:tc>
      </w:tr>
      <w:tr w:rsidR="00522D48" w14:paraId="760F992D" w14:textId="77777777" w:rsidTr="007C3BA8">
        <w:tc>
          <w:tcPr>
            <w:tcW w:w="2689" w:type="dxa"/>
          </w:tcPr>
          <w:p w14:paraId="4F741F11" w14:textId="77777777" w:rsidR="00522D48" w:rsidRPr="00031638" w:rsidRDefault="00522D48" w:rsidP="007C3BA8">
            <w:pPr>
              <w:jc w:val="center"/>
            </w:pPr>
            <w:r w:rsidRPr="00031638">
              <w:t>30%</w:t>
            </w:r>
          </w:p>
        </w:tc>
        <w:tc>
          <w:tcPr>
            <w:tcW w:w="6373" w:type="dxa"/>
          </w:tcPr>
          <w:p w14:paraId="34D8A3C5" w14:textId="77777777" w:rsidR="00522D48" w:rsidRPr="00031638" w:rsidRDefault="00522D48" w:rsidP="007C3BA8">
            <w:r w:rsidRPr="00031638">
              <w:t>De uitwerking is neutraal; het desbetreffende kwaliteitsonderdeel biedt geen meerwaarde ten opzichte van het gevraagde in de aanbestedingsdocumenten.</w:t>
            </w:r>
          </w:p>
        </w:tc>
      </w:tr>
      <w:tr w:rsidR="00522D48" w14:paraId="23BEE302" w14:textId="77777777" w:rsidTr="007C3BA8">
        <w:tc>
          <w:tcPr>
            <w:tcW w:w="2689" w:type="dxa"/>
          </w:tcPr>
          <w:p w14:paraId="4F7440AB" w14:textId="77777777" w:rsidR="00522D48" w:rsidRPr="00031638" w:rsidRDefault="00522D48" w:rsidP="007C3BA8">
            <w:pPr>
              <w:jc w:val="center"/>
            </w:pPr>
            <w:r w:rsidRPr="00031638">
              <w:t>60%</w:t>
            </w:r>
          </w:p>
        </w:tc>
        <w:tc>
          <w:tcPr>
            <w:tcW w:w="6373" w:type="dxa"/>
          </w:tcPr>
          <w:p w14:paraId="39E1BA8F" w14:textId="77777777" w:rsidR="00522D48" w:rsidRPr="00031638" w:rsidRDefault="00522D48" w:rsidP="007C3BA8">
            <w:r w:rsidRPr="00031638">
              <w:t>De uitwerking is goed; het desbetreffende kwaliteitsonderdeel biedt aanzienlijke meerwaarde ten opzichte van het gevraagde in de aanbestedingsdocumenten.</w:t>
            </w:r>
          </w:p>
        </w:tc>
      </w:tr>
      <w:tr w:rsidR="00522D48" w14:paraId="3235D57D" w14:textId="77777777" w:rsidTr="007C3BA8">
        <w:tc>
          <w:tcPr>
            <w:tcW w:w="2689" w:type="dxa"/>
          </w:tcPr>
          <w:p w14:paraId="6D177C25" w14:textId="77777777" w:rsidR="00522D48" w:rsidRPr="00031638" w:rsidRDefault="00522D48" w:rsidP="007C3BA8">
            <w:pPr>
              <w:jc w:val="center"/>
            </w:pPr>
            <w:r w:rsidRPr="00031638">
              <w:t>100%</w:t>
            </w:r>
          </w:p>
        </w:tc>
        <w:tc>
          <w:tcPr>
            <w:tcW w:w="6373" w:type="dxa"/>
          </w:tcPr>
          <w:p w14:paraId="39028F07" w14:textId="77777777" w:rsidR="00522D48" w:rsidRPr="00031638" w:rsidRDefault="00522D48" w:rsidP="007C3BA8">
            <w:pPr>
              <w:pBdr>
                <w:top w:val="nil"/>
                <w:left w:val="nil"/>
                <w:bottom w:val="nil"/>
                <w:right w:val="nil"/>
                <w:between w:val="nil"/>
              </w:pBdr>
            </w:pPr>
            <w:r w:rsidRPr="00031638">
              <w:t>De uitwerking is uitstekend; het desbetreffende kwaliteitsonderdeel biedt de maximaal denkbare meerwaarde ten opzichte van het gevraagde in de aanbestedingsdocumenten.</w:t>
            </w:r>
          </w:p>
        </w:tc>
      </w:tr>
    </w:tbl>
    <w:p w14:paraId="564BDCFF" w14:textId="77777777" w:rsidR="00522D48" w:rsidRPr="00365C4B" w:rsidRDefault="00522D48" w:rsidP="00522D48">
      <w:pPr>
        <w:pBdr>
          <w:top w:val="nil"/>
          <w:left w:val="nil"/>
          <w:bottom w:val="nil"/>
          <w:right w:val="nil"/>
          <w:between w:val="nil"/>
        </w:pBdr>
        <w:rPr>
          <w:rFonts w:ascii="Calibri" w:eastAsia="Arial" w:hAnsi="Calibri" w:cs="Calibri"/>
          <w:sz w:val="22"/>
          <w:szCs w:val="22"/>
        </w:rPr>
      </w:pPr>
    </w:p>
    <w:p w14:paraId="376A1281" w14:textId="2CDDCD09" w:rsidR="00522D48" w:rsidRPr="00E758E1" w:rsidRDefault="00E758E1" w:rsidP="00E758E1">
      <w:pPr>
        <w:pBdr>
          <w:top w:val="nil"/>
          <w:left w:val="nil"/>
          <w:bottom w:val="nil"/>
          <w:right w:val="nil"/>
          <w:between w:val="nil"/>
        </w:pBdr>
      </w:pPr>
      <w:r>
        <w:t>De aanbestedende dienst</w:t>
      </w:r>
      <w:r w:rsidR="00522D48" w:rsidRPr="00E758E1">
        <w:t xml:space="preserve"> beoordeelt een inschrijving hoger als deze:</w:t>
      </w:r>
    </w:p>
    <w:p w14:paraId="7B54BFF8" w14:textId="77777777" w:rsidR="00522D48" w:rsidRPr="00E758E1" w:rsidRDefault="00522D48" w:rsidP="00E758E1">
      <w:pPr>
        <w:pStyle w:val="Geenafstand"/>
      </w:pPr>
      <w:r w:rsidRPr="00E758E1">
        <w:t>− Concreter onderbouwd en uitgelegd is;</w:t>
      </w:r>
    </w:p>
    <w:p w14:paraId="7D557684" w14:textId="77777777" w:rsidR="00522D48" w:rsidRPr="00E758E1" w:rsidRDefault="00522D48" w:rsidP="00E758E1">
      <w:pPr>
        <w:pStyle w:val="Geenafstand"/>
      </w:pPr>
      <w:r w:rsidRPr="00E758E1">
        <w:t>− Realistischer en duidelijker is;</w:t>
      </w:r>
    </w:p>
    <w:p w14:paraId="52B095AC" w14:textId="77777777" w:rsidR="00522D48" w:rsidRPr="00E758E1" w:rsidRDefault="00522D48" w:rsidP="00E758E1">
      <w:pPr>
        <w:pStyle w:val="Geenafstand"/>
      </w:pPr>
      <w:r w:rsidRPr="00E758E1">
        <w:t>− SMART geformuleerd is;</w:t>
      </w:r>
    </w:p>
    <w:p w14:paraId="5B6ABABA" w14:textId="77777777" w:rsidR="00522D48" w:rsidRPr="00E758E1" w:rsidRDefault="00522D48" w:rsidP="00E758E1">
      <w:pPr>
        <w:pStyle w:val="Geenafstand"/>
      </w:pPr>
      <w:r w:rsidRPr="00E758E1">
        <w:t>− Meer blijk geeft van een proactieve, oplossingsgerichte, planmatige aanpak.</w:t>
      </w:r>
    </w:p>
    <w:p w14:paraId="288A6A35" w14:textId="77777777" w:rsidR="00522D48" w:rsidRDefault="00522D48" w:rsidP="00522D48">
      <w:pPr>
        <w:pBdr>
          <w:top w:val="nil"/>
          <w:left w:val="nil"/>
          <w:bottom w:val="nil"/>
          <w:right w:val="nil"/>
          <w:between w:val="nil"/>
        </w:pBdr>
      </w:pPr>
    </w:p>
    <w:p w14:paraId="611937A9" w14:textId="77777777" w:rsidR="00522D48" w:rsidRPr="0028413B" w:rsidRDefault="00522D48" w:rsidP="00522D48">
      <w:pPr>
        <w:pBdr>
          <w:top w:val="nil"/>
          <w:left w:val="nil"/>
          <w:bottom w:val="nil"/>
          <w:right w:val="nil"/>
          <w:between w:val="nil"/>
        </w:pBdr>
      </w:pPr>
      <w:r w:rsidRPr="0028413B">
        <w:t>Voorbeeld berekening:</w:t>
      </w:r>
    </w:p>
    <w:p w14:paraId="1F794861" w14:textId="25424819" w:rsidR="00522D48" w:rsidRPr="0028413B" w:rsidRDefault="00522D48" w:rsidP="00522D48">
      <w:r w:rsidRPr="0028413B">
        <w:t xml:space="preserve">De inschrijver scoort “60%” op Kwaliteitscriterium Plan van Aanpak criterium 1. Uitvoering van de opdracht. Het aantal maximaal te behalen punten op dit onderdeel is </w:t>
      </w:r>
      <w:r w:rsidR="00A167BA">
        <w:t>40</w:t>
      </w:r>
      <w:r w:rsidRPr="0028413B">
        <w:t xml:space="preserve"> punten. Voor dit onderdeel ontvangt de inschrijver </w:t>
      </w:r>
      <w:r w:rsidR="00A167BA">
        <w:t>40</w:t>
      </w:r>
      <w:r w:rsidRPr="0028413B">
        <w:t xml:space="preserve"> punten x 60% = </w:t>
      </w:r>
      <w:r w:rsidR="00E14AD5">
        <w:t>24</w:t>
      </w:r>
      <w:r w:rsidRPr="0028413B">
        <w:t xml:space="preserve"> punten. Afronding van het aantal punten vindt plaats op 1 decimaal. Vervolgens worden alle punten behaald bij onderdeel 1 t/m </w:t>
      </w:r>
      <w:r w:rsidR="00014A5B">
        <w:t>4</w:t>
      </w:r>
      <w:r w:rsidRPr="0028413B">
        <w:t xml:space="preserve"> bij elkaar opgeteld. Deze optelling betreft de eindscore van de inschrijver.</w:t>
      </w:r>
    </w:p>
    <w:p w14:paraId="0ADA7FFE" w14:textId="6DC72A6C" w:rsidR="00522D48" w:rsidRPr="0028413B" w:rsidRDefault="00522D48" w:rsidP="00522D48">
      <w:pPr>
        <w:pBdr>
          <w:top w:val="nil"/>
          <w:left w:val="nil"/>
          <w:bottom w:val="nil"/>
          <w:right w:val="nil"/>
          <w:between w:val="nil"/>
        </w:pBdr>
      </w:pPr>
      <w:r w:rsidRPr="0028413B">
        <w:lastRenderedPageBreak/>
        <w:t xml:space="preserve">Voor de opdracht worden maximaal </w:t>
      </w:r>
      <w:r w:rsidR="001A31F5">
        <w:t>8</w:t>
      </w:r>
      <w:r w:rsidRPr="0028413B">
        <w:t xml:space="preserve"> partijen gecontracteerd. De </w:t>
      </w:r>
      <w:r w:rsidR="001A31F5">
        <w:t>acht</w:t>
      </w:r>
      <w:r w:rsidRPr="0028413B">
        <w:t xml:space="preserve"> inschrijvingen met de hoogste totale eindscore zijn de </w:t>
      </w:r>
      <w:r w:rsidR="001A31F5">
        <w:t>acht</w:t>
      </w:r>
      <w:r w:rsidRPr="0028413B">
        <w:t xml:space="preserve"> winnende inschrijvingen. </w:t>
      </w:r>
    </w:p>
    <w:p w14:paraId="7B6CE313" w14:textId="77777777" w:rsidR="00522D48" w:rsidRPr="0028413B" w:rsidRDefault="00522D48" w:rsidP="00522D48">
      <w:r w:rsidRPr="0028413B">
        <w:t xml:space="preserve">Wanneer partijen gelijk scoren: Bij een gelijke totale score prevaleert de inschrijving met de kwalitatief hogere score op het criteria 1: Uitvoering van de opdracht. </w:t>
      </w:r>
    </w:p>
    <w:p w14:paraId="1B504BC3" w14:textId="77777777" w:rsidR="00522D48" w:rsidRPr="0028413B" w:rsidRDefault="00522D48" w:rsidP="00522D48">
      <w:r w:rsidRPr="0028413B">
        <w:t xml:space="preserve">Indien dit ook gelijk is, prevaleert de inschrijving met de kwalitatief hogere score op criteria 2: Cliëntperspectief. Indien dit ook gelijk is, dan zal door loting worden bepaald aan welke inschrijver uiteindelijk voorlopig gegund wordt. </w:t>
      </w:r>
    </w:p>
    <w:p w14:paraId="623B4349" w14:textId="65FFE7C6" w:rsidR="00522D48" w:rsidRPr="0028413B" w:rsidRDefault="00522D48" w:rsidP="00522D48">
      <w:pPr>
        <w:pBdr>
          <w:top w:val="nil"/>
          <w:left w:val="nil"/>
          <w:bottom w:val="nil"/>
          <w:right w:val="nil"/>
          <w:between w:val="nil"/>
        </w:pBdr>
      </w:pPr>
    </w:p>
    <w:p w14:paraId="795A9C0E" w14:textId="77777777" w:rsidR="00F33285" w:rsidRDefault="00F33285">
      <w:pPr>
        <w:spacing w:after="0"/>
      </w:pPr>
      <w:r>
        <w:br w:type="page"/>
      </w:r>
    </w:p>
    <w:p w14:paraId="701D2973" w14:textId="476B459E" w:rsidR="00BD36DC" w:rsidRDefault="00BD36DC" w:rsidP="00F33285">
      <w:pPr>
        <w:pStyle w:val="Kop1"/>
      </w:pPr>
      <w:bookmarkStart w:id="29" w:name="_Toc216957412"/>
      <w:r>
        <w:lastRenderedPageBreak/>
        <w:t>5.</w:t>
      </w:r>
      <w:r>
        <w:tab/>
        <w:t>Procedure voor deelneming en/of inschrijving en beoordeling</w:t>
      </w:r>
      <w:bookmarkEnd w:id="29"/>
    </w:p>
    <w:p w14:paraId="16EC1101" w14:textId="77777777" w:rsidR="00BD36DC" w:rsidRDefault="00BD36DC" w:rsidP="00F33285">
      <w:pPr>
        <w:pStyle w:val="Kop2"/>
      </w:pPr>
      <w:bookmarkStart w:id="30" w:name="_Toc216957413"/>
      <w:r>
        <w:t>5.1</w:t>
      </w:r>
      <w:r>
        <w:tab/>
        <w:t>Procedure</w:t>
      </w:r>
      <w:bookmarkEnd w:id="30"/>
    </w:p>
    <w:p w14:paraId="1D685A1D" w14:textId="272A5E26" w:rsidR="00BD36DC" w:rsidRPr="007003B7" w:rsidRDefault="00BD36DC" w:rsidP="00BD36DC">
      <w:r>
        <w:t xml:space="preserve">In het kader van de </w:t>
      </w:r>
      <w:proofErr w:type="spellStart"/>
      <w:r>
        <w:t>Wmo</w:t>
      </w:r>
      <w:proofErr w:type="spellEnd"/>
      <w:r>
        <w:t xml:space="preserve"> 2015 koopt de gemeente maatschappelijke ondersteuning in op de markt. De gemeente organiseert daarvoor deze aanbestedingsprocedure, een procedure voor sociale en andere specifieke </w:t>
      </w:r>
      <w:r w:rsidRPr="007003B7">
        <w:t>diensten (artikel 2.38 Aanbestedingswet 2012).</w:t>
      </w:r>
    </w:p>
    <w:p w14:paraId="43C29895" w14:textId="6649E863" w:rsidR="00BD36DC" w:rsidRPr="007003B7" w:rsidRDefault="00BD36DC" w:rsidP="00AC7F67">
      <w:pPr>
        <w:spacing w:after="0"/>
      </w:pPr>
      <w:r w:rsidRPr="007003B7">
        <w:t xml:space="preserve">De inkopende organisatie sluit een overeenkomst met </w:t>
      </w:r>
      <w:r w:rsidR="007003B7" w:rsidRPr="007003B7">
        <w:t>8</w:t>
      </w:r>
      <w:r w:rsidRPr="007003B7">
        <w:t xml:space="preserve"> potentiële opdrachtneme</w:t>
      </w:r>
      <w:r w:rsidR="007003B7" w:rsidRPr="007003B7">
        <w:t>rs</w:t>
      </w:r>
      <w:r w:rsidRPr="007003B7">
        <w:t xml:space="preserve"> die:</w:t>
      </w:r>
    </w:p>
    <w:p w14:paraId="1B6471CF" w14:textId="7D54B332" w:rsidR="00BD36DC" w:rsidRPr="007003B7" w:rsidRDefault="00BD36DC" w:rsidP="00AC7F67">
      <w:pPr>
        <w:pStyle w:val="Lijstalinea"/>
        <w:numPr>
          <w:ilvl w:val="0"/>
          <w:numId w:val="5"/>
        </w:numPr>
      </w:pPr>
      <w:r w:rsidRPr="007003B7">
        <w:t>voldoen aan de procedurevoorschriften;</w:t>
      </w:r>
    </w:p>
    <w:p w14:paraId="776ED854" w14:textId="55BFF008" w:rsidR="00BD36DC" w:rsidRPr="007003B7" w:rsidRDefault="00BD36DC" w:rsidP="00AC7F67">
      <w:pPr>
        <w:pStyle w:val="Lijstalinea"/>
        <w:numPr>
          <w:ilvl w:val="0"/>
          <w:numId w:val="5"/>
        </w:numPr>
      </w:pPr>
      <w:r w:rsidRPr="007003B7">
        <w:t>geen uitsluitingsgrond hebben;</w:t>
      </w:r>
    </w:p>
    <w:p w14:paraId="726E0F51" w14:textId="2DE5036C" w:rsidR="00BD36DC" w:rsidRPr="007003B7" w:rsidRDefault="00BD36DC" w:rsidP="00AC7F67">
      <w:pPr>
        <w:pStyle w:val="Lijstalinea"/>
        <w:numPr>
          <w:ilvl w:val="0"/>
          <w:numId w:val="5"/>
        </w:numPr>
      </w:pPr>
      <w:r w:rsidRPr="007003B7">
        <w:t>voldoen aan elke geschiktheidseis;</w:t>
      </w:r>
    </w:p>
    <w:p w14:paraId="034E798F" w14:textId="75BC73C2" w:rsidR="00BD36DC" w:rsidRDefault="00BD36DC" w:rsidP="00AC7F67">
      <w:pPr>
        <w:pStyle w:val="Lijstalinea"/>
        <w:numPr>
          <w:ilvl w:val="0"/>
          <w:numId w:val="5"/>
        </w:numPr>
      </w:pPr>
      <w:r>
        <w:t>akkoord gaan met de uitvoeringseisen;</w:t>
      </w:r>
    </w:p>
    <w:p w14:paraId="749A2269" w14:textId="1F07E7EA" w:rsidR="00BD36DC" w:rsidRDefault="00BD36DC" w:rsidP="00AC7F67">
      <w:pPr>
        <w:pStyle w:val="Lijstalinea"/>
        <w:numPr>
          <w:ilvl w:val="0"/>
          <w:numId w:val="5"/>
        </w:numPr>
      </w:pPr>
      <w:r>
        <w:t>voldoende punten scoren op de gunningscriteria.</w:t>
      </w:r>
    </w:p>
    <w:p w14:paraId="788128F0" w14:textId="77777777" w:rsidR="00BD36DC" w:rsidRDefault="00BD36DC" w:rsidP="00F33285">
      <w:pPr>
        <w:pStyle w:val="Kop2"/>
      </w:pPr>
      <w:bookmarkStart w:id="31" w:name="_Toc216957414"/>
      <w:r>
        <w:t>5.2</w:t>
      </w:r>
      <w:r>
        <w:tab/>
        <w:t>Procedurevoorschriften</w:t>
      </w:r>
      <w:bookmarkEnd w:id="31"/>
    </w:p>
    <w:p w14:paraId="7A8B55CF" w14:textId="26E3924E" w:rsidR="006C2A07" w:rsidRPr="006C2A07" w:rsidRDefault="006C2A07" w:rsidP="00944896">
      <w:r w:rsidRPr="006C2A07">
        <w:t xml:space="preserve">Om in te schrijven op de aanbestedingsprocedure moet de potentiële aanbieder de navolgende procedurevoorschriften in acht nemen. Doet de potentiële aanbieder dit niet, dan legt de gemeente de inschrijving terzijde. </w:t>
      </w:r>
    </w:p>
    <w:p w14:paraId="4E67D4B8" w14:textId="77777777" w:rsidR="006C2A07" w:rsidRPr="006C2A07" w:rsidRDefault="006C2A07" w:rsidP="006C2A07">
      <w:pPr>
        <w:pStyle w:val="Lijstalinea"/>
        <w:ind w:left="993"/>
      </w:pPr>
    </w:p>
    <w:p w14:paraId="00586DB1" w14:textId="77777777" w:rsidR="006C2A07" w:rsidRDefault="006C2A07" w:rsidP="006C2A07">
      <w:pPr>
        <w:pStyle w:val="Lijstalinea"/>
        <w:ind w:left="993"/>
      </w:pPr>
      <w:r w:rsidRPr="006C2A07">
        <w:t>1.</w:t>
      </w:r>
      <w:r w:rsidRPr="006C2A07">
        <w:tab/>
        <w:t xml:space="preserve">De inschrijving is op de juiste wijze ingediend. Dat wil zeggen via het voorgeschreven elektronisch aanbestedingsplatform en niet op een andere wijze (mail, post, fax, et cetera). NB. De potentiële aanbieder is zelf verantwoordelijk voor het tijdig, juist en volledig indienen van de inschrijving. Het is niet mogelijk na het hierna vermelde tijdstip een inschrijving in te dienen, omdat de digitale kluis in het aanbestedingsplatform dan niet meer toegankelijk is. De gemeente adviseert u om tijdig documenten in te dienen en dus niet te wachten tot een half uur voor het sluiten van de digitale kluis. Technische problemen zoals het uitvallen van een internetverbinding of een storing van </w:t>
      </w:r>
      <w:proofErr w:type="spellStart"/>
      <w:r w:rsidRPr="006C2A07">
        <w:t>TenderNed</w:t>
      </w:r>
      <w:proofErr w:type="spellEnd"/>
      <w:r w:rsidRPr="006C2A07">
        <w:t xml:space="preserve"> vallen onder het risico van de potentiële aanbieder. Indien storingen zich voordoen dient de potentiële aanbieder dit tijdig te melden bij het aanbestedingsplatform en de contactpersoon van de aanbesteding. De gemeente zal op dat moment overwegen of en welke maatregelen zij moet nemen.</w:t>
      </w:r>
    </w:p>
    <w:p w14:paraId="43928D46" w14:textId="77777777" w:rsidR="00944896" w:rsidRPr="006C2A07" w:rsidRDefault="00944896" w:rsidP="006C2A07">
      <w:pPr>
        <w:pStyle w:val="Lijstalinea"/>
        <w:ind w:left="993"/>
      </w:pPr>
    </w:p>
    <w:p w14:paraId="6874EA9F" w14:textId="7151C97E" w:rsidR="00944896" w:rsidRDefault="006C2A07" w:rsidP="006C2A07">
      <w:pPr>
        <w:pStyle w:val="Lijstalinea"/>
        <w:ind w:left="993"/>
      </w:pPr>
      <w:r w:rsidRPr="006C2A07">
        <w:t>2.</w:t>
      </w:r>
      <w:r w:rsidRPr="006C2A07">
        <w:tab/>
        <w:t xml:space="preserve">De inschrijving is volledig en correct ingediend. Dat wil zeggen dat alle in dit inkoopdocument voorgeschreven documenten en bewijsstukken op de juiste wijze zijn ingediend. Een checklist is opgenomen in </w:t>
      </w:r>
      <w:r w:rsidR="00E60AB1">
        <w:t>bijlage 1.</w:t>
      </w:r>
    </w:p>
    <w:p w14:paraId="01D1A1B1" w14:textId="77777777" w:rsidR="00E60AB1" w:rsidRPr="006C2A07" w:rsidRDefault="00E60AB1" w:rsidP="006C2A07">
      <w:pPr>
        <w:pStyle w:val="Lijstalinea"/>
        <w:ind w:left="993"/>
      </w:pPr>
    </w:p>
    <w:p w14:paraId="2906ADA7" w14:textId="46A5E78D" w:rsidR="006C2A07" w:rsidRPr="006C2A07" w:rsidRDefault="006C2A07" w:rsidP="006C2A07">
      <w:pPr>
        <w:pStyle w:val="Lijstalinea"/>
        <w:ind w:left="993"/>
      </w:pPr>
      <w:r w:rsidRPr="006C2A07">
        <w:t>3.</w:t>
      </w:r>
      <w:r w:rsidRPr="006C2A07">
        <w:tab/>
        <w:t xml:space="preserve">De inschrijving is tijdig ingediend. Tijdig houdt in tussen de publicatiedatum van de aanbestedingsprocedure en </w:t>
      </w:r>
      <w:r w:rsidRPr="006C2A07">
        <w:rPr>
          <w:b/>
          <w:bCs/>
        </w:rPr>
        <w:t xml:space="preserve">uiterlijk </w:t>
      </w:r>
      <w:r w:rsidR="00944896" w:rsidRPr="00944896">
        <w:rPr>
          <w:b/>
          <w:bCs/>
        </w:rPr>
        <w:t>05-02-2026 om 10:00</w:t>
      </w:r>
      <w:r w:rsidRPr="006C2A07">
        <w:rPr>
          <w:b/>
          <w:bCs/>
        </w:rPr>
        <w:t>uur.</w:t>
      </w:r>
    </w:p>
    <w:p w14:paraId="3020DE1A" w14:textId="77777777" w:rsidR="006C2A07" w:rsidRDefault="006C2A07" w:rsidP="00462671">
      <w:pPr>
        <w:pStyle w:val="Lijstalinea"/>
        <w:ind w:left="993"/>
      </w:pPr>
    </w:p>
    <w:p w14:paraId="077973E1" w14:textId="05298956" w:rsidR="00BD36DC" w:rsidRDefault="00BD36DC" w:rsidP="0065112C">
      <w:pPr>
        <w:pStyle w:val="Kop2"/>
      </w:pPr>
      <w:bookmarkStart w:id="32" w:name="_Toc216957415"/>
      <w:r>
        <w:t>5.3</w:t>
      </w:r>
      <w:r>
        <w:tab/>
        <w:t>Beoordeling van inschrijvingen</w:t>
      </w:r>
      <w:bookmarkEnd w:id="32"/>
      <w:r>
        <w:t xml:space="preserve"> </w:t>
      </w:r>
    </w:p>
    <w:p w14:paraId="34476B2E" w14:textId="72B87FD3" w:rsidR="00BD36DC" w:rsidRDefault="00BD36DC" w:rsidP="00BD36DC">
      <w:r>
        <w:t xml:space="preserve">De </w:t>
      </w:r>
      <w:r w:rsidR="00F27DBA">
        <w:t>aanbestedende dienst</w:t>
      </w:r>
      <w:r>
        <w:t xml:space="preserve"> beoordeelt alleen inschrijvingen die op tijd, volledig en correct zijn ingediend.</w:t>
      </w:r>
    </w:p>
    <w:p w14:paraId="2095E16A" w14:textId="77777777" w:rsidR="00F27DBA" w:rsidRDefault="00F27DBA" w:rsidP="00BD36DC"/>
    <w:p w14:paraId="28DD9356" w14:textId="5E3D75C4" w:rsidR="003401F8" w:rsidRPr="003401F8" w:rsidRDefault="003401F8" w:rsidP="003401F8">
      <w:r>
        <w:lastRenderedPageBreak/>
        <w:t>D</w:t>
      </w:r>
      <w:r w:rsidRPr="003401F8">
        <w:t xml:space="preserve">e inschrijving moet volledig en geldig zijn. De </w:t>
      </w:r>
      <w:r>
        <w:t>aanbestedende dienst</w:t>
      </w:r>
      <w:r w:rsidRPr="003401F8">
        <w:t xml:space="preserve"> kan een onvolledig</w:t>
      </w:r>
      <w:r>
        <w:t xml:space="preserve">e </w:t>
      </w:r>
      <w:r w:rsidRPr="003401F8">
        <w:t xml:space="preserve">inschrijving uitsluiten van de verdere beoordelingsprocedure, tenzij de </w:t>
      </w:r>
      <w:r>
        <w:t>aanbestedende dienst</w:t>
      </w:r>
      <w:r w:rsidRPr="003401F8">
        <w:t xml:space="preserve"> het ontbreken van bepaalde informatie als een kennelijke omissie aanmerkt. </w:t>
      </w:r>
    </w:p>
    <w:p w14:paraId="576A110C" w14:textId="77777777" w:rsidR="003401F8" w:rsidRPr="003401F8" w:rsidRDefault="003401F8" w:rsidP="003401F8"/>
    <w:p w14:paraId="1B1CEC27" w14:textId="508BE88D" w:rsidR="003401F8" w:rsidRDefault="003401F8" w:rsidP="003401F8">
      <w:r w:rsidRPr="003401F8">
        <w:t xml:space="preserve">Geldig betekent daarnaast dat alle stukken rechtsgeldig zijn en ondertekend door een bevoegde functionaris conform het handelsregister. Hiertoe dient een </w:t>
      </w:r>
      <w:proofErr w:type="spellStart"/>
      <w:r w:rsidRPr="003401F8">
        <w:t>hardcopy</w:t>
      </w:r>
      <w:proofErr w:type="spellEnd"/>
      <w:r w:rsidRPr="003401F8">
        <w:t xml:space="preserve"> van</w:t>
      </w:r>
      <w:r w:rsidR="00F63E4A">
        <w:t xml:space="preserve"> de </w:t>
      </w:r>
      <w:r w:rsidRPr="003401F8">
        <w:t xml:space="preserve">inschrijving met een zogenaamde “natte” handtekening ondertekend te zijn. Voor het verzoek tot deelneming en/of de inschrijving volstaat een digitale scan van deze </w:t>
      </w:r>
      <w:proofErr w:type="spellStart"/>
      <w:r w:rsidRPr="003401F8">
        <w:t>hardcopy</w:t>
      </w:r>
      <w:proofErr w:type="spellEnd"/>
      <w:r w:rsidRPr="003401F8">
        <w:t xml:space="preserve">. De </w:t>
      </w:r>
      <w:proofErr w:type="spellStart"/>
      <w:r w:rsidRPr="003401F8">
        <w:t>hardcopy</w:t>
      </w:r>
      <w:proofErr w:type="spellEnd"/>
      <w:r w:rsidRPr="003401F8">
        <w:t xml:space="preserve"> dient als bewijsmiddel en is opvraagbaar en dient tijdens de verificatie </w:t>
      </w:r>
      <w:proofErr w:type="spellStart"/>
      <w:r w:rsidRPr="003401F8">
        <w:t>overlegbaar</w:t>
      </w:r>
      <w:proofErr w:type="spellEnd"/>
      <w:r w:rsidRPr="003401F8">
        <w:t xml:space="preserve"> te zijn. Mocht de potentiële aanbieder beschikken over software om rechtmatig te kunnen ondertekenen, dan is digitaal ondertekenen toegestaan.</w:t>
      </w:r>
    </w:p>
    <w:p w14:paraId="3857DAD5" w14:textId="77777777" w:rsidR="004D1C8D" w:rsidRDefault="004D1C8D" w:rsidP="003401F8"/>
    <w:p w14:paraId="48299496" w14:textId="51FC2016" w:rsidR="00B362CE" w:rsidRPr="004622B4" w:rsidRDefault="00B362CE" w:rsidP="004622B4">
      <w:pPr>
        <w:pStyle w:val="Geenafstand"/>
        <w:rPr>
          <w:i/>
          <w:iCs/>
        </w:rPr>
      </w:pPr>
      <w:bookmarkStart w:id="33" w:name="_Toc165276591"/>
      <w:bookmarkStart w:id="34" w:name="_Toc174715446"/>
      <w:bookmarkStart w:id="35" w:name="_Toc183771677"/>
      <w:r w:rsidRPr="004622B4">
        <w:rPr>
          <w:i/>
          <w:iCs/>
        </w:rPr>
        <w:t>Stap 1: Controle op uitsluitingsgronden</w:t>
      </w:r>
      <w:bookmarkEnd w:id="33"/>
      <w:bookmarkEnd w:id="34"/>
      <w:bookmarkEnd w:id="35"/>
    </w:p>
    <w:p w14:paraId="7C394795" w14:textId="04871CB4" w:rsidR="00B362CE" w:rsidRPr="00B362CE" w:rsidRDefault="00B362CE" w:rsidP="00B362CE">
      <w:r w:rsidRPr="00B362CE">
        <w:t>De gemeente controleert of géén van de uitsluitingsgronden beschreven in paragraaf 3.3 van toepassing zijn op de potentiële aanbieder. Als uitsluitingsgronden niet van toepassing zijn, volgt stap 2 in de beoordeling.</w:t>
      </w:r>
    </w:p>
    <w:p w14:paraId="3C7C19A3" w14:textId="77777777" w:rsidR="00B362CE" w:rsidRPr="00B362CE" w:rsidRDefault="00B362CE" w:rsidP="00B362CE"/>
    <w:p w14:paraId="7FF05B73" w14:textId="0CE0B9D5" w:rsidR="00B362CE" w:rsidRDefault="00B362CE" w:rsidP="00B362CE">
      <w:r w:rsidRPr="00B362CE">
        <w:t xml:space="preserve">Als één of meer uitsluitingsgronden van toepassing zijn, of als de geleverde bewijsstukken niet aantonen dat de uitsluitingsgronden </w:t>
      </w:r>
      <w:r w:rsidRPr="00B362CE">
        <w:rPr>
          <w:u w:val="single"/>
        </w:rPr>
        <w:t>niet</w:t>
      </w:r>
      <w:r w:rsidRPr="00B362CE">
        <w:t xml:space="preserve"> van toepassing zijn, dan legt de gemeente</w:t>
      </w:r>
      <w:r w:rsidR="00336853">
        <w:t xml:space="preserve"> de</w:t>
      </w:r>
      <w:r w:rsidRPr="00B362CE">
        <w:t xml:space="preserve"> inschrijving terzijde. Tegen het besluit tot voorgenomen afwijzing staat vervolgens een rechtsgang open volgens paragraaf 5.8.2.</w:t>
      </w:r>
    </w:p>
    <w:p w14:paraId="67661DDB" w14:textId="77777777" w:rsidR="004D1C8D" w:rsidRDefault="004D1C8D" w:rsidP="00B362CE"/>
    <w:p w14:paraId="5E7025DC" w14:textId="0D20266A" w:rsidR="00BD284E" w:rsidRPr="004622B4" w:rsidRDefault="00BD284E" w:rsidP="004622B4">
      <w:pPr>
        <w:pStyle w:val="Geenafstand"/>
        <w:rPr>
          <w:i/>
          <w:iCs/>
        </w:rPr>
      </w:pPr>
      <w:r w:rsidRPr="004622B4">
        <w:rPr>
          <w:i/>
          <w:iCs/>
        </w:rPr>
        <w:t>Stap 2: Controle op geschiktheidseisen</w:t>
      </w:r>
    </w:p>
    <w:p w14:paraId="492F98D7" w14:textId="290505E4" w:rsidR="00BD284E" w:rsidRPr="00BD284E" w:rsidRDefault="00BD284E" w:rsidP="00BD284E">
      <w:r w:rsidRPr="00BD284E">
        <w:t>De gemeente controleert of de potentiële aanbieder voldoet aan de geschiktheidseisen beschreven in paragraaf 3.4.</w:t>
      </w:r>
    </w:p>
    <w:p w14:paraId="2FB4B7AB" w14:textId="77777777" w:rsidR="00BD284E" w:rsidRPr="00BD284E" w:rsidRDefault="00BD284E" w:rsidP="00BD284E">
      <w:r w:rsidRPr="00BD284E">
        <w:t>Als de potentiële aanbieder voldoet aan deze geschiktheidseisen, dan volgt stap 3 in de beoordeling.</w:t>
      </w:r>
    </w:p>
    <w:p w14:paraId="17095414" w14:textId="266EE119" w:rsidR="00BD284E" w:rsidRDefault="00BD284E" w:rsidP="00BD284E">
      <w:r w:rsidRPr="00BD284E">
        <w:t xml:space="preserve">Als de potentiële aanbieder niet voldoet aan één of meer van de genoemde geschiktheidseisen, of als de geleverde bewijsstukken niet aantonen dat de potentiële aanbieder voldoet, dan legt de gemeente </w:t>
      </w:r>
      <w:r w:rsidR="00BF1914">
        <w:t xml:space="preserve">de </w:t>
      </w:r>
      <w:r w:rsidRPr="00BD284E">
        <w:t>inschrijving terzijde. Tegen het besluit tot voorgenomen afwijzing staat vervolgens een rechtsgang open volgens paragraaf 5.8.2.</w:t>
      </w:r>
    </w:p>
    <w:p w14:paraId="5A746E58" w14:textId="77777777" w:rsidR="004D1C8D" w:rsidRPr="00BD284E" w:rsidRDefault="004D1C8D" w:rsidP="00BD284E"/>
    <w:p w14:paraId="1AD70324" w14:textId="531D8E21" w:rsidR="005D419C" w:rsidRPr="004622B4" w:rsidRDefault="005D419C" w:rsidP="004622B4">
      <w:pPr>
        <w:pStyle w:val="Geenafstand"/>
        <w:rPr>
          <w:i/>
          <w:iCs/>
        </w:rPr>
      </w:pPr>
      <w:bookmarkStart w:id="36" w:name="_Toc150863981"/>
      <w:bookmarkStart w:id="37" w:name="_Toc163123576"/>
      <w:bookmarkStart w:id="38" w:name="_Toc165276593"/>
      <w:bookmarkStart w:id="39" w:name="_Toc174715448"/>
      <w:bookmarkStart w:id="40" w:name="_Toc183771679"/>
      <w:r w:rsidRPr="004622B4">
        <w:rPr>
          <w:i/>
          <w:iCs/>
        </w:rPr>
        <w:t>Stap 3: Controle op akkoord uitvoeringseisen</w:t>
      </w:r>
    </w:p>
    <w:bookmarkEnd w:id="36"/>
    <w:bookmarkEnd w:id="37"/>
    <w:bookmarkEnd w:id="38"/>
    <w:bookmarkEnd w:id="39"/>
    <w:bookmarkEnd w:id="40"/>
    <w:p w14:paraId="256753BA" w14:textId="77777777" w:rsidR="005D419C" w:rsidRPr="005D419C" w:rsidRDefault="005D419C" w:rsidP="005D419C">
      <w:r w:rsidRPr="005D419C">
        <w:t>De gemeente controleert of de potentiële aanbieder expliciet akkoord is gegaan met de uitvoeringseisen genoemd in de overeenkomst. Als de gemeente dat nodig acht, verifieert zij dat de potentiële aanbieder de uitvoeringseisen ook daadwerkelijk kan uitvoeren. De potentiële aanbieder biedt kosteloos zijn medewerking aan deze verificatie aan en accepteert, door deelname aan de aanbestedingsprocedure, deze bewijslast.</w:t>
      </w:r>
    </w:p>
    <w:p w14:paraId="476DB894" w14:textId="489F3E89" w:rsidR="005D419C" w:rsidRPr="005D419C" w:rsidRDefault="005D419C" w:rsidP="005D419C">
      <w:r w:rsidRPr="005D419C">
        <w:t xml:space="preserve">Als de potentiële aanbieder akkoord is gegaan en geen bezwaren blijken uit een mogelijke verificatie door de gemeente, dan volgt stap </w:t>
      </w:r>
      <w:r w:rsidR="005A5F30">
        <w:t>4</w:t>
      </w:r>
      <w:r w:rsidRPr="005D419C">
        <w:t xml:space="preserve"> in de beoordeling.</w:t>
      </w:r>
    </w:p>
    <w:p w14:paraId="43EB3FC2" w14:textId="1CD2C410" w:rsidR="005D419C" w:rsidRPr="005D419C" w:rsidRDefault="005D419C" w:rsidP="005D419C">
      <w:r w:rsidRPr="005D419C">
        <w:lastRenderedPageBreak/>
        <w:t>Als de potentiële aanbieder niet expliciet akkoord is gegaan met de in de overeenkomst genoemde uitvoeringseisen, of als uit een verificatie blijkt dat hij deze niet kan uitvoeren, dan legt de gemeente</w:t>
      </w:r>
      <w:r w:rsidR="005A5F30">
        <w:t xml:space="preserve"> de</w:t>
      </w:r>
      <w:r w:rsidRPr="005D419C">
        <w:t xml:space="preserve"> inschrijving terzijde.</w:t>
      </w:r>
    </w:p>
    <w:p w14:paraId="32F9D4B6" w14:textId="77777777" w:rsidR="005D419C" w:rsidRPr="005D419C" w:rsidRDefault="005D419C" w:rsidP="005D419C"/>
    <w:p w14:paraId="35621ECA" w14:textId="25FE1B9C" w:rsidR="005D419C" w:rsidRDefault="005D419C" w:rsidP="005D419C">
      <w:r w:rsidRPr="005D419C">
        <w:t>Tegen het besluit tot voorgenomen afwijzing staat vervolgens een rechtsgang open volgens paragraaf 5.8.2.</w:t>
      </w:r>
    </w:p>
    <w:p w14:paraId="74E39D71" w14:textId="77777777" w:rsidR="004D1C8D" w:rsidRPr="005D419C" w:rsidRDefault="004D1C8D" w:rsidP="005D419C"/>
    <w:p w14:paraId="6169E035" w14:textId="1BE2FC38" w:rsidR="005A5F30" w:rsidRPr="004622B4" w:rsidRDefault="005A5F30" w:rsidP="004622B4">
      <w:pPr>
        <w:pStyle w:val="Geenafstand"/>
        <w:rPr>
          <w:i/>
          <w:iCs/>
        </w:rPr>
      </w:pPr>
      <w:r w:rsidRPr="004622B4">
        <w:rPr>
          <w:i/>
          <w:iCs/>
        </w:rPr>
        <w:t>Stap 4: Beoordeling gunningscriteria</w:t>
      </w:r>
    </w:p>
    <w:p w14:paraId="12962499" w14:textId="0D158410" w:rsidR="009F1039" w:rsidRPr="009F1039" w:rsidRDefault="009F1039" w:rsidP="009F1039">
      <w:r w:rsidRPr="009F1039">
        <w:t xml:space="preserve">De gemeente beoordeelt de inschrijving op basis van de gunningscriteria in hoofdstuk 4. </w:t>
      </w:r>
    </w:p>
    <w:p w14:paraId="0DCCED15" w14:textId="5C0D81A0" w:rsidR="009F1039" w:rsidRPr="009F1039" w:rsidRDefault="009F1039" w:rsidP="009F1039">
      <w:r w:rsidRPr="009F1039">
        <w:t xml:space="preserve">De beoordelingscommissie van de gemeente beoordeelt de gunningscriteria aan de hand van opgevraagde documenten </w:t>
      </w:r>
      <w:r w:rsidR="00BD2974">
        <w:t xml:space="preserve">en de wijze zoals beschreven in hoofdstuk 4. </w:t>
      </w:r>
    </w:p>
    <w:p w14:paraId="3CBFB4CD" w14:textId="53B152AD" w:rsidR="009F1039" w:rsidRPr="009F1039" w:rsidRDefault="009F1039" w:rsidP="009F1039">
      <w:r w:rsidRPr="009F1039">
        <w:t>Als de potentiële aanbieder de economisch meest voordelige inschrijving heeft gedaan en geen bezwaren blijken uit een mogelijke verificatie door de gemeente, dan neemt de gemeente het besluit tot voornemen van het sluiten van een raa</w:t>
      </w:r>
      <w:r w:rsidR="00BD2974">
        <w:t>m</w:t>
      </w:r>
      <w:r w:rsidRPr="009F1039">
        <w:t>overeenkomst met de potentiële aanbieder</w:t>
      </w:r>
      <w:r w:rsidR="00BD2974">
        <w:t>s.</w:t>
      </w:r>
    </w:p>
    <w:p w14:paraId="2187F856" w14:textId="77777777" w:rsidR="009F1039" w:rsidRPr="009F1039" w:rsidRDefault="009F1039" w:rsidP="009F1039"/>
    <w:p w14:paraId="784EC93D" w14:textId="5AEB7A0A" w:rsidR="009F1039" w:rsidRPr="009F1039" w:rsidRDefault="009F1039" w:rsidP="009F1039">
      <w:r w:rsidRPr="009F1039">
        <w:t>Als de potentiële aanbieder de opdracht niet krijgt gegund, dan wijst de gemeente de inschrijving van de potentiële aanbieder af. Tegen het besluit tot voorgenomen afwijzing staat vervolgens een rechtsgang open volgens paragraaf 5.8.2.</w:t>
      </w:r>
    </w:p>
    <w:p w14:paraId="6E00D12C" w14:textId="12BF873A" w:rsidR="00BD36DC" w:rsidRDefault="00BD36DC" w:rsidP="0048515C">
      <w:pPr>
        <w:pStyle w:val="Kop3"/>
      </w:pPr>
      <w:bookmarkStart w:id="41" w:name="_Toc216957416"/>
      <w:r>
        <w:t>5.3.</w:t>
      </w:r>
      <w:r w:rsidR="003D0CEC">
        <w:t>1</w:t>
      </w:r>
      <w:r>
        <w:tab/>
        <w:t>Beoordelingscommissie</w:t>
      </w:r>
      <w:bookmarkEnd w:id="41"/>
    </w:p>
    <w:p w14:paraId="3F746E0D" w14:textId="77777777" w:rsidR="00BD36DC" w:rsidRDefault="00BD36DC" w:rsidP="00BD36DC">
      <w:r>
        <w:t>De inkopende organisatie stelt een beoordelingscommissie samen. Deze commissie voert alle stappen uit die hierboven zijn beschreven.</w:t>
      </w:r>
    </w:p>
    <w:p w14:paraId="2E8F639B" w14:textId="117AAAAB" w:rsidR="00E506BE" w:rsidRDefault="00BD36DC" w:rsidP="00A02823">
      <w:r>
        <w:t xml:space="preserve">De commissie bestaat uit mensen met kennis van de </w:t>
      </w:r>
      <w:proofErr w:type="spellStart"/>
      <w:r>
        <w:t>Wmo</w:t>
      </w:r>
      <w:proofErr w:type="spellEnd"/>
      <w:r>
        <w:t xml:space="preserve"> 2015, inkoop en bijbehorende regels.</w:t>
      </w:r>
      <w:r w:rsidR="0080731B">
        <w:t xml:space="preserve"> Zoals beschreven in hoofdstuk 4 be</w:t>
      </w:r>
      <w:r w:rsidR="0080731B" w:rsidRPr="00975379">
        <w:t xml:space="preserve">staat </w:t>
      </w:r>
      <w:r w:rsidR="0080731B">
        <w:t xml:space="preserve">het beoordelingsteam </w:t>
      </w:r>
      <w:r w:rsidR="0080731B" w:rsidRPr="00975379">
        <w:t xml:space="preserve">uit </w:t>
      </w:r>
      <w:r w:rsidR="0080731B">
        <w:t>3</w:t>
      </w:r>
      <w:r w:rsidR="0080731B" w:rsidRPr="00975379">
        <w:t xml:space="preserve"> personen, werkzaam bij de aanbestedende dienst</w:t>
      </w:r>
      <w:r w:rsidR="0080731B">
        <w:t>, waarbij er 1 afgevaardigde is per gemeente.</w:t>
      </w:r>
    </w:p>
    <w:p w14:paraId="36C64BF9" w14:textId="7833448B" w:rsidR="00BD36DC" w:rsidRDefault="00BD36DC" w:rsidP="0071487E">
      <w:pPr>
        <w:pStyle w:val="Kop3"/>
      </w:pPr>
      <w:bookmarkStart w:id="42" w:name="_Toc216957417"/>
      <w:r>
        <w:t>5.3.</w:t>
      </w:r>
      <w:r w:rsidR="00E3049D">
        <w:t>2</w:t>
      </w:r>
      <w:r>
        <w:tab/>
        <w:t>Planning</w:t>
      </w:r>
      <w:bookmarkEnd w:id="42"/>
    </w:p>
    <w:p w14:paraId="43D57D27" w14:textId="4938DA6F" w:rsidR="00E6139A" w:rsidRPr="00573D0A" w:rsidRDefault="00BD36DC" w:rsidP="00E6139A">
      <w:r>
        <w:t>De planning van deze aanbestedingsprocedure staat</w:t>
      </w:r>
      <w:r w:rsidR="003B6EB6">
        <w:t xml:space="preserve"> in onderstaande</w:t>
      </w:r>
      <w:r>
        <w:t xml:space="preserve"> </w:t>
      </w:r>
      <w:r w:rsidR="003B6EB6">
        <w:t xml:space="preserve">(ook terug te vinden </w:t>
      </w:r>
      <w:r>
        <w:t>op</w:t>
      </w:r>
      <w:r w:rsidR="006A0FBD">
        <w:t xml:space="preserve"> </w:t>
      </w:r>
      <w:proofErr w:type="spellStart"/>
      <w:r w:rsidR="006A0FBD">
        <w:t>TenderNed</w:t>
      </w:r>
      <w:proofErr w:type="spellEnd"/>
      <w:r w:rsidR="003B6EB6">
        <w:t>)</w:t>
      </w:r>
      <w:r>
        <w:t>.</w:t>
      </w:r>
      <w:r w:rsidR="00E6139A">
        <w:t xml:space="preserve"> </w:t>
      </w:r>
      <w:r w:rsidR="00E6139A" w:rsidRPr="00F538CD">
        <w:t>Let op: de planning kan nog veranderen. Potentiële opdrachtnemers kunnen hier geen rechten aan ontlenen</w:t>
      </w:r>
      <w:r w:rsidR="00E6139A">
        <w:t>.</w:t>
      </w:r>
    </w:p>
    <w:p w14:paraId="47811E1B" w14:textId="702F1888" w:rsidR="00BD36DC" w:rsidRDefault="00BD36DC" w:rsidP="00BD36DC"/>
    <w:p w14:paraId="6ADC838C" w14:textId="77777777" w:rsidR="00A32A3D" w:rsidRDefault="00A32A3D" w:rsidP="00BD36DC"/>
    <w:p w14:paraId="6E0B3507" w14:textId="77777777" w:rsidR="00A32A3D" w:rsidRDefault="00A32A3D" w:rsidP="00BD36DC"/>
    <w:p w14:paraId="09337747" w14:textId="77777777" w:rsidR="00A32A3D" w:rsidRDefault="00A32A3D" w:rsidP="00BD36DC"/>
    <w:p w14:paraId="6879443C" w14:textId="77777777" w:rsidR="00A32A3D" w:rsidRDefault="00A32A3D" w:rsidP="00BD36DC"/>
    <w:p w14:paraId="69CA2605" w14:textId="77777777" w:rsidR="00A32A3D" w:rsidRDefault="00A32A3D" w:rsidP="00BD36DC"/>
    <w:p w14:paraId="533D7C59" w14:textId="77777777" w:rsidR="00A32A3D" w:rsidRDefault="00A32A3D" w:rsidP="00BD36DC"/>
    <w:p w14:paraId="4A30594C" w14:textId="77777777" w:rsidR="00A32A3D" w:rsidRDefault="00A32A3D" w:rsidP="00BD36DC"/>
    <w:p w14:paraId="649676DC" w14:textId="77777777" w:rsidR="00A32A3D" w:rsidRDefault="00A32A3D" w:rsidP="00BD36DC"/>
    <w:p w14:paraId="416D48C2" w14:textId="77777777" w:rsidR="00A32A3D" w:rsidRDefault="00A32A3D" w:rsidP="00BD36DC"/>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470"/>
        <w:gridCol w:w="2265"/>
        <w:gridCol w:w="2595"/>
      </w:tblGrid>
      <w:tr w:rsidR="00513615" w:rsidRPr="007C5536" w14:paraId="42BAB29E" w14:textId="77777777" w:rsidTr="007C3BA8">
        <w:tc>
          <w:tcPr>
            <w:tcW w:w="4470" w:type="dxa"/>
            <w:shd w:val="clear" w:color="auto" w:fill="E6E6E6"/>
            <w:vAlign w:val="center"/>
          </w:tcPr>
          <w:p w14:paraId="6ABAA3A7" w14:textId="77777777" w:rsidR="00513615" w:rsidRPr="00513615" w:rsidRDefault="00513615" w:rsidP="007C3BA8">
            <w:pPr>
              <w:rPr>
                <w:rFonts w:ascii="Calibri" w:eastAsia="Arial" w:hAnsi="Calibri" w:cs="Calibri"/>
                <w:b/>
                <w:sz w:val="22"/>
                <w:szCs w:val="22"/>
              </w:rPr>
            </w:pPr>
            <w:bookmarkStart w:id="43" w:name="_Hlk96593056"/>
            <w:r w:rsidRPr="00513615">
              <w:rPr>
                <w:rFonts w:ascii="Calibri" w:eastAsia="Arial" w:hAnsi="Calibri" w:cs="Calibri"/>
                <w:b/>
                <w:sz w:val="22"/>
                <w:szCs w:val="22"/>
              </w:rPr>
              <w:t>Procedurestap</w:t>
            </w:r>
          </w:p>
        </w:tc>
        <w:tc>
          <w:tcPr>
            <w:tcW w:w="2265" w:type="dxa"/>
            <w:shd w:val="clear" w:color="auto" w:fill="E6E6E6"/>
            <w:vAlign w:val="center"/>
          </w:tcPr>
          <w:p w14:paraId="15251C88" w14:textId="77777777" w:rsidR="00513615" w:rsidRPr="00513615" w:rsidRDefault="00513615" w:rsidP="007C3BA8">
            <w:pPr>
              <w:jc w:val="center"/>
              <w:rPr>
                <w:rFonts w:ascii="Calibri" w:eastAsia="Arial" w:hAnsi="Calibri" w:cs="Calibri"/>
                <w:b/>
                <w:sz w:val="22"/>
                <w:szCs w:val="22"/>
              </w:rPr>
            </w:pPr>
            <w:r w:rsidRPr="00513615">
              <w:rPr>
                <w:rFonts w:ascii="Calibri" w:eastAsia="Arial" w:hAnsi="Calibri" w:cs="Calibri"/>
                <w:b/>
                <w:sz w:val="22"/>
                <w:szCs w:val="22"/>
              </w:rPr>
              <w:t>Datum</w:t>
            </w:r>
          </w:p>
        </w:tc>
        <w:tc>
          <w:tcPr>
            <w:tcW w:w="2595" w:type="dxa"/>
            <w:shd w:val="clear" w:color="auto" w:fill="E6E6E6"/>
            <w:vAlign w:val="center"/>
          </w:tcPr>
          <w:p w14:paraId="4BC43F3C" w14:textId="77777777" w:rsidR="00513615" w:rsidRPr="00513615" w:rsidRDefault="00513615" w:rsidP="007C3BA8">
            <w:pPr>
              <w:jc w:val="center"/>
              <w:rPr>
                <w:rFonts w:ascii="Calibri" w:eastAsia="Arial" w:hAnsi="Calibri" w:cs="Calibri"/>
                <w:b/>
                <w:sz w:val="22"/>
                <w:szCs w:val="22"/>
              </w:rPr>
            </w:pPr>
            <w:r w:rsidRPr="00513615">
              <w:rPr>
                <w:rFonts w:ascii="Calibri" w:eastAsia="Arial" w:hAnsi="Calibri" w:cs="Calibri"/>
                <w:b/>
                <w:sz w:val="22"/>
                <w:szCs w:val="22"/>
              </w:rPr>
              <w:t>Toelichting</w:t>
            </w:r>
          </w:p>
        </w:tc>
      </w:tr>
      <w:tr w:rsidR="00513615" w:rsidRPr="007C5536" w14:paraId="64843E5D" w14:textId="77777777" w:rsidTr="007C3BA8">
        <w:trPr>
          <w:trHeight w:val="320"/>
        </w:trPr>
        <w:tc>
          <w:tcPr>
            <w:tcW w:w="4470" w:type="dxa"/>
            <w:vAlign w:val="center"/>
          </w:tcPr>
          <w:p w14:paraId="0F633EBA" w14:textId="77777777"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Publiceren aanbestedingsdocumenten</w:t>
            </w:r>
          </w:p>
        </w:tc>
        <w:tc>
          <w:tcPr>
            <w:tcW w:w="2265" w:type="dxa"/>
            <w:vAlign w:val="center"/>
          </w:tcPr>
          <w:p w14:paraId="6D6A2B8D"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01-12-2025</w:t>
            </w:r>
          </w:p>
        </w:tc>
        <w:tc>
          <w:tcPr>
            <w:tcW w:w="2595" w:type="dxa"/>
            <w:vAlign w:val="center"/>
          </w:tcPr>
          <w:p w14:paraId="1D15B317"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 xml:space="preserve">Via </w:t>
            </w:r>
            <w:proofErr w:type="spellStart"/>
            <w:r w:rsidRPr="00513615">
              <w:rPr>
                <w:rFonts w:ascii="Calibri" w:eastAsia="Arial" w:hAnsi="Calibri" w:cs="Calibri"/>
                <w:sz w:val="22"/>
                <w:szCs w:val="22"/>
              </w:rPr>
              <w:t>TenderNed</w:t>
            </w:r>
            <w:proofErr w:type="spellEnd"/>
          </w:p>
        </w:tc>
      </w:tr>
      <w:tr w:rsidR="00513615" w:rsidRPr="007C5536" w14:paraId="6A6B77EF" w14:textId="77777777" w:rsidTr="007C3BA8">
        <w:tc>
          <w:tcPr>
            <w:tcW w:w="4470" w:type="dxa"/>
            <w:vAlign w:val="center"/>
          </w:tcPr>
          <w:p w14:paraId="40595ACA" w14:textId="1A2EAF22"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Sluitingstermijn voor stellen van vragen</w:t>
            </w:r>
            <w:r>
              <w:rPr>
                <w:rFonts w:ascii="Calibri" w:eastAsia="Arial" w:hAnsi="Calibri" w:cs="Calibri"/>
                <w:sz w:val="22"/>
                <w:szCs w:val="22"/>
              </w:rPr>
              <w:t>- 1</w:t>
            </w:r>
            <w:r w:rsidRPr="00513615">
              <w:rPr>
                <w:rFonts w:ascii="Calibri" w:eastAsia="Arial" w:hAnsi="Calibri" w:cs="Calibri"/>
                <w:sz w:val="22"/>
                <w:szCs w:val="22"/>
                <w:vertAlign w:val="superscript"/>
              </w:rPr>
              <w:t>e</w:t>
            </w:r>
            <w:r>
              <w:rPr>
                <w:rFonts w:ascii="Calibri" w:eastAsia="Arial" w:hAnsi="Calibri" w:cs="Calibri"/>
                <w:sz w:val="22"/>
                <w:szCs w:val="22"/>
              </w:rPr>
              <w:t xml:space="preserve"> Nota van Inlichtingen</w:t>
            </w:r>
          </w:p>
        </w:tc>
        <w:tc>
          <w:tcPr>
            <w:tcW w:w="2265" w:type="dxa"/>
            <w:vAlign w:val="center"/>
          </w:tcPr>
          <w:p w14:paraId="3EFCCB87" w14:textId="22FC72A6" w:rsidR="00513615" w:rsidRPr="00513615" w:rsidRDefault="00513615" w:rsidP="007C3BA8">
            <w:pPr>
              <w:jc w:val="center"/>
              <w:rPr>
                <w:rFonts w:ascii="Calibri" w:eastAsia="Arial" w:hAnsi="Calibri" w:cs="Calibri"/>
                <w:sz w:val="22"/>
                <w:szCs w:val="22"/>
              </w:rPr>
            </w:pPr>
            <w:r>
              <w:rPr>
                <w:rFonts w:ascii="Calibri" w:eastAsia="Arial" w:hAnsi="Calibri" w:cs="Calibri"/>
                <w:sz w:val="22"/>
                <w:szCs w:val="22"/>
              </w:rPr>
              <w:t xml:space="preserve">Tot uiterlijk </w:t>
            </w:r>
            <w:r w:rsidRPr="00513615">
              <w:rPr>
                <w:rFonts w:ascii="Calibri" w:eastAsia="Arial" w:hAnsi="Calibri" w:cs="Calibri"/>
                <w:sz w:val="22"/>
                <w:szCs w:val="22"/>
              </w:rPr>
              <w:t>15-12-2025 10:00uur</w:t>
            </w:r>
          </w:p>
        </w:tc>
        <w:tc>
          <w:tcPr>
            <w:tcW w:w="2595" w:type="dxa"/>
            <w:vAlign w:val="center"/>
          </w:tcPr>
          <w:p w14:paraId="0318D336"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 xml:space="preserve">Via de vragenmodule van </w:t>
            </w:r>
            <w:proofErr w:type="spellStart"/>
            <w:r w:rsidRPr="00513615">
              <w:rPr>
                <w:rFonts w:ascii="Calibri" w:eastAsia="Arial" w:hAnsi="Calibri" w:cs="Calibri"/>
                <w:sz w:val="22"/>
                <w:szCs w:val="22"/>
              </w:rPr>
              <w:t>TenderNed</w:t>
            </w:r>
            <w:proofErr w:type="spellEnd"/>
            <w:r w:rsidRPr="00513615">
              <w:rPr>
                <w:rFonts w:ascii="Calibri" w:eastAsia="Arial" w:hAnsi="Calibri" w:cs="Calibri"/>
                <w:sz w:val="22"/>
                <w:szCs w:val="22"/>
              </w:rPr>
              <w:t xml:space="preserve"> </w:t>
            </w:r>
          </w:p>
        </w:tc>
      </w:tr>
      <w:tr w:rsidR="00513615" w:rsidRPr="007C5536" w14:paraId="0F66B783" w14:textId="77777777" w:rsidTr="007C3BA8">
        <w:tc>
          <w:tcPr>
            <w:tcW w:w="4470" w:type="dxa"/>
            <w:vAlign w:val="center"/>
          </w:tcPr>
          <w:p w14:paraId="37E50A4E" w14:textId="2442BC08"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 xml:space="preserve">Publiceren </w:t>
            </w:r>
            <w:r>
              <w:rPr>
                <w:rFonts w:ascii="Calibri" w:eastAsia="Arial" w:hAnsi="Calibri" w:cs="Calibri"/>
                <w:sz w:val="22"/>
                <w:szCs w:val="22"/>
              </w:rPr>
              <w:t>1e</w:t>
            </w:r>
            <w:r w:rsidRPr="00513615">
              <w:rPr>
                <w:rFonts w:ascii="Calibri" w:eastAsia="Arial" w:hAnsi="Calibri" w:cs="Calibri"/>
                <w:sz w:val="22"/>
                <w:szCs w:val="22"/>
              </w:rPr>
              <w:t xml:space="preserve"> Nota van Inlichtingen</w:t>
            </w:r>
          </w:p>
        </w:tc>
        <w:tc>
          <w:tcPr>
            <w:tcW w:w="2265" w:type="dxa"/>
            <w:vAlign w:val="center"/>
          </w:tcPr>
          <w:p w14:paraId="68C93431"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08-01-2026</w:t>
            </w:r>
          </w:p>
        </w:tc>
        <w:tc>
          <w:tcPr>
            <w:tcW w:w="2595" w:type="dxa"/>
            <w:vAlign w:val="center"/>
          </w:tcPr>
          <w:p w14:paraId="09E41E2F"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Streefdatum</w:t>
            </w:r>
          </w:p>
        </w:tc>
      </w:tr>
      <w:tr w:rsidR="00513615" w:rsidRPr="007C5536" w14:paraId="1C6FF8E9" w14:textId="77777777" w:rsidTr="007C3BA8">
        <w:tc>
          <w:tcPr>
            <w:tcW w:w="4470" w:type="dxa"/>
            <w:vAlign w:val="center"/>
          </w:tcPr>
          <w:p w14:paraId="729AC62C" w14:textId="79B9262E"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Sluitingstermijn vragen stellen</w:t>
            </w:r>
            <w:r>
              <w:rPr>
                <w:rFonts w:ascii="Calibri" w:eastAsia="Arial" w:hAnsi="Calibri" w:cs="Calibri"/>
                <w:sz w:val="22"/>
                <w:szCs w:val="22"/>
              </w:rPr>
              <w:t>- 2</w:t>
            </w:r>
            <w:r w:rsidRPr="00513615">
              <w:rPr>
                <w:rFonts w:ascii="Calibri" w:eastAsia="Arial" w:hAnsi="Calibri" w:cs="Calibri"/>
                <w:sz w:val="22"/>
                <w:szCs w:val="22"/>
                <w:vertAlign w:val="superscript"/>
              </w:rPr>
              <w:t>e</w:t>
            </w:r>
            <w:r>
              <w:rPr>
                <w:rFonts w:ascii="Calibri" w:eastAsia="Arial" w:hAnsi="Calibri" w:cs="Calibri"/>
                <w:sz w:val="22"/>
                <w:szCs w:val="22"/>
              </w:rPr>
              <w:t xml:space="preserve"> </w:t>
            </w:r>
            <w:r w:rsidRPr="00513615">
              <w:rPr>
                <w:rFonts w:ascii="Calibri" w:eastAsia="Arial" w:hAnsi="Calibri" w:cs="Calibri"/>
                <w:sz w:val="22"/>
                <w:szCs w:val="22"/>
              </w:rPr>
              <w:t>Nota van Inlichtingen</w:t>
            </w:r>
          </w:p>
        </w:tc>
        <w:tc>
          <w:tcPr>
            <w:tcW w:w="2265" w:type="dxa"/>
            <w:vAlign w:val="center"/>
          </w:tcPr>
          <w:p w14:paraId="36B17EEB" w14:textId="5D1923EB" w:rsidR="00513615" w:rsidRPr="00513615" w:rsidRDefault="00513615" w:rsidP="007C3BA8">
            <w:pPr>
              <w:jc w:val="center"/>
              <w:rPr>
                <w:rFonts w:ascii="Calibri" w:eastAsia="Arial" w:hAnsi="Calibri" w:cs="Calibri"/>
                <w:sz w:val="22"/>
                <w:szCs w:val="22"/>
              </w:rPr>
            </w:pPr>
            <w:r>
              <w:rPr>
                <w:rFonts w:ascii="Calibri" w:eastAsia="Arial" w:hAnsi="Calibri" w:cs="Calibri"/>
                <w:sz w:val="22"/>
                <w:szCs w:val="22"/>
              </w:rPr>
              <w:t xml:space="preserve">Tot uiterlijk </w:t>
            </w:r>
            <w:r w:rsidRPr="00513615">
              <w:rPr>
                <w:rFonts w:ascii="Calibri" w:eastAsia="Arial" w:hAnsi="Calibri" w:cs="Calibri"/>
                <w:sz w:val="22"/>
                <w:szCs w:val="22"/>
              </w:rPr>
              <w:t>15-01-2026 10:00uur</w:t>
            </w:r>
          </w:p>
        </w:tc>
        <w:tc>
          <w:tcPr>
            <w:tcW w:w="2595" w:type="dxa"/>
            <w:vAlign w:val="center"/>
          </w:tcPr>
          <w:p w14:paraId="525EDDCE" w14:textId="5E669D45"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 xml:space="preserve">Via de vragenmodule van </w:t>
            </w:r>
            <w:proofErr w:type="spellStart"/>
            <w:r w:rsidRPr="00513615">
              <w:rPr>
                <w:rFonts w:ascii="Calibri" w:eastAsia="Arial" w:hAnsi="Calibri" w:cs="Calibri"/>
                <w:sz w:val="22"/>
                <w:szCs w:val="22"/>
              </w:rPr>
              <w:t>TenderNed</w:t>
            </w:r>
            <w:proofErr w:type="spellEnd"/>
          </w:p>
        </w:tc>
      </w:tr>
      <w:tr w:rsidR="00513615" w:rsidRPr="007C5536" w14:paraId="250FD9C4" w14:textId="77777777" w:rsidTr="007C3BA8">
        <w:tc>
          <w:tcPr>
            <w:tcW w:w="4470" w:type="dxa"/>
            <w:vAlign w:val="center"/>
          </w:tcPr>
          <w:p w14:paraId="0EACCAA7" w14:textId="34CBA62F"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 xml:space="preserve">Publiceren </w:t>
            </w:r>
            <w:r>
              <w:rPr>
                <w:rFonts w:ascii="Calibri" w:eastAsia="Arial" w:hAnsi="Calibri" w:cs="Calibri"/>
                <w:sz w:val="22"/>
                <w:szCs w:val="22"/>
              </w:rPr>
              <w:t>2e</w:t>
            </w:r>
            <w:r w:rsidRPr="00513615">
              <w:rPr>
                <w:rFonts w:ascii="Calibri" w:eastAsia="Arial" w:hAnsi="Calibri" w:cs="Calibri"/>
                <w:sz w:val="22"/>
                <w:szCs w:val="22"/>
              </w:rPr>
              <w:t xml:space="preserve"> Nota van Inlichtingen</w:t>
            </w:r>
          </w:p>
        </w:tc>
        <w:tc>
          <w:tcPr>
            <w:tcW w:w="2265" w:type="dxa"/>
            <w:vAlign w:val="center"/>
          </w:tcPr>
          <w:p w14:paraId="15E73180"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22-01-2026</w:t>
            </w:r>
          </w:p>
        </w:tc>
        <w:tc>
          <w:tcPr>
            <w:tcW w:w="2595" w:type="dxa"/>
            <w:vAlign w:val="center"/>
          </w:tcPr>
          <w:p w14:paraId="6162C441"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Streefdatum</w:t>
            </w:r>
          </w:p>
        </w:tc>
      </w:tr>
      <w:tr w:rsidR="00513615" w:rsidRPr="007C5536" w14:paraId="3795C3F4" w14:textId="77777777" w:rsidTr="007C3BA8">
        <w:tc>
          <w:tcPr>
            <w:tcW w:w="4470" w:type="dxa"/>
            <w:vAlign w:val="center"/>
          </w:tcPr>
          <w:p w14:paraId="6C21FA1C" w14:textId="77777777"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Sluitingstermijn indiening van de inschrijving</w:t>
            </w:r>
          </w:p>
        </w:tc>
        <w:tc>
          <w:tcPr>
            <w:tcW w:w="2265" w:type="dxa"/>
            <w:vAlign w:val="center"/>
          </w:tcPr>
          <w:p w14:paraId="6E84F011" w14:textId="7F1E95F0" w:rsidR="00513615" w:rsidRPr="00513615" w:rsidRDefault="00513615" w:rsidP="007C3BA8">
            <w:pPr>
              <w:jc w:val="center"/>
              <w:rPr>
                <w:rFonts w:ascii="Calibri" w:eastAsia="Arial" w:hAnsi="Calibri" w:cs="Calibri"/>
                <w:b/>
                <w:bCs/>
                <w:sz w:val="22"/>
                <w:szCs w:val="22"/>
              </w:rPr>
            </w:pPr>
            <w:r>
              <w:rPr>
                <w:rFonts w:ascii="Calibri" w:eastAsia="Arial" w:hAnsi="Calibri" w:cs="Calibri"/>
                <w:b/>
                <w:bCs/>
                <w:sz w:val="22"/>
                <w:szCs w:val="22"/>
              </w:rPr>
              <w:t xml:space="preserve">Tot uiterlijk </w:t>
            </w:r>
            <w:r w:rsidRPr="00513615">
              <w:rPr>
                <w:rFonts w:ascii="Calibri" w:eastAsia="Arial" w:hAnsi="Calibri" w:cs="Calibri"/>
                <w:b/>
                <w:bCs/>
                <w:sz w:val="22"/>
                <w:szCs w:val="22"/>
              </w:rPr>
              <w:t>05-02-2026 10:00uur</w:t>
            </w:r>
          </w:p>
        </w:tc>
        <w:tc>
          <w:tcPr>
            <w:tcW w:w="2595" w:type="dxa"/>
            <w:vAlign w:val="center"/>
          </w:tcPr>
          <w:p w14:paraId="7CFAAB97"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 xml:space="preserve">Via de digitale kluis van </w:t>
            </w:r>
            <w:proofErr w:type="spellStart"/>
            <w:r w:rsidRPr="00513615">
              <w:rPr>
                <w:rFonts w:ascii="Calibri" w:eastAsia="Arial" w:hAnsi="Calibri" w:cs="Calibri"/>
                <w:sz w:val="22"/>
                <w:szCs w:val="22"/>
              </w:rPr>
              <w:t>TenderNed</w:t>
            </w:r>
            <w:proofErr w:type="spellEnd"/>
          </w:p>
        </w:tc>
      </w:tr>
      <w:tr w:rsidR="00513615" w:rsidRPr="007C5536" w14:paraId="0F343356" w14:textId="77777777" w:rsidTr="007C3BA8">
        <w:tc>
          <w:tcPr>
            <w:tcW w:w="4470" w:type="dxa"/>
            <w:vAlign w:val="center"/>
          </w:tcPr>
          <w:p w14:paraId="078B4A7A" w14:textId="77777777"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Gunningsbeslissing</w:t>
            </w:r>
          </w:p>
        </w:tc>
        <w:tc>
          <w:tcPr>
            <w:tcW w:w="2265" w:type="dxa"/>
            <w:vAlign w:val="center"/>
          </w:tcPr>
          <w:p w14:paraId="05B4CDD7"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09-03-2026</w:t>
            </w:r>
          </w:p>
        </w:tc>
        <w:tc>
          <w:tcPr>
            <w:tcW w:w="2595" w:type="dxa"/>
            <w:vAlign w:val="center"/>
          </w:tcPr>
          <w:p w14:paraId="04496855"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Streefdatum</w:t>
            </w:r>
          </w:p>
        </w:tc>
      </w:tr>
      <w:tr w:rsidR="00513615" w:rsidRPr="007C5536" w14:paraId="116A9045" w14:textId="77777777" w:rsidTr="007C3BA8">
        <w:tc>
          <w:tcPr>
            <w:tcW w:w="4470" w:type="dxa"/>
            <w:vAlign w:val="center"/>
          </w:tcPr>
          <w:p w14:paraId="60A23565" w14:textId="77777777"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Bezwaartermijn</w:t>
            </w:r>
          </w:p>
        </w:tc>
        <w:tc>
          <w:tcPr>
            <w:tcW w:w="2265" w:type="dxa"/>
            <w:vAlign w:val="center"/>
          </w:tcPr>
          <w:p w14:paraId="49E744A6"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20 dagen</w:t>
            </w:r>
          </w:p>
        </w:tc>
        <w:tc>
          <w:tcPr>
            <w:tcW w:w="2595" w:type="dxa"/>
            <w:vAlign w:val="center"/>
          </w:tcPr>
          <w:p w14:paraId="48416FCB" w14:textId="77777777" w:rsidR="00513615" w:rsidRPr="00513615" w:rsidRDefault="00513615" w:rsidP="007C3BA8">
            <w:pPr>
              <w:jc w:val="center"/>
              <w:rPr>
                <w:rFonts w:ascii="Calibri" w:eastAsia="Arial" w:hAnsi="Calibri" w:cs="Calibri"/>
                <w:sz w:val="22"/>
                <w:szCs w:val="22"/>
              </w:rPr>
            </w:pPr>
          </w:p>
        </w:tc>
      </w:tr>
      <w:tr w:rsidR="00513615" w:rsidRPr="007C5536" w14:paraId="49C1D933" w14:textId="77777777" w:rsidTr="007C3BA8">
        <w:tc>
          <w:tcPr>
            <w:tcW w:w="4470" w:type="dxa"/>
            <w:vAlign w:val="center"/>
          </w:tcPr>
          <w:p w14:paraId="402D7285" w14:textId="77777777"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Definitieve gunning</w:t>
            </w:r>
          </w:p>
        </w:tc>
        <w:tc>
          <w:tcPr>
            <w:tcW w:w="2265" w:type="dxa"/>
            <w:vAlign w:val="center"/>
          </w:tcPr>
          <w:p w14:paraId="2A8F2EC9"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30-03-2026</w:t>
            </w:r>
          </w:p>
        </w:tc>
        <w:tc>
          <w:tcPr>
            <w:tcW w:w="2595" w:type="dxa"/>
            <w:vAlign w:val="center"/>
          </w:tcPr>
          <w:p w14:paraId="5202A006"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Streefdatum</w:t>
            </w:r>
          </w:p>
        </w:tc>
      </w:tr>
      <w:tr w:rsidR="00513615" w:rsidRPr="007C5536" w14:paraId="78B1A746" w14:textId="77777777" w:rsidTr="007C3BA8">
        <w:tc>
          <w:tcPr>
            <w:tcW w:w="4470" w:type="dxa"/>
            <w:vAlign w:val="center"/>
          </w:tcPr>
          <w:p w14:paraId="2CB65D42" w14:textId="77777777" w:rsidR="00513615" w:rsidRPr="00513615" w:rsidRDefault="00513615" w:rsidP="007C3BA8">
            <w:pPr>
              <w:rPr>
                <w:rFonts w:ascii="Calibri" w:eastAsia="Arial" w:hAnsi="Calibri" w:cs="Calibri"/>
                <w:sz w:val="22"/>
                <w:szCs w:val="22"/>
              </w:rPr>
            </w:pPr>
            <w:r w:rsidRPr="00513615">
              <w:rPr>
                <w:rFonts w:ascii="Calibri" w:eastAsia="Arial" w:hAnsi="Calibri" w:cs="Calibri"/>
                <w:sz w:val="22"/>
                <w:szCs w:val="22"/>
              </w:rPr>
              <w:t>Start van de overeenkomst</w:t>
            </w:r>
          </w:p>
        </w:tc>
        <w:tc>
          <w:tcPr>
            <w:tcW w:w="2265" w:type="dxa"/>
            <w:vAlign w:val="center"/>
          </w:tcPr>
          <w:p w14:paraId="6B247DBF" w14:textId="77777777" w:rsidR="00513615" w:rsidRPr="00513615" w:rsidRDefault="00513615" w:rsidP="007C3BA8">
            <w:pPr>
              <w:jc w:val="center"/>
              <w:rPr>
                <w:rFonts w:ascii="Calibri" w:eastAsia="Arial" w:hAnsi="Calibri" w:cs="Calibri"/>
                <w:sz w:val="22"/>
                <w:szCs w:val="22"/>
              </w:rPr>
            </w:pPr>
            <w:r w:rsidRPr="00513615">
              <w:rPr>
                <w:rFonts w:ascii="Calibri" w:eastAsia="Arial" w:hAnsi="Calibri" w:cs="Calibri"/>
                <w:sz w:val="22"/>
                <w:szCs w:val="22"/>
              </w:rPr>
              <w:t>01-07-2026</w:t>
            </w:r>
          </w:p>
        </w:tc>
        <w:tc>
          <w:tcPr>
            <w:tcW w:w="2595" w:type="dxa"/>
            <w:vAlign w:val="center"/>
          </w:tcPr>
          <w:p w14:paraId="71F9013E" w14:textId="77777777" w:rsidR="00513615" w:rsidRPr="00513615" w:rsidRDefault="00513615" w:rsidP="007C3BA8">
            <w:pPr>
              <w:jc w:val="center"/>
              <w:rPr>
                <w:rFonts w:ascii="Calibri" w:eastAsia="Arial" w:hAnsi="Calibri" w:cs="Calibri"/>
                <w:sz w:val="22"/>
                <w:szCs w:val="22"/>
              </w:rPr>
            </w:pPr>
          </w:p>
        </w:tc>
      </w:tr>
      <w:bookmarkEnd w:id="43"/>
    </w:tbl>
    <w:p w14:paraId="4530585C" w14:textId="77777777" w:rsidR="00513615" w:rsidRDefault="00513615" w:rsidP="00BD36DC"/>
    <w:p w14:paraId="4A57C1CA" w14:textId="736373CB" w:rsidR="00BD36DC" w:rsidRDefault="00BD36DC" w:rsidP="0030275E">
      <w:pPr>
        <w:spacing w:before="120"/>
      </w:pPr>
      <w:r w:rsidRPr="00BE270C">
        <w:rPr>
          <w:b/>
          <w:bCs/>
        </w:rPr>
        <w:t>Let op:</w:t>
      </w:r>
      <w:r>
        <w:t xml:space="preserve"> de planning kan nog veranderen. Potentiële opdrachtnemers kunnen hier geen rechten aan ontlenen</w:t>
      </w:r>
      <w:r w:rsidR="00BE270C">
        <w:t>.</w:t>
      </w:r>
    </w:p>
    <w:p w14:paraId="23B23A6D" w14:textId="77777777" w:rsidR="00BD36DC" w:rsidRDefault="00BD36DC" w:rsidP="0071487E">
      <w:pPr>
        <w:pStyle w:val="Kop2"/>
      </w:pPr>
      <w:bookmarkStart w:id="44" w:name="_Toc216957418"/>
      <w:r>
        <w:t>5.4</w:t>
      </w:r>
      <w:r>
        <w:tab/>
        <w:t>Aanmelden als hoofdaannemer, combinatie of groepsonderneming</w:t>
      </w:r>
      <w:bookmarkEnd w:id="44"/>
    </w:p>
    <w:p w14:paraId="2828FD41" w14:textId="77777777" w:rsidR="00BD36DC" w:rsidRDefault="00BD36DC" w:rsidP="0030275E">
      <w:pPr>
        <w:pStyle w:val="Kop3"/>
      </w:pPr>
      <w:bookmarkStart w:id="45" w:name="_Toc216957419"/>
      <w:r>
        <w:t>5.4.1</w:t>
      </w:r>
      <w:r>
        <w:tab/>
        <w:t>Hoofdaannemer</w:t>
      </w:r>
      <w:bookmarkEnd w:id="45"/>
    </w:p>
    <w:p w14:paraId="5F92ACDD" w14:textId="77777777" w:rsidR="00BA42EB" w:rsidRPr="00F538CD" w:rsidRDefault="00BA42EB" w:rsidP="00BA42EB">
      <w:r w:rsidRPr="00F538CD">
        <w:t>Een hoofdaannemer mag samen met onderaannemers inschrijven. De hoofdaannemer vermeldt alle onderaannemers in het Uniform Europees Aanbestedingsdocument (UEA).</w:t>
      </w:r>
    </w:p>
    <w:p w14:paraId="18FE7CF8" w14:textId="77777777" w:rsidR="00BA42EB" w:rsidRDefault="00BA42EB" w:rsidP="00BA42EB">
      <w:pPr>
        <w:ind w:left="708"/>
      </w:pPr>
    </w:p>
    <w:p w14:paraId="760CF209" w14:textId="77777777" w:rsidR="00BA42EB" w:rsidRPr="00F62338" w:rsidRDefault="00BA42EB" w:rsidP="00BA42EB">
      <w:r w:rsidRPr="00F538CD">
        <w:t xml:space="preserve">De hoofdaannemer is hoofdelijk aansprakelijk voor de uitvoering van de opdracht. </w:t>
      </w:r>
      <w:r w:rsidRPr="00F62338">
        <w:t>Ook de onderaannemers tekenen met het indienen van het verzoek tot deelneming of inschrijving voor hoofdelijke aansprakelijkheid voor de door de onderaannemers uit te voeren werkzaamheden.</w:t>
      </w:r>
    </w:p>
    <w:p w14:paraId="69AE2918" w14:textId="77777777" w:rsidR="00BA42EB" w:rsidRDefault="00BA42EB" w:rsidP="00BA42EB">
      <w:pPr>
        <w:ind w:left="708"/>
      </w:pPr>
    </w:p>
    <w:p w14:paraId="596B783A" w14:textId="77777777" w:rsidR="00BA42EB" w:rsidRPr="00F538CD" w:rsidRDefault="00BA42EB" w:rsidP="00BA42EB">
      <w:r w:rsidRPr="00F538CD">
        <w:t xml:space="preserve">De hoofdaannemer kan in het UEA aangeven of hij onderaannemers nodig heeft om aan </w:t>
      </w:r>
      <w:r>
        <w:t xml:space="preserve">eisen </w:t>
      </w:r>
      <w:r w:rsidRPr="00F538CD">
        <w:t>te voldoen.</w:t>
      </w:r>
    </w:p>
    <w:p w14:paraId="0AF0223D" w14:textId="77777777" w:rsidR="00BA42EB" w:rsidRDefault="00BA42EB" w:rsidP="00BA42EB">
      <w:pPr>
        <w:ind w:left="708"/>
      </w:pPr>
    </w:p>
    <w:p w14:paraId="395E377B" w14:textId="77777777" w:rsidR="00BA42EB" w:rsidRDefault="00BA42EB" w:rsidP="00BA42EB">
      <w:r w:rsidRPr="00F538CD">
        <w:t>Voegt de hoofdaannemer later onderaannemers toe? Dan moet de inkopende organisatie dat schriftelijk goedkeuren. Dit mag alleen als wet- en regelgeving dit toestaan.</w:t>
      </w:r>
    </w:p>
    <w:p w14:paraId="6E8341CC" w14:textId="77777777" w:rsidR="00BA42EB" w:rsidRPr="00F538CD" w:rsidRDefault="00BA42EB" w:rsidP="00BA42EB">
      <w:pPr>
        <w:ind w:left="708"/>
      </w:pPr>
    </w:p>
    <w:p w14:paraId="3C802054" w14:textId="77777777" w:rsidR="00BA42EB" w:rsidRDefault="00BA42EB" w:rsidP="00BA42EB">
      <w:r w:rsidRPr="00F538CD">
        <w:t xml:space="preserve">De hoofdaannemer moet alle documenten en bewijsstukken kunnen aanleveren. </w:t>
      </w:r>
    </w:p>
    <w:p w14:paraId="1A64FBAD" w14:textId="77777777" w:rsidR="00BA42EB" w:rsidRDefault="00BA42EB" w:rsidP="00BA42EB">
      <w:pPr>
        <w:ind w:left="708"/>
      </w:pPr>
    </w:p>
    <w:p w14:paraId="2F17E86D" w14:textId="77777777" w:rsidR="00BA42EB" w:rsidRPr="00573D0A" w:rsidRDefault="00BA42EB" w:rsidP="00BA42EB">
      <w:r w:rsidRPr="00F538CD">
        <w:lastRenderedPageBreak/>
        <w:t xml:space="preserve">Onderaannemers moeten een geldige gedragsverklaring aanbesteden hebben. </w:t>
      </w:r>
      <w:r>
        <w:t>De inkopende organisatie weigert o</w:t>
      </w:r>
      <w:r w:rsidRPr="00F538CD">
        <w:t xml:space="preserve">nderaannemers </w:t>
      </w:r>
      <w:r>
        <w:t xml:space="preserve">die geen </w:t>
      </w:r>
      <w:r w:rsidRPr="00F538CD">
        <w:t>geldige verklaring</w:t>
      </w:r>
      <w:r>
        <w:t xml:space="preserve"> hebben</w:t>
      </w:r>
      <w:r w:rsidRPr="00573D0A">
        <w:t>.</w:t>
      </w:r>
    </w:p>
    <w:p w14:paraId="7A382D11" w14:textId="77777777" w:rsidR="00BD36DC" w:rsidRDefault="00BD36DC" w:rsidP="0030275E">
      <w:pPr>
        <w:pStyle w:val="Kop3"/>
      </w:pPr>
      <w:bookmarkStart w:id="46" w:name="_Toc216957420"/>
      <w:r>
        <w:t>5.4.2</w:t>
      </w:r>
      <w:r>
        <w:tab/>
        <w:t>Combinatie</w:t>
      </w:r>
      <w:bookmarkEnd w:id="46"/>
    </w:p>
    <w:p w14:paraId="3D56F498" w14:textId="77777777" w:rsidR="00BD36DC" w:rsidRDefault="00BD36DC" w:rsidP="00BD36DC">
      <w:r>
        <w:t>Soms kunnen opdrachtnemers samen meer dan alleen. Zij mogen zich als combinatie aanmelden.</w:t>
      </w:r>
    </w:p>
    <w:p w14:paraId="27BD88B8" w14:textId="77777777" w:rsidR="00BD36DC" w:rsidRDefault="00BD36DC" w:rsidP="00BD36DC">
      <w:r>
        <w:t>De combinatie wijst één penvoerder aan. Die vertegenwoordigt de hele combinatie. De anderen machtigen hem hiervoor.</w:t>
      </w:r>
    </w:p>
    <w:p w14:paraId="0F05528E" w14:textId="77777777" w:rsidR="00BD36DC" w:rsidRDefault="00BD36DC" w:rsidP="00BD36DC">
      <w:r>
        <w:t>De combinatie moet bij het sluiten van de overeenkomst hoofdelijk aansprakelijk zijn. Dit kan bijvoorbeeld via een vennootschap onder firma (vof).</w:t>
      </w:r>
    </w:p>
    <w:p w14:paraId="6A2F93A9" w14:textId="77777777" w:rsidR="00BD36DC" w:rsidRDefault="00BD36DC" w:rsidP="00BD36DC">
      <w:r>
        <w:t>Na het verzoek tot deelneming of inschrijving nog een combinatie vormen mag alleen met schriftelijke toestemming van de inkopende organisatie én als wet- en regelgeving dit toestaan.</w:t>
      </w:r>
    </w:p>
    <w:p w14:paraId="5280058F" w14:textId="77777777" w:rsidR="00BD36DC" w:rsidRDefault="00BD36DC" w:rsidP="00BD36DC">
      <w:r>
        <w:t>Alle leden van de combinatie leveren zelf bewijs over uitsluitingsgronden aan. Andere stukken mogen zij samen indienen.</w:t>
      </w:r>
    </w:p>
    <w:p w14:paraId="118638C2" w14:textId="77777777" w:rsidR="00BD36DC" w:rsidRDefault="00BD36DC" w:rsidP="0030275E">
      <w:pPr>
        <w:pStyle w:val="Kop3"/>
      </w:pPr>
      <w:bookmarkStart w:id="47" w:name="_Toc216957421"/>
      <w:r>
        <w:t>5.4.3</w:t>
      </w:r>
      <w:r>
        <w:tab/>
        <w:t>Groepsonderneming</w:t>
      </w:r>
      <w:bookmarkEnd w:id="47"/>
    </w:p>
    <w:p w14:paraId="4E980856" w14:textId="77777777" w:rsidR="00BD36DC" w:rsidRDefault="00BD36DC" w:rsidP="00BD36DC">
      <w:r>
        <w:t>Is de potentiële opdrachtnemer onderdeel van een groep? Dan moet de moedermaatschappij garanderen dat zij schulden betaalt bij problemen tijdens de opdracht.</w:t>
      </w:r>
    </w:p>
    <w:p w14:paraId="33B7A608" w14:textId="77777777" w:rsidR="00BD36DC" w:rsidRDefault="00BD36DC" w:rsidP="00BD36DC">
      <w:r>
        <w:t>Die garantie moet schriftelijk zijn. Dit heet een verklaring van hoofdelijke aansprakelijkheid.</w:t>
      </w:r>
    </w:p>
    <w:p w14:paraId="0D0AE2BF" w14:textId="77777777" w:rsidR="00BD36DC" w:rsidRDefault="00BD36DC" w:rsidP="00BD36DC">
      <w:r>
        <w:t>Is er sprake van geconsolideerde jaarrekeningen? Dan mag de potentiële opdrachtnemer ook een geldige 403-verklaring overleggen.</w:t>
      </w:r>
    </w:p>
    <w:p w14:paraId="018577A8" w14:textId="77777777" w:rsidR="00BD36DC" w:rsidRDefault="00BD36DC" w:rsidP="0030275E">
      <w:pPr>
        <w:pStyle w:val="Kop2"/>
      </w:pPr>
      <w:bookmarkStart w:id="48" w:name="_Toc216957422"/>
      <w:r>
        <w:t>5.5</w:t>
      </w:r>
      <w:r>
        <w:tab/>
        <w:t>Vragen over de procedure en/of documenten</w:t>
      </w:r>
      <w:bookmarkEnd w:id="48"/>
    </w:p>
    <w:p w14:paraId="4EC4721E" w14:textId="77777777" w:rsidR="00E23763" w:rsidRPr="00E23763" w:rsidRDefault="00E23763" w:rsidP="00E23763">
      <w:pPr>
        <w:pStyle w:val="Geenafstand"/>
      </w:pPr>
      <w:r w:rsidRPr="00E23763">
        <w:t>Potentiële aanbieders kunnen steeds vragen stellen over de aanbestedingsprocedure en dit inkoopdocument. Potentiële aanbieders mogen ook voorstellen doen over dit inkoopdocument en bijlagen. Dit kan tot de datum aangegeven in de elektronische planning.</w:t>
      </w:r>
    </w:p>
    <w:p w14:paraId="615ACC2D" w14:textId="77777777" w:rsidR="00E23763" w:rsidRPr="00E23763" w:rsidRDefault="00E23763" w:rsidP="00E23763">
      <w:pPr>
        <w:pStyle w:val="Geenafstand"/>
      </w:pPr>
    </w:p>
    <w:p w14:paraId="7357CE09" w14:textId="77777777" w:rsidR="00E23763" w:rsidRPr="00E23763" w:rsidRDefault="00E23763" w:rsidP="00E23763">
      <w:pPr>
        <w:pStyle w:val="Geenafstand"/>
      </w:pPr>
      <w:r w:rsidRPr="00E23763">
        <w:t xml:space="preserve">Potentiële aanbieders dienen het aangegeven aanbestedingsplatform te gebruiken om hun vragen te stellen en voorstellen te doen. </w:t>
      </w:r>
      <w:r w:rsidRPr="00E23763">
        <w:rPr>
          <w:b/>
          <w:bCs/>
        </w:rPr>
        <w:t xml:space="preserve">Vragen die niet of te laat zijn gesteld via het aanbestedingsplatform, neemt de gemeente niet in behandeling, tenzij de gemeente het antwoord </w:t>
      </w:r>
      <w:r w:rsidRPr="00E23763">
        <w:t>voor alle potentiële aanbieders noodzakelijk acht. Technische vragen over het aanbestedingsplatform dient de potentiële aanbieder te stellen aan de servicedesk van het aanbestedingsplatform.</w:t>
      </w:r>
    </w:p>
    <w:p w14:paraId="3E1C0E33" w14:textId="77777777" w:rsidR="00BD36DC" w:rsidRDefault="00BD36DC" w:rsidP="00FF594C">
      <w:pPr>
        <w:pStyle w:val="Kop2"/>
      </w:pPr>
      <w:bookmarkStart w:id="49" w:name="_Toc216957423"/>
      <w:r>
        <w:t>5.6</w:t>
      </w:r>
      <w:r>
        <w:tab/>
        <w:t>Vertrouwelijkheid</w:t>
      </w:r>
      <w:bookmarkEnd w:id="49"/>
    </w:p>
    <w:p w14:paraId="69D9DD98" w14:textId="77777777" w:rsidR="00BD36DC" w:rsidRDefault="00BD36DC" w:rsidP="00BD36DC">
      <w:r>
        <w:t>Potentiële opdrachtnemers mogen geen informatie over deze inkoopprocedure delen met anderen. Zij mogen ook niets publiceren over deze inkoopprocedure. Dit mag alleen als zij schriftelijke toestemming hebben van de inkopende organisatie.</w:t>
      </w:r>
    </w:p>
    <w:p w14:paraId="191B07BE" w14:textId="77777777" w:rsidR="00BD36DC" w:rsidRDefault="00BD36DC" w:rsidP="00FF594C">
      <w:pPr>
        <w:pStyle w:val="Kop2"/>
      </w:pPr>
      <w:bookmarkStart w:id="50" w:name="_Toc216957424"/>
      <w:r>
        <w:t>5.7</w:t>
      </w:r>
      <w:r>
        <w:tab/>
        <w:t>Gestanddoeningstermijn</w:t>
      </w:r>
      <w:bookmarkEnd w:id="50"/>
    </w:p>
    <w:p w14:paraId="7C1417BC" w14:textId="77777777" w:rsidR="00BD36DC" w:rsidRDefault="00BD36DC" w:rsidP="00BD36DC">
      <w:r>
        <w:t xml:space="preserve">De potentiële opdrachtnemer houdt zich 90 kalenderdagen aan zijn verzoek of inschrijving. Deze termijn start op de sluitingsdatum voor het indienen ervan. Komt er een kort geding? </w:t>
      </w:r>
      <w:r>
        <w:lastRenderedPageBreak/>
        <w:t>Dan is de termijn automatisch verlengd tot 14 kalenderdagen na de uitspraak van de rechter. In andere gevallen mag de inkopende organisatie vragen om de termijn te verlengen.</w:t>
      </w:r>
    </w:p>
    <w:p w14:paraId="7CCEA8BB" w14:textId="77777777" w:rsidR="00BD36DC" w:rsidRDefault="00BD36DC" w:rsidP="00FF594C">
      <w:pPr>
        <w:pStyle w:val="Kop2"/>
      </w:pPr>
      <w:bookmarkStart w:id="51" w:name="_Toc216957425"/>
      <w:r>
        <w:t>5.8</w:t>
      </w:r>
      <w:r>
        <w:tab/>
        <w:t>Klachten en rechtsgang</w:t>
      </w:r>
      <w:bookmarkEnd w:id="51"/>
    </w:p>
    <w:p w14:paraId="7635DCE8" w14:textId="77777777" w:rsidR="00BD36DC" w:rsidRDefault="00BD36DC" w:rsidP="00FF594C">
      <w:pPr>
        <w:pStyle w:val="Kop3"/>
      </w:pPr>
      <w:bookmarkStart w:id="52" w:name="_Toc216957426"/>
      <w:r>
        <w:t>5.8.1</w:t>
      </w:r>
      <w:r>
        <w:tab/>
        <w:t>Klachten</w:t>
      </w:r>
      <w:bookmarkEnd w:id="52"/>
    </w:p>
    <w:p w14:paraId="12A55C63" w14:textId="77777777" w:rsidR="00552509" w:rsidRPr="007F7EC1" w:rsidRDefault="00552509" w:rsidP="00552509">
      <w:r w:rsidRPr="007F7EC1">
        <w:t>Onderstaande bepalingen zijn van toepassing:</w:t>
      </w:r>
    </w:p>
    <w:p w14:paraId="67A5DCAD" w14:textId="17AC42FF" w:rsidR="00552509" w:rsidRPr="007F7EC1" w:rsidRDefault="00552509" w:rsidP="00552509">
      <w:r w:rsidRPr="007F7EC1">
        <w:t xml:space="preserve">Indien een </w:t>
      </w:r>
      <w:r>
        <w:t>inschrijver</w:t>
      </w:r>
      <w:r w:rsidRPr="007F7EC1">
        <w:t xml:space="preserve"> </w:t>
      </w:r>
      <w:r>
        <w:t xml:space="preserve">een klacht heeft over de aanbestedingsprocedure, kan deze </w:t>
      </w:r>
      <w:r w:rsidR="00BF786D">
        <w:t>schriftelijk een klacht indienen bij het</w:t>
      </w:r>
      <w:r>
        <w:t xml:space="preserve"> klachtenmeldpunt, via </w:t>
      </w:r>
      <w:hyperlink r:id="rId17" w:history="1">
        <w:r w:rsidRPr="007F7EC1">
          <w:rPr>
            <w:rStyle w:val="Hyperlink"/>
          </w:rPr>
          <w:t>klachtenmeldpunt@wijzijnkarel.nl</w:t>
        </w:r>
      </w:hyperlink>
      <w:r w:rsidRPr="007F7EC1">
        <w:t>.</w:t>
      </w:r>
    </w:p>
    <w:p w14:paraId="33FFC1F0" w14:textId="6BD966B3" w:rsidR="00457CD3" w:rsidRDefault="00457CD3" w:rsidP="00900C1C">
      <w:pPr>
        <w:spacing w:before="240"/>
      </w:pPr>
      <w:r>
        <w:t xml:space="preserve">Zie bijlage </w:t>
      </w:r>
      <w:r w:rsidR="009F2293">
        <w:t>6</w:t>
      </w:r>
      <w:r>
        <w:t xml:space="preserve"> voor </w:t>
      </w:r>
      <w:r w:rsidR="002D226A">
        <w:t>meer informatie.</w:t>
      </w:r>
    </w:p>
    <w:p w14:paraId="7740567F" w14:textId="6CB6985B" w:rsidR="00BD36DC" w:rsidRPr="00900C1C" w:rsidRDefault="00BD36DC" w:rsidP="00900C1C">
      <w:pPr>
        <w:spacing w:before="240"/>
        <w:rPr>
          <w:u w:val="single"/>
        </w:rPr>
      </w:pPr>
      <w:r w:rsidRPr="00900C1C">
        <w:rPr>
          <w:u w:val="single"/>
        </w:rPr>
        <w:t>Geschillencommissie Sociaal Domein</w:t>
      </w:r>
    </w:p>
    <w:p w14:paraId="7A432EF5" w14:textId="1D1BDC73" w:rsidR="00BD36DC" w:rsidRDefault="00BD36DC" w:rsidP="006C379B">
      <w:pPr>
        <w:spacing w:after="0"/>
      </w:pPr>
      <w:r>
        <w:t>Een potentiële opdrachtnemer mag zijn klacht na behandeling voorleggen aan de Geschillencommissie Sociaal Domein (</w:t>
      </w:r>
      <w:hyperlink r:id="rId18" w:history="1">
        <w:r w:rsidR="00900C1C" w:rsidRPr="00760001">
          <w:rPr>
            <w:rStyle w:val="Hyperlink"/>
          </w:rPr>
          <w:t>https://www.degeschillencommissiezorg.nl/over-ons/zorgcommissies/sociaal-domein-inkoop-jeugdwet-en-wmo/</w:t>
        </w:r>
      </w:hyperlink>
      <w:r>
        <w:t>), als:</w:t>
      </w:r>
    </w:p>
    <w:p w14:paraId="7E6D71B3" w14:textId="4D2473F1" w:rsidR="00BD36DC" w:rsidRDefault="00BD36DC" w:rsidP="00900C1C">
      <w:pPr>
        <w:pStyle w:val="Lijstalinea"/>
        <w:numPr>
          <w:ilvl w:val="0"/>
          <w:numId w:val="5"/>
        </w:numPr>
      </w:pPr>
      <w:r>
        <w:t>de klacht gaat over dit inkoopdocument of de procedure;</w:t>
      </w:r>
    </w:p>
    <w:p w14:paraId="47AFD43E" w14:textId="22EB1975" w:rsidR="00BD36DC" w:rsidRDefault="00BD36DC" w:rsidP="00900C1C">
      <w:pPr>
        <w:pStyle w:val="Lijstalinea"/>
        <w:numPr>
          <w:ilvl w:val="0"/>
          <w:numId w:val="5"/>
        </w:numPr>
      </w:pPr>
      <w:r>
        <w:t>de klacht (deels) niet ontvankelijk of ongegrond is verklaard;</w:t>
      </w:r>
    </w:p>
    <w:p w14:paraId="3F6E1DDF" w14:textId="0CDB5B2B" w:rsidR="00BD36DC" w:rsidRDefault="00BD36DC" w:rsidP="00900C1C">
      <w:pPr>
        <w:pStyle w:val="Lijstalinea"/>
        <w:numPr>
          <w:ilvl w:val="0"/>
          <w:numId w:val="5"/>
        </w:numPr>
      </w:pPr>
      <w:r>
        <w:t>een minnelijke oplossing niet is gelukt;</w:t>
      </w:r>
    </w:p>
    <w:p w14:paraId="7E7CDB8F" w14:textId="460861FD" w:rsidR="00BD36DC" w:rsidRDefault="00BD36DC" w:rsidP="00900C1C">
      <w:pPr>
        <w:pStyle w:val="Lijstalinea"/>
        <w:numPr>
          <w:ilvl w:val="0"/>
          <w:numId w:val="5"/>
        </w:numPr>
      </w:pPr>
      <w:r>
        <w:t>beide partijen instemmen met de geschillencommissie;</w:t>
      </w:r>
    </w:p>
    <w:p w14:paraId="16FFFE34" w14:textId="334C447A" w:rsidR="00BD36DC" w:rsidRDefault="00BD36DC" w:rsidP="00900C1C">
      <w:pPr>
        <w:pStyle w:val="Lijstalinea"/>
        <w:numPr>
          <w:ilvl w:val="0"/>
          <w:numId w:val="5"/>
        </w:numPr>
      </w:pPr>
      <w:r>
        <w:t>de inkopende organisatie de procedure opschort tot de uitspraak;</w:t>
      </w:r>
    </w:p>
    <w:p w14:paraId="75C7D11A" w14:textId="78612D2D" w:rsidR="00BD36DC" w:rsidRDefault="00BD36DC" w:rsidP="00900C1C">
      <w:pPr>
        <w:pStyle w:val="Lijstalinea"/>
        <w:numPr>
          <w:ilvl w:val="0"/>
          <w:numId w:val="5"/>
        </w:numPr>
      </w:pPr>
      <w:r>
        <w:t>beide partijen zich houden aan het bindend advies van de commissie.</w:t>
      </w:r>
    </w:p>
    <w:p w14:paraId="5E8B7217" w14:textId="77777777" w:rsidR="00BD36DC" w:rsidRPr="006C379B" w:rsidRDefault="00BD36DC" w:rsidP="006C379B">
      <w:pPr>
        <w:spacing w:before="240"/>
        <w:rPr>
          <w:u w:val="single"/>
        </w:rPr>
      </w:pPr>
      <w:r w:rsidRPr="006C379B">
        <w:rPr>
          <w:u w:val="single"/>
        </w:rPr>
        <w:t>Commissie van Aanbestedingsexperts of rechter</w:t>
      </w:r>
    </w:p>
    <w:p w14:paraId="26A4C3E9" w14:textId="77777777" w:rsidR="00BD36DC" w:rsidRDefault="00BD36DC" w:rsidP="006C379B">
      <w:pPr>
        <w:spacing w:after="0"/>
      </w:pPr>
      <w:r>
        <w:t>De potentiële opdrachtnemer mag zijn klacht ook altijd voorleggen aan:</w:t>
      </w:r>
    </w:p>
    <w:p w14:paraId="19FC762C" w14:textId="3CE7672A" w:rsidR="00BD36DC" w:rsidRDefault="00BD36DC" w:rsidP="006C379B">
      <w:pPr>
        <w:pStyle w:val="Lijstalinea"/>
        <w:numPr>
          <w:ilvl w:val="0"/>
          <w:numId w:val="5"/>
        </w:numPr>
      </w:pPr>
      <w:r>
        <w:t>de Commissie van Aanbestedingsexperts, of</w:t>
      </w:r>
    </w:p>
    <w:p w14:paraId="054E3620" w14:textId="1C24D50A" w:rsidR="00BD36DC" w:rsidRDefault="00BD36DC" w:rsidP="006C379B">
      <w:pPr>
        <w:pStyle w:val="Lijstalinea"/>
        <w:numPr>
          <w:ilvl w:val="0"/>
          <w:numId w:val="5"/>
        </w:numPr>
      </w:pPr>
      <w:r>
        <w:t>de bevoegde rechter.</w:t>
      </w:r>
    </w:p>
    <w:p w14:paraId="3E55200B" w14:textId="77777777" w:rsidR="00BD36DC" w:rsidRDefault="00BD36DC" w:rsidP="006C379B">
      <w:pPr>
        <w:pStyle w:val="Kop3"/>
      </w:pPr>
      <w:bookmarkStart w:id="53" w:name="_Toc216957427"/>
      <w:r>
        <w:t>5.8.2</w:t>
      </w:r>
      <w:r>
        <w:tab/>
        <w:t>Rechtsgang</w:t>
      </w:r>
      <w:bookmarkEnd w:id="53"/>
    </w:p>
    <w:p w14:paraId="41C0CF65" w14:textId="5B523AB0" w:rsidR="00BD36DC" w:rsidRDefault="00BD36DC" w:rsidP="00BD36DC">
      <w:r>
        <w:t>Een voorlopige gunningsbeslissing is nog geen aanvaarding van een aanbod.</w:t>
      </w:r>
    </w:p>
    <w:p w14:paraId="0525CEE0" w14:textId="77777777" w:rsidR="00BD36DC" w:rsidRDefault="00BD36DC" w:rsidP="00BD36DC">
      <w:r>
        <w:t>De inkopende organisatie stuurt de mededeling van selectie of gunning via het aanbestedingsplatform.</w:t>
      </w:r>
    </w:p>
    <w:p w14:paraId="00881B79" w14:textId="77777777" w:rsidR="00BD36DC" w:rsidRDefault="00BD36DC" w:rsidP="00BD36DC">
      <w:r>
        <w:t>Is een potentiële opdrachtnemer het niet eens met een afwijzing? Dan kan hij een kort geding starten. Dat moet binnen 20 kalenderdagen na de bekendmaking van de selectie of gunning. Na die termijn vervalt het recht op bezwaar en schadevergoeding.</w:t>
      </w:r>
    </w:p>
    <w:p w14:paraId="0A3BE0E3" w14:textId="77777777" w:rsidR="00126002" w:rsidRDefault="00126002" w:rsidP="00BD36DC">
      <w:r w:rsidRPr="00D66D95">
        <w:t>De bevoegde rechter is de rechtba</w:t>
      </w:r>
      <w:r>
        <w:t>nk Zeeland – West-Brabant te Breda.</w:t>
      </w:r>
    </w:p>
    <w:p w14:paraId="53A341F0" w14:textId="42D89794" w:rsidR="00BD36DC" w:rsidRDefault="00BD36DC" w:rsidP="00BD36DC">
      <w:r>
        <w:t>Een kort geding pauzeert de procedure. De inkopende organisatie stelt de selectie of gunning dan uit tot de uitspraak.</w:t>
      </w:r>
    </w:p>
    <w:p w14:paraId="6A938461" w14:textId="49922CC4" w:rsidR="00062E53" w:rsidRDefault="00BD36DC" w:rsidP="00831E63">
      <w:r>
        <w:t>Er is pas sprake van een overeenkomst als opdrachtgever en opdrachtnemer deze schriftelijk ondertekenen.</w:t>
      </w:r>
      <w:r w:rsidR="00062E53">
        <w:br w:type="page"/>
      </w:r>
    </w:p>
    <w:p w14:paraId="63618524" w14:textId="77777777" w:rsidR="00686AC9" w:rsidRDefault="00686AC9" w:rsidP="00686AC9">
      <w:pPr>
        <w:pStyle w:val="Kop1"/>
        <w:ind w:left="567" w:hanging="567"/>
      </w:pPr>
      <w:bookmarkStart w:id="54" w:name="_Toc210832078"/>
      <w:bookmarkStart w:id="55" w:name="_Toc216957428"/>
      <w:r>
        <w:lastRenderedPageBreak/>
        <w:t>Overzicht bijlagen</w:t>
      </w:r>
      <w:bookmarkEnd w:id="54"/>
      <w:bookmarkEnd w:id="55"/>
    </w:p>
    <w:p w14:paraId="2F3D9025" w14:textId="4660B483" w:rsidR="00686AC9" w:rsidRPr="00173412" w:rsidRDefault="00686AC9" w:rsidP="00686AC9">
      <w:pPr>
        <w:numPr>
          <w:ilvl w:val="0"/>
          <w:numId w:val="43"/>
        </w:numPr>
        <w:spacing w:after="0"/>
        <w:ind w:left="714" w:hanging="357"/>
      </w:pPr>
      <w:r w:rsidRPr="00173412">
        <w:t xml:space="preserve">Checklist </w:t>
      </w:r>
      <w:r>
        <w:t>a</w:t>
      </w:r>
      <w:r w:rsidRPr="00173412">
        <w:t>an te leveren documenten/bewijsmiddelen</w:t>
      </w:r>
      <w:r w:rsidR="00CC30CB">
        <w:t xml:space="preserve"> </w:t>
      </w:r>
      <w:r w:rsidR="00CC30CB" w:rsidRPr="004B5DBF">
        <w:rPr>
          <w:b/>
          <w:bCs/>
        </w:rPr>
        <w:t xml:space="preserve">– </w:t>
      </w:r>
      <w:r w:rsidR="00CC30CB">
        <w:rPr>
          <w:b/>
          <w:bCs/>
        </w:rPr>
        <w:t>zie onderstaand</w:t>
      </w:r>
    </w:p>
    <w:p w14:paraId="67CF9BA7" w14:textId="54AF23CA" w:rsidR="00686AC9" w:rsidRPr="00173412" w:rsidRDefault="00686AC9" w:rsidP="00686AC9">
      <w:pPr>
        <w:numPr>
          <w:ilvl w:val="0"/>
          <w:numId w:val="43"/>
        </w:numPr>
        <w:spacing w:after="0"/>
        <w:ind w:left="714" w:hanging="357"/>
      </w:pPr>
      <w:r w:rsidRPr="00173412">
        <w:t>Overeenkomst Maatwerkvoorzieningen maatschappelijke ondersteuning, Hulp bij het huishouden 2026 – 2028</w:t>
      </w:r>
      <w:r w:rsidR="004B5DBF">
        <w:t xml:space="preserve"> </w:t>
      </w:r>
      <w:r w:rsidR="004B5DBF" w:rsidRPr="004B5DBF">
        <w:rPr>
          <w:b/>
          <w:bCs/>
        </w:rPr>
        <w:t>– separaat bijgevoegd</w:t>
      </w:r>
    </w:p>
    <w:p w14:paraId="08EAC9DC" w14:textId="5185B112" w:rsidR="00491AB3" w:rsidRDefault="00491AB3" w:rsidP="00686AC9">
      <w:pPr>
        <w:numPr>
          <w:ilvl w:val="0"/>
          <w:numId w:val="43"/>
        </w:numPr>
        <w:spacing w:after="0"/>
        <w:ind w:left="714" w:hanging="357"/>
      </w:pPr>
      <w:r w:rsidRPr="00491AB3">
        <w:t>Tarief Huishoudelijke Ondersteuning GHO gemeenten</w:t>
      </w:r>
      <w:r w:rsidR="004B5DBF">
        <w:t xml:space="preserve"> </w:t>
      </w:r>
      <w:r w:rsidR="004B5DBF" w:rsidRPr="004B5DBF">
        <w:rPr>
          <w:b/>
          <w:bCs/>
        </w:rPr>
        <w:t>– separaat bijgevoegd</w:t>
      </w:r>
    </w:p>
    <w:p w14:paraId="076693CD" w14:textId="64F60B8B" w:rsidR="00686AC9" w:rsidRPr="00173412" w:rsidRDefault="00686AC9" w:rsidP="00686AC9">
      <w:pPr>
        <w:numPr>
          <w:ilvl w:val="0"/>
          <w:numId w:val="43"/>
        </w:numPr>
        <w:spacing w:after="0"/>
        <w:ind w:left="714" w:hanging="357"/>
      </w:pPr>
      <w:r w:rsidRPr="00173412">
        <w:t>Uniform Europees Aanbestedingsdocument (UEA)</w:t>
      </w:r>
      <w:r>
        <w:t xml:space="preserve">- </w:t>
      </w:r>
      <w:proofErr w:type="spellStart"/>
      <w:r>
        <w:t>TenderNed</w:t>
      </w:r>
      <w:proofErr w:type="spellEnd"/>
      <w:r w:rsidR="004B5DBF">
        <w:t xml:space="preserve"> </w:t>
      </w:r>
      <w:r w:rsidR="004B5DBF" w:rsidRPr="004B5DBF">
        <w:rPr>
          <w:b/>
          <w:bCs/>
        </w:rPr>
        <w:t xml:space="preserve">– </w:t>
      </w:r>
      <w:r w:rsidR="004B5DBF">
        <w:rPr>
          <w:b/>
          <w:bCs/>
        </w:rPr>
        <w:t>zie</w:t>
      </w:r>
      <w:r w:rsidR="004B5DBF" w:rsidRPr="004B5DBF">
        <w:rPr>
          <w:b/>
          <w:bCs/>
        </w:rPr>
        <w:t xml:space="preserve"> </w:t>
      </w:r>
      <w:proofErr w:type="spellStart"/>
      <w:r w:rsidR="004B5DBF">
        <w:rPr>
          <w:b/>
          <w:bCs/>
        </w:rPr>
        <w:t>TenderNed</w:t>
      </w:r>
      <w:proofErr w:type="spellEnd"/>
    </w:p>
    <w:p w14:paraId="75810146" w14:textId="073B668C" w:rsidR="00322523" w:rsidRDefault="00686AC9" w:rsidP="001212E9">
      <w:pPr>
        <w:numPr>
          <w:ilvl w:val="0"/>
          <w:numId w:val="43"/>
        </w:numPr>
        <w:spacing w:after="0"/>
      </w:pPr>
      <w:r>
        <w:t>Referentieformulier</w:t>
      </w:r>
      <w:r w:rsidR="002A3626">
        <w:t xml:space="preserve"> </w:t>
      </w:r>
      <w:r w:rsidR="002A3626" w:rsidRPr="004B5DBF">
        <w:rPr>
          <w:b/>
          <w:bCs/>
        </w:rPr>
        <w:t>– separaat bijgevoegd</w:t>
      </w:r>
    </w:p>
    <w:p w14:paraId="398BBF7D" w14:textId="172C4F82" w:rsidR="00243A13" w:rsidRDefault="00322523" w:rsidP="00243A13">
      <w:pPr>
        <w:numPr>
          <w:ilvl w:val="0"/>
          <w:numId w:val="43"/>
        </w:numPr>
        <w:spacing w:after="0"/>
      </w:pPr>
      <w:r w:rsidRPr="00322523">
        <w:t xml:space="preserve">Klachtenregeling aanbestedingen gezamenlijk klachtenmeldpunt </w:t>
      </w:r>
      <w:r w:rsidR="0067585F" w:rsidRPr="004B5DBF">
        <w:rPr>
          <w:b/>
          <w:bCs/>
        </w:rPr>
        <w:t>– separaat bijgevoegd</w:t>
      </w:r>
    </w:p>
    <w:p w14:paraId="4C02B431" w14:textId="77777777" w:rsidR="00FF798F" w:rsidRDefault="00636A49" w:rsidP="00243A13">
      <w:pPr>
        <w:numPr>
          <w:ilvl w:val="0"/>
          <w:numId w:val="43"/>
        </w:numPr>
        <w:spacing w:after="0"/>
      </w:pPr>
      <w:r w:rsidRPr="004B73D3">
        <w:t>Zelfstandige</w:t>
      </w:r>
      <w:r>
        <w:t xml:space="preserve"> </w:t>
      </w:r>
      <w:r w:rsidRPr="004B73D3">
        <w:t>Verwerkingsverantwoordelijke</w:t>
      </w:r>
      <w:r>
        <w:t xml:space="preserve"> overeenkomst</w:t>
      </w:r>
      <w:r w:rsidR="0067585F">
        <w:t xml:space="preserve"> </w:t>
      </w:r>
      <w:r w:rsidR="0067585F" w:rsidRPr="004B5DBF">
        <w:rPr>
          <w:b/>
          <w:bCs/>
        </w:rPr>
        <w:t>– separaat bijgevoegd</w:t>
      </w:r>
      <w:r w:rsidR="0067585F">
        <w:t xml:space="preserve"> </w:t>
      </w:r>
    </w:p>
    <w:p w14:paraId="38EFD23F" w14:textId="2671E168" w:rsidR="00686AC9" w:rsidRPr="00322523" w:rsidRDefault="00FF798F" w:rsidP="00243A13">
      <w:pPr>
        <w:numPr>
          <w:ilvl w:val="0"/>
          <w:numId w:val="43"/>
        </w:numPr>
        <w:spacing w:after="0"/>
      </w:pPr>
      <w:r>
        <w:t xml:space="preserve">Concept wachtkamerovereenkomst </w:t>
      </w:r>
      <w:r w:rsidRPr="004B5DBF">
        <w:rPr>
          <w:b/>
          <w:bCs/>
        </w:rPr>
        <w:t>– separaat bijgevoegd</w:t>
      </w:r>
      <w:r>
        <w:t xml:space="preserve"> </w:t>
      </w:r>
      <w:r w:rsidR="00686AC9">
        <w:br w:type="page"/>
      </w:r>
    </w:p>
    <w:p w14:paraId="384A670A" w14:textId="7CD9571C" w:rsidR="00BD36DC" w:rsidRDefault="00BD36DC" w:rsidP="00062E53">
      <w:pPr>
        <w:pStyle w:val="Kop1"/>
      </w:pPr>
      <w:bookmarkStart w:id="56" w:name="_Toc216957429"/>
      <w:r>
        <w:lastRenderedPageBreak/>
        <w:t>Bijlage 1: Aan te leveren documenten/bewijsmiddelen</w:t>
      </w:r>
      <w:bookmarkEnd w:id="56"/>
    </w:p>
    <w:tbl>
      <w:tblPr>
        <w:tblStyle w:val="Onopgemaaktetabel1"/>
        <w:tblW w:w="0" w:type="auto"/>
        <w:tblLook w:val="04A0" w:firstRow="1" w:lastRow="0" w:firstColumn="1" w:lastColumn="0" w:noHBand="0" w:noVBand="1"/>
      </w:tblPr>
      <w:tblGrid>
        <w:gridCol w:w="473"/>
        <w:gridCol w:w="3312"/>
        <w:gridCol w:w="1880"/>
        <w:gridCol w:w="2629"/>
      </w:tblGrid>
      <w:tr w:rsidR="00515EA5" w:rsidRPr="004D0052" w14:paraId="4B18E2D8" w14:textId="77777777" w:rsidTr="00515EA5">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99DF15B" w14:textId="77777777" w:rsidR="003F4472" w:rsidRPr="004D0052" w:rsidRDefault="003F4472" w:rsidP="004D0052">
            <w:pPr>
              <w:rPr>
                <w:b w:val="0"/>
                <w:sz w:val="20"/>
                <w:szCs w:val="20"/>
              </w:rPr>
            </w:pPr>
            <w:r w:rsidRPr="004D0052">
              <w:rPr>
                <w:sz w:val="20"/>
                <w:szCs w:val="20"/>
              </w:rPr>
              <w:t>Nr.</w:t>
            </w:r>
          </w:p>
        </w:tc>
        <w:tc>
          <w:tcPr>
            <w:tcW w:w="3312" w:type="dxa"/>
            <w:vAlign w:val="center"/>
          </w:tcPr>
          <w:p w14:paraId="2B410BFF" w14:textId="77777777" w:rsidR="003F4472" w:rsidRPr="004D0052" w:rsidRDefault="003F4472" w:rsidP="004D0052">
            <w:pPr>
              <w:cnfStyle w:val="100000000000" w:firstRow="1" w:lastRow="0" w:firstColumn="0" w:lastColumn="0" w:oddVBand="0" w:evenVBand="0" w:oddHBand="0" w:evenHBand="0" w:firstRowFirstColumn="0" w:firstRowLastColumn="0" w:lastRowFirstColumn="0" w:lastRowLastColumn="0"/>
              <w:rPr>
                <w:b w:val="0"/>
                <w:sz w:val="20"/>
                <w:szCs w:val="20"/>
              </w:rPr>
            </w:pPr>
            <w:r w:rsidRPr="004D0052">
              <w:rPr>
                <w:sz w:val="20"/>
                <w:szCs w:val="20"/>
              </w:rPr>
              <w:t>Document/Bewijsmiddel</w:t>
            </w:r>
          </w:p>
        </w:tc>
        <w:tc>
          <w:tcPr>
            <w:tcW w:w="1880" w:type="dxa"/>
            <w:vAlign w:val="center"/>
          </w:tcPr>
          <w:p w14:paraId="79760A9A" w14:textId="4043C798" w:rsidR="003F4472" w:rsidRPr="004D0052" w:rsidRDefault="003F4472" w:rsidP="000F6681">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D0052">
              <w:rPr>
                <w:sz w:val="20"/>
                <w:szCs w:val="20"/>
              </w:rPr>
              <w:t>Bij inschrijving</w:t>
            </w:r>
            <w:r w:rsidR="000F6681">
              <w:rPr>
                <w:sz w:val="20"/>
                <w:szCs w:val="20"/>
              </w:rPr>
              <w:t xml:space="preserve"> of</w:t>
            </w:r>
            <w:r w:rsidRPr="004D0052">
              <w:rPr>
                <w:sz w:val="20"/>
                <w:szCs w:val="20"/>
              </w:rPr>
              <w:t xml:space="preserve"> op verzoek van de gemeente</w:t>
            </w:r>
          </w:p>
        </w:tc>
        <w:tc>
          <w:tcPr>
            <w:tcW w:w="2629" w:type="dxa"/>
            <w:vAlign w:val="center"/>
          </w:tcPr>
          <w:p w14:paraId="4081B566" w14:textId="77777777" w:rsidR="003F4472" w:rsidRPr="004D0052" w:rsidRDefault="003F4472" w:rsidP="000F6681">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D0052">
              <w:rPr>
                <w:sz w:val="20"/>
                <w:szCs w:val="20"/>
              </w:rPr>
              <w:t>Door wie?</w:t>
            </w:r>
          </w:p>
        </w:tc>
      </w:tr>
      <w:tr w:rsidR="002F70A5" w:rsidRPr="004D0052" w14:paraId="3FD17352" w14:textId="77777777" w:rsidTr="00515EA5">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4C35BAD" w14:textId="77777777" w:rsidR="003F4472" w:rsidRPr="004D0052" w:rsidRDefault="003F4472" w:rsidP="004D0052">
            <w:pPr>
              <w:rPr>
                <w:sz w:val="20"/>
                <w:szCs w:val="20"/>
              </w:rPr>
            </w:pPr>
            <w:r w:rsidRPr="004D0052">
              <w:rPr>
                <w:sz w:val="20"/>
                <w:szCs w:val="20"/>
              </w:rPr>
              <w:t>1.</w:t>
            </w:r>
          </w:p>
        </w:tc>
        <w:tc>
          <w:tcPr>
            <w:tcW w:w="3312" w:type="dxa"/>
            <w:vAlign w:val="center"/>
          </w:tcPr>
          <w:p w14:paraId="25A0C235" w14:textId="729159A2" w:rsidR="003F4472" w:rsidRPr="004D0052" w:rsidRDefault="003F4472" w:rsidP="004D0052">
            <w:pP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 xml:space="preserve">UEA </w:t>
            </w:r>
            <w:r w:rsidR="00493367">
              <w:rPr>
                <w:sz w:val="20"/>
                <w:szCs w:val="20"/>
              </w:rPr>
              <w:t xml:space="preserve">– zie </w:t>
            </w:r>
            <w:proofErr w:type="spellStart"/>
            <w:r w:rsidR="00493367">
              <w:rPr>
                <w:sz w:val="20"/>
                <w:szCs w:val="20"/>
              </w:rPr>
              <w:t>TenderNed</w:t>
            </w:r>
            <w:proofErr w:type="spellEnd"/>
          </w:p>
        </w:tc>
        <w:tc>
          <w:tcPr>
            <w:tcW w:w="1880" w:type="dxa"/>
            <w:vAlign w:val="center"/>
          </w:tcPr>
          <w:p w14:paraId="2347343C" w14:textId="685C15D7"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Bij inschrijving</w:t>
            </w:r>
          </w:p>
        </w:tc>
        <w:tc>
          <w:tcPr>
            <w:tcW w:w="2629" w:type="dxa"/>
            <w:vAlign w:val="center"/>
          </w:tcPr>
          <w:p w14:paraId="7DABB87C" w14:textId="77777777"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Potentiële opdrachtnemer</w:t>
            </w:r>
          </w:p>
        </w:tc>
      </w:tr>
      <w:tr w:rsidR="00515EA5" w:rsidRPr="004D0052" w14:paraId="285444AE" w14:textId="77777777" w:rsidTr="00515EA5">
        <w:tc>
          <w:tcPr>
            <w:cnfStyle w:val="001000000000" w:firstRow="0" w:lastRow="0" w:firstColumn="1" w:lastColumn="0" w:oddVBand="0" w:evenVBand="0" w:oddHBand="0" w:evenHBand="0" w:firstRowFirstColumn="0" w:firstRowLastColumn="0" w:lastRowFirstColumn="0" w:lastRowLastColumn="0"/>
            <w:tcW w:w="473" w:type="dxa"/>
            <w:vAlign w:val="center"/>
          </w:tcPr>
          <w:p w14:paraId="6141D772" w14:textId="77777777" w:rsidR="003F4472" w:rsidRPr="004D0052" w:rsidRDefault="003F4472" w:rsidP="004D0052">
            <w:pPr>
              <w:rPr>
                <w:sz w:val="20"/>
                <w:szCs w:val="20"/>
              </w:rPr>
            </w:pPr>
            <w:r w:rsidRPr="004D0052">
              <w:rPr>
                <w:sz w:val="20"/>
                <w:szCs w:val="20"/>
              </w:rPr>
              <w:t>2.</w:t>
            </w:r>
          </w:p>
        </w:tc>
        <w:tc>
          <w:tcPr>
            <w:tcW w:w="3312" w:type="dxa"/>
            <w:vAlign w:val="center"/>
          </w:tcPr>
          <w:p w14:paraId="35F31545" w14:textId="77777777" w:rsidR="003F4472" w:rsidRPr="004D0052" w:rsidRDefault="003F4472" w:rsidP="004D0052">
            <w:pP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Gedragsverklaring aanbesteden niet ouder dan 24 kalendermaanden op moment van ontvangst door de gemeente</w:t>
            </w:r>
          </w:p>
        </w:tc>
        <w:tc>
          <w:tcPr>
            <w:tcW w:w="1880" w:type="dxa"/>
            <w:vAlign w:val="center"/>
          </w:tcPr>
          <w:p w14:paraId="4983BE46" w14:textId="77777777" w:rsidR="003F4472" w:rsidRPr="004D0052" w:rsidRDefault="003F4472"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Op verzoek</w:t>
            </w:r>
          </w:p>
        </w:tc>
        <w:tc>
          <w:tcPr>
            <w:tcW w:w="2629" w:type="dxa"/>
            <w:vAlign w:val="center"/>
          </w:tcPr>
          <w:p w14:paraId="5E2764D6" w14:textId="77777777" w:rsidR="003F4472" w:rsidRPr="004D0052" w:rsidRDefault="003F4472"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 xml:space="preserve">Potentiële opdrachtnemer, </w:t>
            </w:r>
            <w:proofErr w:type="spellStart"/>
            <w:r w:rsidRPr="004D0052">
              <w:rPr>
                <w:sz w:val="20"/>
                <w:szCs w:val="20"/>
              </w:rPr>
              <w:t>Combinant</w:t>
            </w:r>
            <w:proofErr w:type="spellEnd"/>
            <w:r w:rsidRPr="004D0052">
              <w:rPr>
                <w:sz w:val="20"/>
                <w:szCs w:val="20"/>
              </w:rPr>
              <w:t>, Onderaannemer</w:t>
            </w:r>
          </w:p>
        </w:tc>
      </w:tr>
      <w:tr w:rsidR="002F70A5" w:rsidRPr="004D0052" w14:paraId="597C0395" w14:textId="77777777" w:rsidTr="0051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3DB8002" w14:textId="77777777" w:rsidR="003F4472" w:rsidRPr="004D0052" w:rsidRDefault="003F4472" w:rsidP="004D0052">
            <w:pPr>
              <w:rPr>
                <w:sz w:val="20"/>
                <w:szCs w:val="20"/>
              </w:rPr>
            </w:pPr>
            <w:r w:rsidRPr="004D0052">
              <w:rPr>
                <w:sz w:val="20"/>
                <w:szCs w:val="20"/>
              </w:rPr>
              <w:t>3.</w:t>
            </w:r>
          </w:p>
        </w:tc>
        <w:tc>
          <w:tcPr>
            <w:tcW w:w="3312" w:type="dxa"/>
            <w:vAlign w:val="center"/>
          </w:tcPr>
          <w:p w14:paraId="56CA9A6D" w14:textId="77777777" w:rsidR="003F4472" w:rsidRPr="004D0052" w:rsidRDefault="003F4472" w:rsidP="004D0052">
            <w:pP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Verklaring betalingsgedrag nakoming fiscale verplichtingen van de Belastingdienst niet ouder dan 6 kalendermaanden op moment van ontvangst door de gemeente</w:t>
            </w:r>
          </w:p>
        </w:tc>
        <w:tc>
          <w:tcPr>
            <w:tcW w:w="1880" w:type="dxa"/>
            <w:vAlign w:val="center"/>
          </w:tcPr>
          <w:p w14:paraId="35932F4D" w14:textId="77777777"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Op verzoek</w:t>
            </w:r>
          </w:p>
        </w:tc>
        <w:tc>
          <w:tcPr>
            <w:tcW w:w="2629" w:type="dxa"/>
            <w:vAlign w:val="center"/>
          </w:tcPr>
          <w:p w14:paraId="6A8A5F6F" w14:textId="77777777"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 xml:space="preserve">Potentiële opdrachtnemer, </w:t>
            </w:r>
            <w:proofErr w:type="spellStart"/>
            <w:r w:rsidRPr="004D0052">
              <w:rPr>
                <w:sz w:val="20"/>
                <w:szCs w:val="20"/>
              </w:rPr>
              <w:t>Combinant</w:t>
            </w:r>
            <w:proofErr w:type="spellEnd"/>
          </w:p>
        </w:tc>
      </w:tr>
      <w:tr w:rsidR="00515EA5" w:rsidRPr="004D0052" w14:paraId="0CA77285" w14:textId="77777777" w:rsidTr="00515EA5">
        <w:tc>
          <w:tcPr>
            <w:cnfStyle w:val="001000000000" w:firstRow="0" w:lastRow="0" w:firstColumn="1" w:lastColumn="0" w:oddVBand="0" w:evenVBand="0" w:oddHBand="0" w:evenHBand="0" w:firstRowFirstColumn="0" w:firstRowLastColumn="0" w:lastRowFirstColumn="0" w:lastRowLastColumn="0"/>
            <w:tcW w:w="473" w:type="dxa"/>
            <w:vAlign w:val="center"/>
          </w:tcPr>
          <w:p w14:paraId="05A2584E" w14:textId="77777777" w:rsidR="003F4472" w:rsidRPr="004D0052" w:rsidRDefault="003F4472" w:rsidP="004D0052">
            <w:pPr>
              <w:rPr>
                <w:sz w:val="20"/>
                <w:szCs w:val="20"/>
              </w:rPr>
            </w:pPr>
            <w:r w:rsidRPr="004D0052">
              <w:rPr>
                <w:sz w:val="20"/>
                <w:szCs w:val="20"/>
              </w:rPr>
              <w:t>4.</w:t>
            </w:r>
          </w:p>
        </w:tc>
        <w:tc>
          <w:tcPr>
            <w:tcW w:w="3312" w:type="dxa"/>
            <w:vAlign w:val="center"/>
          </w:tcPr>
          <w:p w14:paraId="40224E66" w14:textId="77777777" w:rsidR="003F4472" w:rsidRPr="004D0052" w:rsidRDefault="003F4472" w:rsidP="004D0052">
            <w:pP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Uittreksel Handelsregister Kamer van Koophandel niet ouder dan 6 kalandermaanden op moment van ontvangst door de gemeente</w:t>
            </w:r>
          </w:p>
        </w:tc>
        <w:tc>
          <w:tcPr>
            <w:tcW w:w="1880" w:type="dxa"/>
            <w:vAlign w:val="center"/>
          </w:tcPr>
          <w:p w14:paraId="7F268361" w14:textId="4E53B44A" w:rsidR="003F4472" w:rsidRPr="004D0052" w:rsidRDefault="007A0208"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Bij inschrijving</w:t>
            </w:r>
          </w:p>
        </w:tc>
        <w:tc>
          <w:tcPr>
            <w:tcW w:w="2629" w:type="dxa"/>
            <w:vAlign w:val="center"/>
          </w:tcPr>
          <w:p w14:paraId="038B28C3" w14:textId="77777777" w:rsidR="003F4472" w:rsidRPr="004D0052" w:rsidRDefault="003F4472"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 xml:space="preserve">Potentiële opdrachtnemer, </w:t>
            </w:r>
            <w:proofErr w:type="spellStart"/>
            <w:r w:rsidRPr="004D0052">
              <w:rPr>
                <w:sz w:val="20"/>
                <w:szCs w:val="20"/>
              </w:rPr>
              <w:t>Combinant</w:t>
            </w:r>
            <w:proofErr w:type="spellEnd"/>
          </w:p>
        </w:tc>
      </w:tr>
      <w:tr w:rsidR="00515EA5" w:rsidRPr="004D0052" w14:paraId="443EB1D8" w14:textId="77777777" w:rsidTr="0051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6D23073" w14:textId="5C684879" w:rsidR="003F4472" w:rsidRPr="004D0052" w:rsidRDefault="003D48CA" w:rsidP="004D0052">
            <w:pPr>
              <w:rPr>
                <w:sz w:val="20"/>
                <w:szCs w:val="20"/>
              </w:rPr>
            </w:pPr>
            <w:r>
              <w:rPr>
                <w:sz w:val="20"/>
                <w:szCs w:val="20"/>
              </w:rPr>
              <w:t>5</w:t>
            </w:r>
            <w:r w:rsidR="003F4472" w:rsidRPr="004D0052">
              <w:rPr>
                <w:sz w:val="20"/>
                <w:szCs w:val="20"/>
              </w:rPr>
              <w:t>.</w:t>
            </w:r>
          </w:p>
        </w:tc>
        <w:tc>
          <w:tcPr>
            <w:tcW w:w="3312" w:type="dxa"/>
            <w:vAlign w:val="center"/>
          </w:tcPr>
          <w:p w14:paraId="28998F49" w14:textId="6D64D356" w:rsidR="003F4472" w:rsidRPr="004D0052" w:rsidRDefault="003F4472" w:rsidP="004D0052">
            <w:pP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Bewijsmiddel geschiktheidseis G</w:t>
            </w:r>
            <w:r w:rsidR="00CD3501">
              <w:rPr>
                <w:sz w:val="20"/>
                <w:szCs w:val="20"/>
              </w:rPr>
              <w:t xml:space="preserve">2- </w:t>
            </w:r>
            <w:r w:rsidR="007A240F">
              <w:rPr>
                <w:sz w:val="20"/>
                <w:szCs w:val="20"/>
              </w:rPr>
              <w:t xml:space="preserve">Kopie van </w:t>
            </w:r>
            <w:r w:rsidR="00CD3501">
              <w:rPr>
                <w:sz w:val="20"/>
                <w:szCs w:val="20"/>
              </w:rPr>
              <w:t xml:space="preserve">betreffende certificaat </w:t>
            </w:r>
            <w:r w:rsidR="007A240F">
              <w:rPr>
                <w:sz w:val="20"/>
                <w:szCs w:val="20"/>
              </w:rPr>
              <w:t>behorende bij geschiktheidseis 2</w:t>
            </w:r>
          </w:p>
        </w:tc>
        <w:tc>
          <w:tcPr>
            <w:tcW w:w="1880" w:type="dxa"/>
            <w:vAlign w:val="center"/>
          </w:tcPr>
          <w:p w14:paraId="261A9F64" w14:textId="7C8B2DA9" w:rsidR="003F4472" w:rsidRPr="004D0052" w:rsidRDefault="00CD3501"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Op verzoek</w:t>
            </w:r>
          </w:p>
        </w:tc>
        <w:tc>
          <w:tcPr>
            <w:tcW w:w="2629" w:type="dxa"/>
            <w:vAlign w:val="center"/>
          </w:tcPr>
          <w:p w14:paraId="666177D2" w14:textId="77777777"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Potentiële opdrachtnemer</w:t>
            </w:r>
          </w:p>
        </w:tc>
      </w:tr>
      <w:tr w:rsidR="002F70A5" w:rsidRPr="004D0052" w14:paraId="5C766C27" w14:textId="77777777" w:rsidTr="00515EA5">
        <w:tc>
          <w:tcPr>
            <w:cnfStyle w:val="001000000000" w:firstRow="0" w:lastRow="0" w:firstColumn="1" w:lastColumn="0" w:oddVBand="0" w:evenVBand="0" w:oddHBand="0" w:evenHBand="0" w:firstRowFirstColumn="0" w:firstRowLastColumn="0" w:lastRowFirstColumn="0" w:lastRowLastColumn="0"/>
            <w:tcW w:w="473" w:type="dxa"/>
            <w:vAlign w:val="center"/>
          </w:tcPr>
          <w:p w14:paraId="34397D4B" w14:textId="55F889C4" w:rsidR="003F4472" w:rsidRPr="004D0052" w:rsidRDefault="003D48CA" w:rsidP="004D0052">
            <w:pPr>
              <w:rPr>
                <w:sz w:val="20"/>
                <w:szCs w:val="20"/>
              </w:rPr>
            </w:pPr>
            <w:r>
              <w:rPr>
                <w:sz w:val="20"/>
                <w:szCs w:val="20"/>
              </w:rPr>
              <w:t>6</w:t>
            </w:r>
            <w:r w:rsidR="003F4472" w:rsidRPr="004D0052">
              <w:rPr>
                <w:sz w:val="20"/>
                <w:szCs w:val="20"/>
              </w:rPr>
              <w:t>.</w:t>
            </w:r>
          </w:p>
        </w:tc>
        <w:tc>
          <w:tcPr>
            <w:tcW w:w="3312" w:type="dxa"/>
            <w:vAlign w:val="center"/>
          </w:tcPr>
          <w:p w14:paraId="27B1C240" w14:textId="77777777" w:rsidR="003F4472" w:rsidRPr="007A240F" w:rsidRDefault="003F4472" w:rsidP="007A240F">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7A240F">
              <w:rPr>
                <w:sz w:val="20"/>
                <w:szCs w:val="20"/>
              </w:rPr>
              <w:t>Bewijsmiddel geschiktheidseis G</w:t>
            </w:r>
            <w:r w:rsidR="007A240F" w:rsidRPr="007A240F">
              <w:rPr>
                <w:sz w:val="20"/>
                <w:szCs w:val="20"/>
              </w:rPr>
              <w:t>3-</w:t>
            </w:r>
          </w:p>
          <w:p w14:paraId="37EC489A" w14:textId="09B5655C" w:rsidR="007A240F" w:rsidRPr="004D0052" w:rsidRDefault="007A240F" w:rsidP="007A240F">
            <w:pPr>
              <w:pStyle w:val="Geenafstand"/>
              <w:cnfStyle w:val="000000000000" w:firstRow="0" w:lastRow="0" w:firstColumn="0" w:lastColumn="0" w:oddVBand="0" w:evenVBand="0" w:oddHBand="0" w:evenHBand="0" w:firstRowFirstColumn="0" w:firstRowLastColumn="0" w:lastRowFirstColumn="0" w:lastRowLastColumn="0"/>
            </w:pPr>
            <w:r w:rsidRPr="007A240F">
              <w:rPr>
                <w:sz w:val="20"/>
                <w:szCs w:val="20"/>
              </w:rPr>
              <w:t>Kopie van de betreffende polis behorend bij geschiktheidseis 3</w:t>
            </w:r>
          </w:p>
        </w:tc>
        <w:tc>
          <w:tcPr>
            <w:tcW w:w="1880" w:type="dxa"/>
            <w:vAlign w:val="center"/>
          </w:tcPr>
          <w:p w14:paraId="7EAA0872" w14:textId="544CF55A" w:rsidR="003F4472" w:rsidRPr="004D0052" w:rsidRDefault="007A240F"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Op verzoek</w:t>
            </w:r>
          </w:p>
        </w:tc>
        <w:tc>
          <w:tcPr>
            <w:tcW w:w="2629" w:type="dxa"/>
            <w:vAlign w:val="center"/>
          </w:tcPr>
          <w:p w14:paraId="5C12E8B6" w14:textId="77777777" w:rsidR="003F4472" w:rsidRPr="004D0052" w:rsidRDefault="003F4472"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Potentiële opdrachtnemer</w:t>
            </w:r>
          </w:p>
        </w:tc>
      </w:tr>
      <w:tr w:rsidR="00515EA5" w:rsidRPr="004D0052" w14:paraId="12AD47D3" w14:textId="77777777" w:rsidTr="0051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61FEC6F" w14:textId="73B90B6E" w:rsidR="003F4472" w:rsidRPr="004D0052" w:rsidRDefault="003D48CA" w:rsidP="004D0052">
            <w:pPr>
              <w:rPr>
                <w:sz w:val="20"/>
                <w:szCs w:val="20"/>
              </w:rPr>
            </w:pPr>
            <w:r>
              <w:rPr>
                <w:sz w:val="20"/>
                <w:szCs w:val="20"/>
              </w:rPr>
              <w:t>7</w:t>
            </w:r>
            <w:r w:rsidR="003F4472" w:rsidRPr="004D0052">
              <w:rPr>
                <w:sz w:val="20"/>
                <w:szCs w:val="20"/>
              </w:rPr>
              <w:t>.</w:t>
            </w:r>
          </w:p>
        </w:tc>
        <w:tc>
          <w:tcPr>
            <w:tcW w:w="3312" w:type="dxa"/>
            <w:vAlign w:val="center"/>
          </w:tcPr>
          <w:p w14:paraId="1C603D60" w14:textId="77777777" w:rsidR="003F4472" w:rsidRPr="000471AA" w:rsidRDefault="003F4472" w:rsidP="000471AA">
            <w:pPr>
              <w:pStyle w:val="Geenafstand"/>
              <w:cnfStyle w:val="000000100000" w:firstRow="0" w:lastRow="0" w:firstColumn="0" w:lastColumn="0" w:oddVBand="0" w:evenVBand="0" w:oddHBand="1" w:evenHBand="0" w:firstRowFirstColumn="0" w:firstRowLastColumn="0" w:lastRowFirstColumn="0" w:lastRowLastColumn="0"/>
              <w:rPr>
                <w:sz w:val="20"/>
                <w:szCs w:val="20"/>
              </w:rPr>
            </w:pPr>
            <w:r w:rsidRPr="000471AA">
              <w:rPr>
                <w:sz w:val="20"/>
                <w:szCs w:val="20"/>
              </w:rPr>
              <w:t>Bewijsmiddel geschiktheidseis G</w:t>
            </w:r>
            <w:r w:rsidR="000471AA" w:rsidRPr="000471AA">
              <w:rPr>
                <w:sz w:val="20"/>
                <w:szCs w:val="20"/>
              </w:rPr>
              <w:t>4-</w:t>
            </w:r>
          </w:p>
          <w:p w14:paraId="095536BE" w14:textId="0605511A" w:rsidR="000471AA" w:rsidRPr="004D0052" w:rsidRDefault="000471AA" w:rsidP="000471AA">
            <w:pPr>
              <w:pStyle w:val="Geenafstand"/>
              <w:cnfStyle w:val="000000100000" w:firstRow="0" w:lastRow="0" w:firstColumn="0" w:lastColumn="0" w:oddVBand="0" w:evenVBand="0" w:oddHBand="1" w:evenHBand="0" w:firstRowFirstColumn="0" w:firstRowLastColumn="0" w:lastRowFirstColumn="0" w:lastRowLastColumn="0"/>
            </w:pPr>
            <w:r w:rsidRPr="000471AA">
              <w:rPr>
                <w:sz w:val="20"/>
                <w:szCs w:val="20"/>
              </w:rPr>
              <w:t xml:space="preserve">UEA </w:t>
            </w:r>
            <w:r w:rsidRPr="000471AA">
              <w:rPr>
                <w:b/>
                <w:bCs/>
                <w:sz w:val="20"/>
                <w:szCs w:val="20"/>
              </w:rPr>
              <w:t xml:space="preserve">EN Referentieformulier bijlage </w:t>
            </w:r>
            <w:r w:rsidR="00DE03D6">
              <w:rPr>
                <w:b/>
                <w:bCs/>
                <w:sz w:val="20"/>
                <w:szCs w:val="20"/>
              </w:rPr>
              <w:t>5</w:t>
            </w:r>
          </w:p>
        </w:tc>
        <w:tc>
          <w:tcPr>
            <w:tcW w:w="1880" w:type="dxa"/>
            <w:vAlign w:val="center"/>
          </w:tcPr>
          <w:p w14:paraId="2521DD62" w14:textId="08C24BC2"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Bij inschrijving</w:t>
            </w:r>
          </w:p>
        </w:tc>
        <w:tc>
          <w:tcPr>
            <w:tcW w:w="2629" w:type="dxa"/>
            <w:vAlign w:val="center"/>
          </w:tcPr>
          <w:p w14:paraId="1F36C196" w14:textId="77777777" w:rsidR="003F4472" w:rsidRPr="004D0052" w:rsidRDefault="003F4472" w:rsidP="000F66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4D0052">
              <w:rPr>
                <w:sz w:val="20"/>
                <w:szCs w:val="20"/>
              </w:rPr>
              <w:t>Potentiële opdrachtnemer</w:t>
            </w:r>
          </w:p>
        </w:tc>
      </w:tr>
      <w:tr w:rsidR="002F70A5" w:rsidRPr="004D0052" w14:paraId="032BDC34" w14:textId="77777777" w:rsidTr="00515EA5">
        <w:tc>
          <w:tcPr>
            <w:cnfStyle w:val="001000000000" w:firstRow="0" w:lastRow="0" w:firstColumn="1" w:lastColumn="0" w:oddVBand="0" w:evenVBand="0" w:oddHBand="0" w:evenHBand="0" w:firstRowFirstColumn="0" w:firstRowLastColumn="0" w:lastRowFirstColumn="0" w:lastRowLastColumn="0"/>
            <w:tcW w:w="473" w:type="dxa"/>
            <w:vAlign w:val="center"/>
          </w:tcPr>
          <w:p w14:paraId="69928585" w14:textId="02B0F68F" w:rsidR="003F4472" w:rsidRPr="004D0052" w:rsidRDefault="003D48CA" w:rsidP="004D0052">
            <w:pPr>
              <w:rPr>
                <w:sz w:val="20"/>
                <w:szCs w:val="20"/>
              </w:rPr>
            </w:pPr>
            <w:r>
              <w:rPr>
                <w:sz w:val="20"/>
                <w:szCs w:val="20"/>
              </w:rPr>
              <w:t>8</w:t>
            </w:r>
            <w:r w:rsidR="003F4472" w:rsidRPr="004D0052">
              <w:rPr>
                <w:sz w:val="20"/>
                <w:szCs w:val="20"/>
              </w:rPr>
              <w:t>.</w:t>
            </w:r>
          </w:p>
        </w:tc>
        <w:tc>
          <w:tcPr>
            <w:tcW w:w="3312" w:type="dxa"/>
            <w:vAlign w:val="center"/>
          </w:tcPr>
          <w:p w14:paraId="4A139E47" w14:textId="77777777" w:rsidR="009F7FB7" w:rsidRPr="009F7FB7" w:rsidRDefault="003F4472" w:rsidP="009F7FB7">
            <w:pPr>
              <w:pStyle w:val="Geenafstand"/>
              <w:cnfStyle w:val="000000000000" w:firstRow="0" w:lastRow="0" w:firstColumn="0" w:lastColumn="0" w:oddVBand="0" w:evenVBand="0" w:oddHBand="0" w:evenHBand="0" w:firstRowFirstColumn="0" w:firstRowLastColumn="0" w:lastRowFirstColumn="0" w:lastRowLastColumn="0"/>
              <w:rPr>
                <w:sz w:val="20"/>
                <w:szCs w:val="20"/>
              </w:rPr>
            </w:pPr>
            <w:r w:rsidRPr="009F7FB7">
              <w:rPr>
                <w:sz w:val="20"/>
                <w:szCs w:val="20"/>
              </w:rPr>
              <w:t xml:space="preserve">Document gunningscriterium </w:t>
            </w:r>
          </w:p>
          <w:p w14:paraId="351938E3" w14:textId="2107FA22" w:rsidR="003F4472" w:rsidRPr="004D0052" w:rsidRDefault="009F7FB7" w:rsidP="009F7FB7">
            <w:pPr>
              <w:pStyle w:val="Geenafstand"/>
              <w:cnfStyle w:val="000000000000" w:firstRow="0" w:lastRow="0" w:firstColumn="0" w:lastColumn="0" w:oddVBand="0" w:evenVBand="0" w:oddHBand="0" w:evenHBand="0" w:firstRowFirstColumn="0" w:firstRowLastColumn="0" w:lastRowFirstColumn="0" w:lastRowLastColumn="0"/>
            </w:pPr>
            <w:r w:rsidRPr="009F7FB7">
              <w:rPr>
                <w:sz w:val="20"/>
                <w:szCs w:val="20"/>
              </w:rPr>
              <w:t>Plan van aanpak onderdeel 1 t/m 4</w:t>
            </w:r>
          </w:p>
        </w:tc>
        <w:tc>
          <w:tcPr>
            <w:tcW w:w="1880" w:type="dxa"/>
            <w:vAlign w:val="center"/>
          </w:tcPr>
          <w:p w14:paraId="23A83E79" w14:textId="2B3DC421" w:rsidR="003F4472" w:rsidRPr="004D0052" w:rsidRDefault="003F4472"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Bij inschrijving</w:t>
            </w:r>
          </w:p>
        </w:tc>
        <w:tc>
          <w:tcPr>
            <w:tcW w:w="2629" w:type="dxa"/>
            <w:vAlign w:val="center"/>
          </w:tcPr>
          <w:p w14:paraId="087171EA" w14:textId="77777777" w:rsidR="003F4472" w:rsidRPr="004D0052" w:rsidRDefault="003F4472" w:rsidP="000F66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4D0052">
              <w:rPr>
                <w:sz w:val="20"/>
                <w:szCs w:val="20"/>
              </w:rPr>
              <w:t>Potentiële opdrachtnemer</w:t>
            </w:r>
          </w:p>
        </w:tc>
      </w:tr>
    </w:tbl>
    <w:p w14:paraId="1E6B64DA" w14:textId="26B8776F" w:rsidR="00D05777" w:rsidRDefault="00D05777" w:rsidP="005830EF"/>
    <w:p w14:paraId="44F54C33" w14:textId="77777777" w:rsidR="00CD3501" w:rsidRDefault="00CD3501" w:rsidP="005830EF"/>
    <w:p w14:paraId="5C90889C" w14:textId="77777777" w:rsidR="00CD3501" w:rsidRPr="00CD3501" w:rsidRDefault="00CD3501" w:rsidP="00CD3501"/>
    <w:p w14:paraId="1B5BBE5B" w14:textId="77777777" w:rsidR="007A240F" w:rsidRPr="007A240F" w:rsidRDefault="007A240F" w:rsidP="007A240F"/>
    <w:p w14:paraId="6D688028" w14:textId="77777777" w:rsidR="00CD3501" w:rsidRDefault="00CD3501" w:rsidP="005830EF"/>
    <w:sectPr w:rsidR="00CD3501">
      <w:headerReference w:type="even" r:id="rId19"/>
      <w:headerReference w:type="default" r:id="rId20"/>
      <w:head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0FAD" w14:textId="77777777" w:rsidR="00944024" w:rsidRDefault="00944024" w:rsidP="005E1367">
      <w:r>
        <w:separator/>
      </w:r>
    </w:p>
  </w:endnote>
  <w:endnote w:type="continuationSeparator" w:id="0">
    <w:p w14:paraId="13339C02" w14:textId="77777777" w:rsidR="00944024" w:rsidRDefault="00944024"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C782" w14:textId="77777777" w:rsidR="00944024" w:rsidRDefault="00944024" w:rsidP="005E1367">
      <w:r>
        <w:separator/>
      </w:r>
    </w:p>
  </w:footnote>
  <w:footnote w:type="continuationSeparator" w:id="0">
    <w:p w14:paraId="01C72091" w14:textId="77777777" w:rsidR="00944024" w:rsidRDefault="00944024"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000000">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0C3F" w14:textId="470C2E5A" w:rsidR="003934EC" w:rsidRDefault="00000000">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8" type="#_x0000_t75" style="position:absolute;margin-left:-58.7pt;margin-top:-59pt;width:595pt;height:842pt;z-index:-251658238;mso-wrap-edited:f;mso-position-horizontal-relative:margin;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000000">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919"/>
    <w:multiLevelType w:val="hybridMultilevel"/>
    <w:tmpl w:val="DFAED05E"/>
    <w:lvl w:ilvl="0" w:tplc="F1CE0D02">
      <w:start w:val="2"/>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6A80774"/>
    <w:multiLevelType w:val="hybridMultilevel"/>
    <w:tmpl w:val="3E360046"/>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866101"/>
    <w:multiLevelType w:val="multilevel"/>
    <w:tmpl w:val="7DD6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663D3"/>
    <w:multiLevelType w:val="hybridMultilevel"/>
    <w:tmpl w:val="B4F22C9C"/>
    <w:lvl w:ilvl="0" w:tplc="F1CE0D02">
      <w:start w:val="2"/>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73C1F6C"/>
    <w:multiLevelType w:val="hybridMultilevel"/>
    <w:tmpl w:val="556C67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364FB4"/>
    <w:multiLevelType w:val="hybridMultilevel"/>
    <w:tmpl w:val="D924E772"/>
    <w:lvl w:ilvl="0" w:tplc="04130019">
      <w:start w:val="1"/>
      <w:numFmt w:val="lowerLetter"/>
      <w:lvlText w:val="%1."/>
      <w:lvlJc w:val="left"/>
      <w:pPr>
        <w:ind w:left="720" w:hanging="360"/>
      </w:pPr>
    </w:lvl>
    <w:lvl w:ilvl="1" w:tplc="B0068550">
      <w:start w:val="4"/>
      <w:numFmt w:val="bullet"/>
      <w:lvlText w:val="-"/>
      <w:lvlJc w:val="left"/>
      <w:pPr>
        <w:ind w:left="1440" w:hanging="360"/>
      </w:pPr>
      <w:rPr>
        <w:rFonts w:ascii="Calibri" w:eastAsia="Times New Roman" w:hAnsi="Calibri" w:cs="Calibri" w:hint="default"/>
      </w:rPr>
    </w:lvl>
    <w:lvl w:ilvl="2" w:tplc="03F2DBE6">
      <w:start w:val="6"/>
      <w:numFmt w:val="bullet"/>
      <w:lvlText w:val="•"/>
      <w:lvlJc w:val="left"/>
      <w:pPr>
        <w:ind w:left="2685" w:hanging="705"/>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0B129C"/>
    <w:multiLevelType w:val="multilevel"/>
    <w:tmpl w:val="3084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14065"/>
    <w:multiLevelType w:val="hybridMultilevel"/>
    <w:tmpl w:val="4B44069E"/>
    <w:lvl w:ilvl="0" w:tplc="0413000F">
      <w:start w:val="1"/>
      <w:numFmt w:val="decimal"/>
      <w:lvlText w:val="%1."/>
      <w:lvlJc w:val="left"/>
      <w:pPr>
        <w:ind w:left="720" w:hanging="360"/>
      </w:pPr>
    </w:lvl>
    <w:lvl w:ilvl="1" w:tplc="13ECBFD4">
      <w:start w:val="1"/>
      <w:numFmt w:val="decimal"/>
      <w:lvlText w:val="%2."/>
      <w:lvlJc w:val="left"/>
      <w:pPr>
        <w:ind w:left="1440" w:hanging="360"/>
      </w:pPr>
      <w:rPr>
        <w:rFonts w:asciiTheme="minorHAnsi" w:eastAsiaTheme="minorHAnsi" w:hAnsiTheme="minorHAnsi"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AB6571"/>
    <w:multiLevelType w:val="hybridMultilevel"/>
    <w:tmpl w:val="D9D8C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E6014"/>
    <w:multiLevelType w:val="hybridMultilevel"/>
    <w:tmpl w:val="6C0092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C0D78"/>
    <w:multiLevelType w:val="multilevel"/>
    <w:tmpl w:val="A5125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4E7239"/>
    <w:multiLevelType w:val="hybridMultilevel"/>
    <w:tmpl w:val="A1469FB8"/>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B3258B"/>
    <w:multiLevelType w:val="multilevel"/>
    <w:tmpl w:val="E2F0C4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B0449"/>
    <w:multiLevelType w:val="multilevel"/>
    <w:tmpl w:val="24D21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478D0"/>
    <w:multiLevelType w:val="hybridMultilevel"/>
    <w:tmpl w:val="1D7470DA"/>
    <w:lvl w:ilvl="0" w:tplc="EC0066A0">
      <w:numFmt w:val="bullet"/>
      <w:lvlText w:val="•"/>
      <w:lvlJc w:val="left"/>
      <w:pPr>
        <w:ind w:left="1430" w:hanging="71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C4148CC"/>
    <w:multiLevelType w:val="hybridMultilevel"/>
    <w:tmpl w:val="0A8E45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D006E87"/>
    <w:multiLevelType w:val="hybridMultilevel"/>
    <w:tmpl w:val="F8F45890"/>
    <w:lvl w:ilvl="0" w:tplc="F1CE0D02">
      <w:start w:val="2"/>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415A4E28"/>
    <w:multiLevelType w:val="hybridMultilevel"/>
    <w:tmpl w:val="3CBAF76C"/>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C7005F"/>
    <w:multiLevelType w:val="hybridMultilevel"/>
    <w:tmpl w:val="B0D8E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885FB5"/>
    <w:multiLevelType w:val="hybridMultilevel"/>
    <w:tmpl w:val="35D219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CB11CF"/>
    <w:multiLevelType w:val="multilevel"/>
    <w:tmpl w:val="BB40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30CFB"/>
    <w:multiLevelType w:val="hybridMultilevel"/>
    <w:tmpl w:val="51020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031E8B"/>
    <w:multiLevelType w:val="hybridMultilevel"/>
    <w:tmpl w:val="D28A9A98"/>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2946CD"/>
    <w:multiLevelType w:val="hybridMultilevel"/>
    <w:tmpl w:val="31BC4FC4"/>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1233A7"/>
    <w:multiLevelType w:val="hybridMultilevel"/>
    <w:tmpl w:val="C44639C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3F2DBE6">
      <w:start w:val="6"/>
      <w:numFmt w:val="bullet"/>
      <w:lvlText w:val="•"/>
      <w:lvlJc w:val="left"/>
      <w:pPr>
        <w:ind w:left="2685" w:hanging="705"/>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A1175E"/>
    <w:multiLevelType w:val="hybridMultilevel"/>
    <w:tmpl w:val="59EE7D8C"/>
    <w:lvl w:ilvl="0" w:tplc="35E64B86">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26063C"/>
    <w:multiLevelType w:val="multilevel"/>
    <w:tmpl w:val="CC1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84AE3"/>
    <w:multiLevelType w:val="multilevel"/>
    <w:tmpl w:val="60C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060BB"/>
    <w:multiLevelType w:val="multilevel"/>
    <w:tmpl w:val="3CFE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34C46"/>
    <w:multiLevelType w:val="hybridMultilevel"/>
    <w:tmpl w:val="C4C8D2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887289"/>
    <w:multiLevelType w:val="multilevel"/>
    <w:tmpl w:val="B5785D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AF0E16"/>
    <w:multiLevelType w:val="hybridMultilevel"/>
    <w:tmpl w:val="A12815CC"/>
    <w:lvl w:ilvl="0" w:tplc="35E64B86">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E1544E"/>
    <w:multiLevelType w:val="hybridMultilevel"/>
    <w:tmpl w:val="F372140C"/>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497FC0"/>
    <w:multiLevelType w:val="multilevel"/>
    <w:tmpl w:val="B21201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0529D7"/>
    <w:multiLevelType w:val="multilevel"/>
    <w:tmpl w:val="A7C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72F9D"/>
    <w:multiLevelType w:val="hybridMultilevel"/>
    <w:tmpl w:val="8B6AED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392E9C"/>
    <w:multiLevelType w:val="hybridMultilevel"/>
    <w:tmpl w:val="A6FCBBD8"/>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F976A7"/>
    <w:multiLevelType w:val="hybridMultilevel"/>
    <w:tmpl w:val="4C66759E"/>
    <w:lvl w:ilvl="0" w:tplc="EC0066A0">
      <w:numFmt w:val="bullet"/>
      <w:lvlText w:val="•"/>
      <w:lvlJc w:val="left"/>
      <w:pPr>
        <w:ind w:left="1430" w:hanging="71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7E6075E"/>
    <w:multiLevelType w:val="hybridMultilevel"/>
    <w:tmpl w:val="C366DD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A3D576E"/>
    <w:multiLevelType w:val="hybridMultilevel"/>
    <w:tmpl w:val="4DB46EBA"/>
    <w:lvl w:ilvl="0" w:tplc="2968FF4A">
      <w:start w:val="1"/>
      <w:numFmt w:val="decimal"/>
      <w:lvlText w:val="%1."/>
      <w:lvlJc w:val="left"/>
      <w:pPr>
        <w:ind w:left="900" w:hanging="360"/>
      </w:pPr>
      <w:rPr>
        <w:rFonts w:hint="default"/>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44" w15:restartNumberingAfterBreak="0">
    <w:nsid w:val="7ABA0BE2"/>
    <w:multiLevelType w:val="multilevel"/>
    <w:tmpl w:val="404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20B36"/>
    <w:multiLevelType w:val="multilevel"/>
    <w:tmpl w:val="9D1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466871"/>
    <w:multiLevelType w:val="multilevel"/>
    <w:tmpl w:val="8416CF2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F995206"/>
    <w:multiLevelType w:val="hybridMultilevel"/>
    <w:tmpl w:val="F984F3BE"/>
    <w:lvl w:ilvl="0" w:tplc="EC0066A0">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5312977">
    <w:abstractNumId w:val="20"/>
  </w:num>
  <w:num w:numId="2" w16cid:durableId="154616242">
    <w:abstractNumId w:val="34"/>
  </w:num>
  <w:num w:numId="3" w16cid:durableId="1066949468">
    <w:abstractNumId w:val="11"/>
  </w:num>
  <w:num w:numId="4" w16cid:durableId="1327250494">
    <w:abstractNumId w:val="28"/>
  </w:num>
  <w:num w:numId="5" w16cid:durableId="1377386309">
    <w:abstractNumId w:val="26"/>
  </w:num>
  <w:num w:numId="6" w16cid:durableId="1744526823">
    <w:abstractNumId w:val="19"/>
  </w:num>
  <w:num w:numId="7" w16cid:durableId="1047952111">
    <w:abstractNumId w:val="32"/>
  </w:num>
  <w:num w:numId="8" w16cid:durableId="1727795895">
    <w:abstractNumId w:val="21"/>
  </w:num>
  <w:num w:numId="9" w16cid:durableId="1611163227">
    <w:abstractNumId w:val="47"/>
  </w:num>
  <w:num w:numId="10" w16cid:durableId="309361084">
    <w:abstractNumId w:val="1"/>
  </w:num>
  <w:num w:numId="11" w16cid:durableId="1923634977">
    <w:abstractNumId w:val="25"/>
  </w:num>
  <w:num w:numId="12" w16cid:durableId="2060468172">
    <w:abstractNumId w:val="13"/>
  </w:num>
  <w:num w:numId="13" w16cid:durableId="603152840">
    <w:abstractNumId w:val="40"/>
  </w:num>
  <w:num w:numId="14" w16cid:durableId="2024554959">
    <w:abstractNumId w:val="35"/>
  </w:num>
  <w:num w:numId="15" w16cid:durableId="1069697022">
    <w:abstractNumId w:val="29"/>
  </w:num>
  <w:num w:numId="16" w16cid:durableId="485364434">
    <w:abstractNumId w:val="16"/>
  </w:num>
  <w:num w:numId="17" w16cid:durableId="293952432">
    <w:abstractNumId w:val="17"/>
  </w:num>
  <w:num w:numId="18" w16cid:durableId="1412972420">
    <w:abstractNumId w:val="33"/>
  </w:num>
  <w:num w:numId="19" w16cid:durableId="233323165">
    <w:abstractNumId w:val="24"/>
  </w:num>
  <w:num w:numId="20" w16cid:durableId="2035228421">
    <w:abstractNumId w:val="22"/>
  </w:num>
  <w:num w:numId="21" w16cid:durableId="2049527472">
    <w:abstractNumId w:val="41"/>
  </w:num>
  <w:num w:numId="22" w16cid:durableId="1615211435">
    <w:abstractNumId w:val="37"/>
  </w:num>
  <w:num w:numId="23" w16cid:durableId="39331834">
    <w:abstractNumId w:val="15"/>
  </w:num>
  <w:num w:numId="24" w16cid:durableId="1477603283">
    <w:abstractNumId w:val="38"/>
  </w:num>
  <w:num w:numId="25" w16cid:durableId="1108891186">
    <w:abstractNumId w:val="3"/>
  </w:num>
  <w:num w:numId="26" w16cid:durableId="2005473085">
    <w:abstractNumId w:val="45"/>
  </w:num>
  <w:num w:numId="27" w16cid:durableId="1817453067">
    <w:abstractNumId w:val="7"/>
  </w:num>
  <w:num w:numId="28" w16cid:durableId="1618559497">
    <w:abstractNumId w:val="23"/>
  </w:num>
  <w:num w:numId="29" w16cid:durableId="915286441">
    <w:abstractNumId w:val="27"/>
  </w:num>
  <w:num w:numId="30" w16cid:durableId="1686513991">
    <w:abstractNumId w:val="6"/>
  </w:num>
  <w:num w:numId="31" w16cid:durableId="502014800">
    <w:abstractNumId w:val="12"/>
  </w:num>
  <w:num w:numId="32" w16cid:durableId="2116898496">
    <w:abstractNumId w:val="36"/>
  </w:num>
  <w:num w:numId="33" w16cid:durableId="25063000">
    <w:abstractNumId w:val="30"/>
  </w:num>
  <w:num w:numId="34" w16cid:durableId="899824627">
    <w:abstractNumId w:val="31"/>
  </w:num>
  <w:num w:numId="35" w16cid:durableId="465970794">
    <w:abstractNumId w:val="44"/>
  </w:num>
  <w:num w:numId="36" w16cid:durableId="1536191047">
    <w:abstractNumId w:val="2"/>
  </w:num>
  <w:num w:numId="37" w16cid:durableId="160387848">
    <w:abstractNumId w:val="46"/>
  </w:num>
  <w:num w:numId="38" w16cid:durableId="1132021740">
    <w:abstractNumId w:val="43"/>
  </w:num>
  <w:num w:numId="39" w16cid:durableId="180709906">
    <w:abstractNumId w:val="18"/>
  </w:num>
  <w:num w:numId="40" w16cid:durableId="419982380">
    <w:abstractNumId w:val="0"/>
  </w:num>
  <w:num w:numId="41" w16cid:durableId="2055881815">
    <w:abstractNumId w:val="4"/>
  </w:num>
  <w:num w:numId="42" w16cid:durableId="2086871992">
    <w:abstractNumId w:val="14"/>
  </w:num>
  <w:num w:numId="43" w16cid:durableId="890657393">
    <w:abstractNumId w:val="42"/>
  </w:num>
  <w:num w:numId="44" w16cid:durableId="919098551">
    <w:abstractNumId w:val="9"/>
  </w:num>
  <w:num w:numId="45" w16cid:durableId="1186409968">
    <w:abstractNumId w:val="5"/>
  </w:num>
  <w:num w:numId="46" w16cid:durableId="1886867275">
    <w:abstractNumId w:val="10"/>
  </w:num>
  <w:num w:numId="47" w16cid:durableId="665207057">
    <w:abstractNumId w:val="39"/>
  </w:num>
  <w:num w:numId="48" w16cid:durableId="1890340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CFF"/>
    <w:rsid w:val="00001476"/>
    <w:rsid w:val="000134FB"/>
    <w:rsid w:val="00013BC7"/>
    <w:rsid w:val="000148A1"/>
    <w:rsid w:val="00014A5B"/>
    <w:rsid w:val="00015D2C"/>
    <w:rsid w:val="00016177"/>
    <w:rsid w:val="00021DE5"/>
    <w:rsid w:val="00022A5B"/>
    <w:rsid w:val="000240FF"/>
    <w:rsid w:val="00024919"/>
    <w:rsid w:val="00031638"/>
    <w:rsid w:val="00033BDE"/>
    <w:rsid w:val="000347DA"/>
    <w:rsid w:val="0003615D"/>
    <w:rsid w:val="00036A2A"/>
    <w:rsid w:val="0004612F"/>
    <w:rsid w:val="00046BD5"/>
    <w:rsid w:val="000471AA"/>
    <w:rsid w:val="0005109F"/>
    <w:rsid w:val="00056CC1"/>
    <w:rsid w:val="00062E53"/>
    <w:rsid w:val="000674A6"/>
    <w:rsid w:val="00074D13"/>
    <w:rsid w:val="00076303"/>
    <w:rsid w:val="000813AC"/>
    <w:rsid w:val="00082755"/>
    <w:rsid w:val="00092130"/>
    <w:rsid w:val="00093B46"/>
    <w:rsid w:val="000A4399"/>
    <w:rsid w:val="000A7D71"/>
    <w:rsid w:val="000B1A4A"/>
    <w:rsid w:val="000B1CE1"/>
    <w:rsid w:val="000C4D36"/>
    <w:rsid w:val="000E2B37"/>
    <w:rsid w:val="000E3C9D"/>
    <w:rsid w:val="000E5FC7"/>
    <w:rsid w:val="000F2ACC"/>
    <w:rsid w:val="000F6681"/>
    <w:rsid w:val="001013A3"/>
    <w:rsid w:val="00104708"/>
    <w:rsid w:val="00104B4C"/>
    <w:rsid w:val="00104E49"/>
    <w:rsid w:val="001104A0"/>
    <w:rsid w:val="00111A2E"/>
    <w:rsid w:val="001212E9"/>
    <w:rsid w:val="00126002"/>
    <w:rsid w:val="00126B94"/>
    <w:rsid w:val="001305FB"/>
    <w:rsid w:val="00141A36"/>
    <w:rsid w:val="00142B21"/>
    <w:rsid w:val="00143319"/>
    <w:rsid w:val="0014605C"/>
    <w:rsid w:val="00154A39"/>
    <w:rsid w:val="001550C6"/>
    <w:rsid w:val="00161D4A"/>
    <w:rsid w:val="00172689"/>
    <w:rsid w:val="00173671"/>
    <w:rsid w:val="00173FE1"/>
    <w:rsid w:val="001805DD"/>
    <w:rsid w:val="00183BEB"/>
    <w:rsid w:val="00185297"/>
    <w:rsid w:val="001A0078"/>
    <w:rsid w:val="001A31F5"/>
    <w:rsid w:val="001A7542"/>
    <w:rsid w:val="001B70A5"/>
    <w:rsid w:val="001B7159"/>
    <w:rsid w:val="001C5C43"/>
    <w:rsid w:val="001C64B4"/>
    <w:rsid w:val="001C6B57"/>
    <w:rsid w:val="001D0219"/>
    <w:rsid w:val="001D1501"/>
    <w:rsid w:val="001D1BB7"/>
    <w:rsid w:val="001D56A4"/>
    <w:rsid w:val="001E6646"/>
    <w:rsid w:val="001F296F"/>
    <w:rsid w:val="001F2B94"/>
    <w:rsid w:val="001F3A82"/>
    <w:rsid w:val="00200196"/>
    <w:rsid w:val="00200375"/>
    <w:rsid w:val="00200651"/>
    <w:rsid w:val="00201ED3"/>
    <w:rsid w:val="00202A4E"/>
    <w:rsid w:val="00205087"/>
    <w:rsid w:val="00211ED8"/>
    <w:rsid w:val="00213234"/>
    <w:rsid w:val="002148FD"/>
    <w:rsid w:val="00216BC7"/>
    <w:rsid w:val="00223415"/>
    <w:rsid w:val="00224705"/>
    <w:rsid w:val="002251C6"/>
    <w:rsid w:val="0022650B"/>
    <w:rsid w:val="00236ED0"/>
    <w:rsid w:val="00237726"/>
    <w:rsid w:val="002402CF"/>
    <w:rsid w:val="00240737"/>
    <w:rsid w:val="0024301C"/>
    <w:rsid w:val="00243A13"/>
    <w:rsid w:val="0024608B"/>
    <w:rsid w:val="00246118"/>
    <w:rsid w:val="0025120D"/>
    <w:rsid w:val="00251F91"/>
    <w:rsid w:val="002565A0"/>
    <w:rsid w:val="002568B5"/>
    <w:rsid w:val="00263DC3"/>
    <w:rsid w:val="00273AB6"/>
    <w:rsid w:val="002756FF"/>
    <w:rsid w:val="00280156"/>
    <w:rsid w:val="00281BBA"/>
    <w:rsid w:val="00283C1C"/>
    <w:rsid w:val="0028413B"/>
    <w:rsid w:val="002863AA"/>
    <w:rsid w:val="002927D6"/>
    <w:rsid w:val="0029558B"/>
    <w:rsid w:val="002959D2"/>
    <w:rsid w:val="00297F74"/>
    <w:rsid w:val="002A3626"/>
    <w:rsid w:val="002A3F12"/>
    <w:rsid w:val="002A57B6"/>
    <w:rsid w:val="002A63AD"/>
    <w:rsid w:val="002B61C2"/>
    <w:rsid w:val="002B7216"/>
    <w:rsid w:val="002C6AFA"/>
    <w:rsid w:val="002D0D76"/>
    <w:rsid w:val="002D226A"/>
    <w:rsid w:val="002D5521"/>
    <w:rsid w:val="002D72A0"/>
    <w:rsid w:val="002E52ED"/>
    <w:rsid w:val="002E7CF7"/>
    <w:rsid w:val="002F0B16"/>
    <w:rsid w:val="002F3200"/>
    <w:rsid w:val="002F3F9F"/>
    <w:rsid w:val="002F70A5"/>
    <w:rsid w:val="0030275E"/>
    <w:rsid w:val="003047CF"/>
    <w:rsid w:val="00307335"/>
    <w:rsid w:val="003117AF"/>
    <w:rsid w:val="003117CA"/>
    <w:rsid w:val="003137D2"/>
    <w:rsid w:val="00315A1F"/>
    <w:rsid w:val="0032185A"/>
    <w:rsid w:val="00322523"/>
    <w:rsid w:val="00323AFA"/>
    <w:rsid w:val="00325260"/>
    <w:rsid w:val="0032706D"/>
    <w:rsid w:val="0033122D"/>
    <w:rsid w:val="00333F62"/>
    <w:rsid w:val="00336853"/>
    <w:rsid w:val="00340141"/>
    <w:rsid w:val="003401F8"/>
    <w:rsid w:val="00341184"/>
    <w:rsid w:val="00342642"/>
    <w:rsid w:val="00345481"/>
    <w:rsid w:val="00347031"/>
    <w:rsid w:val="00351FA6"/>
    <w:rsid w:val="00360D29"/>
    <w:rsid w:val="003644EF"/>
    <w:rsid w:val="00366BBC"/>
    <w:rsid w:val="00372338"/>
    <w:rsid w:val="0037680C"/>
    <w:rsid w:val="003934EC"/>
    <w:rsid w:val="003947A4"/>
    <w:rsid w:val="003A06DB"/>
    <w:rsid w:val="003A1BA1"/>
    <w:rsid w:val="003A5B78"/>
    <w:rsid w:val="003A60AB"/>
    <w:rsid w:val="003A6873"/>
    <w:rsid w:val="003A69F4"/>
    <w:rsid w:val="003B0EEE"/>
    <w:rsid w:val="003B37B7"/>
    <w:rsid w:val="003B6EB6"/>
    <w:rsid w:val="003B7280"/>
    <w:rsid w:val="003C1024"/>
    <w:rsid w:val="003D0CEC"/>
    <w:rsid w:val="003D3008"/>
    <w:rsid w:val="003D48CA"/>
    <w:rsid w:val="003F29EA"/>
    <w:rsid w:val="003F4119"/>
    <w:rsid w:val="003F4472"/>
    <w:rsid w:val="003F453F"/>
    <w:rsid w:val="003F5AA5"/>
    <w:rsid w:val="00400B0C"/>
    <w:rsid w:val="0040486D"/>
    <w:rsid w:val="00422E92"/>
    <w:rsid w:val="00431002"/>
    <w:rsid w:val="004416FE"/>
    <w:rsid w:val="00441C99"/>
    <w:rsid w:val="00442BAC"/>
    <w:rsid w:val="004518E4"/>
    <w:rsid w:val="00451F52"/>
    <w:rsid w:val="004528F2"/>
    <w:rsid w:val="00456753"/>
    <w:rsid w:val="00457CD3"/>
    <w:rsid w:val="004622B4"/>
    <w:rsid w:val="00462323"/>
    <w:rsid w:val="00462671"/>
    <w:rsid w:val="004840F3"/>
    <w:rsid w:val="0048512F"/>
    <w:rsid w:val="0048515C"/>
    <w:rsid w:val="00486F30"/>
    <w:rsid w:val="00487A1E"/>
    <w:rsid w:val="00491AB3"/>
    <w:rsid w:val="00493367"/>
    <w:rsid w:val="004941AD"/>
    <w:rsid w:val="00495103"/>
    <w:rsid w:val="004A0D0E"/>
    <w:rsid w:val="004A5ADF"/>
    <w:rsid w:val="004A5E11"/>
    <w:rsid w:val="004B16B6"/>
    <w:rsid w:val="004B274C"/>
    <w:rsid w:val="004B4CBA"/>
    <w:rsid w:val="004B5DBF"/>
    <w:rsid w:val="004B6F8F"/>
    <w:rsid w:val="004C1040"/>
    <w:rsid w:val="004C1368"/>
    <w:rsid w:val="004C13C7"/>
    <w:rsid w:val="004C1F2B"/>
    <w:rsid w:val="004C22D0"/>
    <w:rsid w:val="004C26AC"/>
    <w:rsid w:val="004C3290"/>
    <w:rsid w:val="004C6553"/>
    <w:rsid w:val="004D0052"/>
    <w:rsid w:val="004D0141"/>
    <w:rsid w:val="004D1142"/>
    <w:rsid w:val="004D1C8D"/>
    <w:rsid w:val="004D27E8"/>
    <w:rsid w:val="004D7589"/>
    <w:rsid w:val="004E3FCE"/>
    <w:rsid w:val="004E501A"/>
    <w:rsid w:val="004F6BF2"/>
    <w:rsid w:val="00504101"/>
    <w:rsid w:val="00513109"/>
    <w:rsid w:val="00513615"/>
    <w:rsid w:val="0051489B"/>
    <w:rsid w:val="00515EA5"/>
    <w:rsid w:val="00520FC5"/>
    <w:rsid w:val="00522199"/>
    <w:rsid w:val="00522862"/>
    <w:rsid w:val="00522D48"/>
    <w:rsid w:val="005245C6"/>
    <w:rsid w:val="005356D5"/>
    <w:rsid w:val="00552509"/>
    <w:rsid w:val="00554A3A"/>
    <w:rsid w:val="0055676B"/>
    <w:rsid w:val="00565B7D"/>
    <w:rsid w:val="005662C9"/>
    <w:rsid w:val="0057163C"/>
    <w:rsid w:val="005719E0"/>
    <w:rsid w:val="0057296F"/>
    <w:rsid w:val="005760EC"/>
    <w:rsid w:val="00576E7E"/>
    <w:rsid w:val="005778DE"/>
    <w:rsid w:val="005830EF"/>
    <w:rsid w:val="005845FA"/>
    <w:rsid w:val="005862A4"/>
    <w:rsid w:val="00586B08"/>
    <w:rsid w:val="005871CE"/>
    <w:rsid w:val="00587341"/>
    <w:rsid w:val="00590D7D"/>
    <w:rsid w:val="005A5F30"/>
    <w:rsid w:val="005B1563"/>
    <w:rsid w:val="005B27EF"/>
    <w:rsid w:val="005C68CE"/>
    <w:rsid w:val="005D419C"/>
    <w:rsid w:val="005D5E54"/>
    <w:rsid w:val="005E1367"/>
    <w:rsid w:val="005F0021"/>
    <w:rsid w:val="005F11E8"/>
    <w:rsid w:val="005F487C"/>
    <w:rsid w:val="005F6E20"/>
    <w:rsid w:val="006042FA"/>
    <w:rsid w:val="0061261E"/>
    <w:rsid w:val="00612683"/>
    <w:rsid w:val="00616B37"/>
    <w:rsid w:val="00636A49"/>
    <w:rsid w:val="00637766"/>
    <w:rsid w:val="00644BC0"/>
    <w:rsid w:val="00645A07"/>
    <w:rsid w:val="00646521"/>
    <w:rsid w:val="0065112C"/>
    <w:rsid w:val="00651701"/>
    <w:rsid w:val="00652B6B"/>
    <w:rsid w:val="006562C1"/>
    <w:rsid w:val="0066308B"/>
    <w:rsid w:val="0067585F"/>
    <w:rsid w:val="00677B4D"/>
    <w:rsid w:val="00686AC9"/>
    <w:rsid w:val="00695788"/>
    <w:rsid w:val="00697E39"/>
    <w:rsid w:val="006A0FBD"/>
    <w:rsid w:val="006A68AE"/>
    <w:rsid w:val="006B3720"/>
    <w:rsid w:val="006B6355"/>
    <w:rsid w:val="006C2A07"/>
    <w:rsid w:val="006C379B"/>
    <w:rsid w:val="006C4991"/>
    <w:rsid w:val="006C6484"/>
    <w:rsid w:val="006D0E2F"/>
    <w:rsid w:val="006D24A1"/>
    <w:rsid w:val="006E402C"/>
    <w:rsid w:val="006E480B"/>
    <w:rsid w:val="006E49FC"/>
    <w:rsid w:val="006E5417"/>
    <w:rsid w:val="006F5388"/>
    <w:rsid w:val="007003B7"/>
    <w:rsid w:val="0070520D"/>
    <w:rsid w:val="00707464"/>
    <w:rsid w:val="00710A6F"/>
    <w:rsid w:val="0071487E"/>
    <w:rsid w:val="007276B0"/>
    <w:rsid w:val="007340FE"/>
    <w:rsid w:val="00740F4A"/>
    <w:rsid w:val="0075098F"/>
    <w:rsid w:val="00753ADA"/>
    <w:rsid w:val="00755D14"/>
    <w:rsid w:val="0076197C"/>
    <w:rsid w:val="00763E3B"/>
    <w:rsid w:val="00765F47"/>
    <w:rsid w:val="0076688C"/>
    <w:rsid w:val="00770048"/>
    <w:rsid w:val="007712A7"/>
    <w:rsid w:val="0077203B"/>
    <w:rsid w:val="00776268"/>
    <w:rsid w:val="007803CE"/>
    <w:rsid w:val="00783A01"/>
    <w:rsid w:val="0078492E"/>
    <w:rsid w:val="00791709"/>
    <w:rsid w:val="00791C89"/>
    <w:rsid w:val="007922F2"/>
    <w:rsid w:val="007950E1"/>
    <w:rsid w:val="00795A9C"/>
    <w:rsid w:val="0079681E"/>
    <w:rsid w:val="00796997"/>
    <w:rsid w:val="007979B9"/>
    <w:rsid w:val="007A0208"/>
    <w:rsid w:val="007A0C56"/>
    <w:rsid w:val="007A19CF"/>
    <w:rsid w:val="007A240F"/>
    <w:rsid w:val="007A292A"/>
    <w:rsid w:val="007A77C4"/>
    <w:rsid w:val="007A7981"/>
    <w:rsid w:val="007B3C2D"/>
    <w:rsid w:val="007B5639"/>
    <w:rsid w:val="007C0EB5"/>
    <w:rsid w:val="007C39B5"/>
    <w:rsid w:val="007C3BA8"/>
    <w:rsid w:val="007D3483"/>
    <w:rsid w:val="007E0644"/>
    <w:rsid w:val="007F0A11"/>
    <w:rsid w:val="007F4E91"/>
    <w:rsid w:val="00802389"/>
    <w:rsid w:val="0080468E"/>
    <w:rsid w:val="00804E15"/>
    <w:rsid w:val="00805DE5"/>
    <w:rsid w:val="0080731B"/>
    <w:rsid w:val="008074D0"/>
    <w:rsid w:val="00811A3F"/>
    <w:rsid w:val="008168E8"/>
    <w:rsid w:val="0082002E"/>
    <w:rsid w:val="00822CE1"/>
    <w:rsid w:val="00831E63"/>
    <w:rsid w:val="008328DB"/>
    <w:rsid w:val="00832DFC"/>
    <w:rsid w:val="0083397D"/>
    <w:rsid w:val="00835D1A"/>
    <w:rsid w:val="00846B24"/>
    <w:rsid w:val="00846BCF"/>
    <w:rsid w:val="008508B5"/>
    <w:rsid w:val="00851313"/>
    <w:rsid w:val="008544D7"/>
    <w:rsid w:val="008551F1"/>
    <w:rsid w:val="008551F8"/>
    <w:rsid w:val="0085797C"/>
    <w:rsid w:val="00861D7F"/>
    <w:rsid w:val="008620D5"/>
    <w:rsid w:val="008650A9"/>
    <w:rsid w:val="008676D7"/>
    <w:rsid w:val="00876837"/>
    <w:rsid w:val="00886979"/>
    <w:rsid w:val="00892AE3"/>
    <w:rsid w:val="008952F5"/>
    <w:rsid w:val="008A06C6"/>
    <w:rsid w:val="008A3304"/>
    <w:rsid w:val="008A44E3"/>
    <w:rsid w:val="008A4D0B"/>
    <w:rsid w:val="008B0C27"/>
    <w:rsid w:val="008B211D"/>
    <w:rsid w:val="008B31A7"/>
    <w:rsid w:val="008C4A9B"/>
    <w:rsid w:val="008C609D"/>
    <w:rsid w:val="008C6D38"/>
    <w:rsid w:val="008D0439"/>
    <w:rsid w:val="008D0A46"/>
    <w:rsid w:val="008D10A5"/>
    <w:rsid w:val="008D1923"/>
    <w:rsid w:val="008D5E10"/>
    <w:rsid w:val="008D691D"/>
    <w:rsid w:val="008E0B3E"/>
    <w:rsid w:val="008E17AB"/>
    <w:rsid w:val="008E32AA"/>
    <w:rsid w:val="008E34DE"/>
    <w:rsid w:val="00900C1C"/>
    <w:rsid w:val="00906B33"/>
    <w:rsid w:val="00913472"/>
    <w:rsid w:val="009158F7"/>
    <w:rsid w:val="009176BF"/>
    <w:rsid w:val="00922342"/>
    <w:rsid w:val="0092241A"/>
    <w:rsid w:val="00926FD6"/>
    <w:rsid w:val="00930794"/>
    <w:rsid w:val="009333C4"/>
    <w:rsid w:val="00935F87"/>
    <w:rsid w:val="00936F80"/>
    <w:rsid w:val="009379F8"/>
    <w:rsid w:val="00944024"/>
    <w:rsid w:val="00944896"/>
    <w:rsid w:val="00952552"/>
    <w:rsid w:val="00955A31"/>
    <w:rsid w:val="00960D65"/>
    <w:rsid w:val="00963813"/>
    <w:rsid w:val="009649A8"/>
    <w:rsid w:val="00975379"/>
    <w:rsid w:val="009827EB"/>
    <w:rsid w:val="00985003"/>
    <w:rsid w:val="00990063"/>
    <w:rsid w:val="009A0784"/>
    <w:rsid w:val="009A0C85"/>
    <w:rsid w:val="009A1B6E"/>
    <w:rsid w:val="009A2CD2"/>
    <w:rsid w:val="009A4777"/>
    <w:rsid w:val="009B0811"/>
    <w:rsid w:val="009B10EA"/>
    <w:rsid w:val="009B563A"/>
    <w:rsid w:val="009B5D7B"/>
    <w:rsid w:val="009B7CAF"/>
    <w:rsid w:val="009B7E58"/>
    <w:rsid w:val="009C1FB6"/>
    <w:rsid w:val="009C4110"/>
    <w:rsid w:val="009C5141"/>
    <w:rsid w:val="009C546B"/>
    <w:rsid w:val="009D0660"/>
    <w:rsid w:val="009D7A7F"/>
    <w:rsid w:val="009F1039"/>
    <w:rsid w:val="009F196F"/>
    <w:rsid w:val="009F2293"/>
    <w:rsid w:val="009F7FB7"/>
    <w:rsid w:val="00A019F4"/>
    <w:rsid w:val="00A02823"/>
    <w:rsid w:val="00A03DD1"/>
    <w:rsid w:val="00A04222"/>
    <w:rsid w:val="00A10A7B"/>
    <w:rsid w:val="00A15242"/>
    <w:rsid w:val="00A167BA"/>
    <w:rsid w:val="00A24F5E"/>
    <w:rsid w:val="00A3278F"/>
    <w:rsid w:val="00A32A3D"/>
    <w:rsid w:val="00A35A0D"/>
    <w:rsid w:val="00A37D6C"/>
    <w:rsid w:val="00A44188"/>
    <w:rsid w:val="00A51493"/>
    <w:rsid w:val="00A54A18"/>
    <w:rsid w:val="00A55CC1"/>
    <w:rsid w:val="00A6064B"/>
    <w:rsid w:val="00A65D6F"/>
    <w:rsid w:val="00A779EA"/>
    <w:rsid w:val="00A81406"/>
    <w:rsid w:val="00A84009"/>
    <w:rsid w:val="00A90B58"/>
    <w:rsid w:val="00A922FB"/>
    <w:rsid w:val="00A96779"/>
    <w:rsid w:val="00AA7AC6"/>
    <w:rsid w:val="00AB0E1E"/>
    <w:rsid w:val="00AB2A1B"/>
    <w:rsid w:val="00AB312B"/>
    <w:rsid w:val="00AB5EC2"/>
    <w:rsid w:val="00AB6771"/>
    <w:rsid w:val="00AB6D15"/>
    <w:rsid w:val="00AB7F5B"/>
    <w:rsid w:val="00AC146B"/>
    <w:rsid w:val="00AC1C46"/>
    <w:rsid w:val="00AC2004"/>
    <w:rsid w:val="00AC3BFC"/>
    <w:rsid w:val="00AC4386"/>
    <w:rsid w:val="00AC485C"/>
    <w:rsid w:val="00AC4D01"/>
    <w:rsid w:val="00AC7F67"/>
    <w:rsid w:val="00AD39FE"/>
    <w:rsid w:val="00AD651F"/>
    <w:rsid w:val="00AD6C88"/>
    <w:rsid w:val="00AD7962"/>
    <w:rsid w:val="00AF71FC"/>
    <w:rsid w:val="00AF7236"/>
    <w:rsid w:val="00B002A5"/>
    <w:rsid w:val="00B05D12"/>
    <w:rsid w:val="00B1138D"/>
    <w:rsid w:val="00B11438"/>
    <w:rsid w:val="00B11531"/>
    <w:rsid w:val="00B11A59"/>
    <w:rsid w:val="00B11D35"/>
    <w:rsid w:val="00B1298A"/>
    <w:rsid w:val="00B135C9"/>
    <w:rsid w:val="00B13D59"/>
    <w:rsid w:val="00B14D32"/>
    <w:rsid w:val="00B14D4E"/>
    <w:rsid w:val="00B16952"/>
    <w:rsid w:val="00B22C16"/>
    <w:rsid w:val="00B24D64"/>
    <w:rsid w:val="00B33A68"/>
    <w:rsid w:val="00B362CE"/>
    <w:rsid w:val="00B43131"/>
    <w:rsid w:val="00B47AE3"/>
    <w:rsid w:val="00B47B38"/>
    <w:rsid w:val="00B50473"/>
    <w:rsid w:val="00B54A3C"/>
    <w:rsid w:val="00B56F7B"/>
    <w:rsid w:val="00B65686"/>
    <w:rsid w:val="00B6612D"/>
    <w:rsid w:val="00B71139"/>
    <w:rsid w:val="00B76F8D"/>
    <w:rsid w:val="00B83236"/>
    <w:rsid w:val="00B86D11"/>
    <w:rsid w:val="00B86FA9"/>
    <w:rsid w:val="00B92ACC"/>
    <w:rsid w:val="00B9513F"/>
    <w:rsid w:val="00B955BF"/>
    <w:rsid w:val="00BA2FEB"/>
    <w:rsid w:val="00BA3E8B"/>
    <w:rsid w:val="00BA42EB"/>
    <w:rsid w:val="00BA6B08"/>
    <w:rsid w:val="00BB3C8B"/>
    <w:rsid w:val="00BC3363"/>
    <w:rsid w:val="00BC5410"/>
    <w:rsid w:val="00BC6B92"/>
    <w:rsid w:val="00BD0AAD"/>
    <w:rsid w:val="00BD2445"/>
    <w:rsid w:val="00BD259E"/>
    <w:rsid w:val="00BD284E"/>
    <w:rsid w:val="00BD2974"/>
    <w:rsid w:val="00BD36DC"/>
    <w:rsid w:val="00BD6829"/>
    <w:rsid w:val="00BE270C"/>
    <w:rsid w:val="00BE2E17"/>
    <w:rsid w:val="00BE445B"/>
    <w:rsid w:val="00BF1914"/>
    <w:rsid w:val="00BF21AC"/>
    <w:rsid w:val="00BF450D"/>
    <w:rsid w:val="00BF786D"/>
    <w:rsid w:val="00C121A8"/>
    <w:rsid w:val="00C13D47"/>
    <w:rsid w:val="00C13EE4"/>
    <w:rsid w:val="00C15850"/>
    <w:rsid w:val="00C24C4D"/>
    <w:rsid w:val="00C3082E"/>
    <w:rsid w:val="00C31DF9"/>
    <w:rsid w:val="00C31FE2"/>
    <w:rsid w:val="00C34A0B"/>
    <w:rsid w:val="00C376AF"/>
    <w:rsid w:val="00C37C14"/>
    <w:rsid w:val="00C47E1E"/>
    <w:rsid w:val="00C52BC2"/>
    <w:rsid w:val="00C54B49"/>
    <w:rsid w:val="00C56688"/>
    <w:rsid w:val="00C624EE"/>
    <w:rsid w:val="00C64B82"/>
    <w:rsid w:val="00C75EF0"/>
    <w:rsid w:val="00C87E7A"/>
    <w:rsid w:val="00C91719"/>
    <w:rsid w:val="00CA6DCE"/>
    <w:rsid w:val="00CB5110"/>
    <w:rsid w:val="00CB623C"/>
    <w:rsid w:val="00CC30CB"/>
    <w:rsid w:val="00CC359F"/>
    <w:rsid w:val="00CC59D6"/>
    <w:rsid w:val="00CC67FD"/>
    <w:rsid w:val="00CD34D3"/>
    <w:rsid w:val="00CD3501"/>
    <w:rsid w:val="00CD56D5"/>
    <w:rsid w:val="00CE2131"/>
    <w:rsid w:val="00CE2CB5"/>
    <w:rsid w:val="00CE4F0A"/>
    <w:rsid w:val="00CE791E"/>
    <w:rsid w:val="00CE7B17"/>
    <w:rsid w:val="00CF558F"/>
    <w:rsid w:val="00D04F12"/>
    <w:rsid w:val="00D04FBD"/>
    <w:rsid w:val="00D05777"/>
    <w:rsid w:val="00D10522"/>
    <w:rsid w:val="00D118A3"/>
    <w:rsid w:val="00D11D58"/>
    <w:rsid w:val="00D12F94"/>
    <w:rsid w:val="00D35532"/>
    <w:rsid w:val="00D406C5"/>
    <w:rsid w:val="00D41098"/>
    <w:rsid w:val="00D42E13"/>
    <w:rsid w:val="00D45680"/>
    <w:rsid w:val="00D510F6"/>
    <w:rsid w:val="00D5183F"/>
    <w:rsid w:val="00D53D03"/>
    <w:rsid w:val="00D5589B"/>
    <w:rsid w:val="00D566A6"/>
    <w:rsid w:val="00D641F4"/>
    <w:rsid w:val="00D75E9C"/>
    <w:rsid w:val="00D7797F"/>
    <w:rsid w:val="00D80819"/>
    <w:rsid w:val="00D850C5"/>
    <w:rsid w:val="00D91548"/>
    <w:rsid w:val="00D91863"/>
    <w:rsid w:val="00D927C2"/>
    <w:rsid w:val="00DA35A7"/>
    <w:rsid w:val="00DB61AB"/>
    <w:rsid w:val="00DB7CB4"/>
    <w:rsid w:val="00DB7CF4"/>
    <w:rsid w:val="00DC4FAB"/>
    <w:rsid w:val="00DC7D5C"/>
    <w:rsid w:val="00DD153D"/>
    <w:rsid w:val="00DD796F"/>
    <w:rsid w:val="00DE03D6"/>
    <w:rsid w:val="00DE07BF"/>
    <w:rsid w:val="00DE22AE"/>
    <w:rsid w:val="00DE44BB"/>
    <w:rsid w:val="00DF11FE"/>
    <w:rsid w:val="00DF7280"/>
    <w:rsid w:val="00E10B97"/>
    <w:rsid w:val="00E14AD5"/>
    <w:rsid w:val="00E153E7"/>
    <w:rsid w:val="00E23763"/>
    <w:rsid w:val="00E27E95"/>
    <w:rsid w:val="00E3049D"/>
    <w:rsid w:val="00E327F3"/>
    <w:rsid w:val="00E34A18"/>
    <w:rsid w:val="00E41E4C"/>
    <w:rsid w:val="00E506BE"/>
    <w:rsid w:val="00E51D01"/>
    <w:rsid w:val="00E553DD"/>
    <w:rsid w:val="00E60AB1"/>
    <w:rsid w:val="00E6139A"/>
    <w:rsid w:val="00E62141"/>
    <w:rsid w:val="00E64F60"/>
    <w:rsid w:val="00E66FD8"/>
    <w:rsid w:val="00E740E5"/>
    <w:rsid w:val="00E758E1"/>
    <w:rsid w:val="00E75D25"/>
    <w:rsid w:val="00E82132"/>
    <w:rsid w:val="00E83A53"/>
    <w:rsid w:val="00E97B0F"/>
    <w:rsid w:val="00EA1683"/>
    <w:rsid w:val="00EA5C65"/>
    <w:rsid w:val="00EC65FB"/>
    <w:rsid w:val="00ED034D"/>
    <w:rsid w:val="00ED4C57"/>
    <w:rsid w:val="00ED5492"/>
    <w:rsid w:val="00EE51CA"/>
    <w:rsid w:val="00EE79BC"/>
    <w:rsid w:val="00EF2DC4"/>
    <w:rsid w:val="00EF43B6"/>
    <w:rsid w:val="00EF6420"/>
    <w:rsid w:val="00EF7ADF"/>
    <w:rsid w:val="00F02B1E"/>
    <w:rsid w:val="00F02C8A"/>
    <w:rsid w:val="00F03133"/>
    <w:rsid w:val="00F176F0"/>
    <w:rsid w:val="00F179DF"/>
    <w:rsid w:val="00F20BD3"/>
    <w:rsid w:val="00F21230"/>
    <w:rsid w:val="00F23C3C"/>
    <w:rsid w:val="00F25052"/>
    <w:rsid w:val="00F27DBA"/>
    <w:rsid w:val="00F31209"/>
    <w:rsid w:val="00F31736"/>
    <w:rsid w:val="00F33285"/>
    <w:rsid w:val="00F416EC"/>
    <w:rsid w:val="00F43125"/>
    <w:rsid w:val="00F43A20"/>
    <w:rsid w:val="00F51F75"/>
    <w:rsid w:val="00F52C2E"/>
    <w:rsid w:val="00F553F2"/>
    <w:rsid w:val="00F638AF"/>
    <w:rsid w:val="00F63E4A"/>
    <w:rsid w:val="00F705E7"/>
    <w:rsid w:val="00F71A97"/>
    <w:rsid w:val="00F80B63"/>
    <w:rsid w:val="00F83496"/>
    <w:rsid w:val="00F85F04"/>
    <w:rsid w:val="00F87756"/>
    <w:rsid w:val="00F962A1"/>
    <w:rsid w:val="00FA1F73"/>
    <w:rsid w:val="00FA5E6E"/>
    <w:rsid w:val="00FA63EF"/>
    <w:rsid w:val="00FA7E11"/>
    <w:rsid w:val="00FB1BAD"/>
    <w:rsid w:val="00FB4319"/>
    <w:rsid w:val="00FB6ED3"/>
    <w:rsid w:val="00FC16C9"/>
    <w:rsid w:val="00FC6938"/>
    <w:rsid w:val="00FC72D6"/>
    <w:rsid w:val="00FD038D"/>
    <w:rsid w:val="00FD290D"/>
    <w:rsid w:val="00FD4FC3"/>
    <w:rsid w:val="00FD7625"/>
    <w:rsid w:val="00FF228F"/>
    <w:rsid w:val="00FF594C"/>
    <w:rsid w:val="00FF798F"/>
    <w:rsid w:val="06668844"/>
    <w:rsid w:val="0BD4086C"/>
    <w:rsid w:val="0BE34B48"/>
    <w:rsid w:val="10C15CAD"/>
    <w:rsid w:val="13546E21"/>
    <w:rsid w:val="142C54CA"/>
    <w:rsid w:val="220D4F2B"/>
    <w:rsid w:val="3E84253F"/>
    <w:rsid w:val="40F96873"/>
    <w:rsid w:val="49939553"/>
    <w:rsid w:val="5FB6D6C3"/>
    <w:rsid w:val="6077C0FD"/>
    <w:rsid w:val="67C5ECA8"/>
    <w:rsid w:val="686072BD"/>
    <w:rsid w:val="7040FB1C"/>
    <w:rsid w:val="718889DB"/>
    <w:rsid w:val="76FAA2F2"/>
    <w:rsid w:val="7C545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E432C042-0485-4C18-86FA-1478CF71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36DC"/>
    <w:pPr>
      <w:spacing w:after="120"/>
    </w:pPr>
  </w:style>
  <w:style w:type="paragraph" w:styleId="Kop1">
    <w:name w:val="heading 1"/>
    <w:basedOn w:val="Standaard"/>
    <w:next w:val="Standaard"/>
    <w:link w:val="Kop1Char"/>
    <w:uiPriority w:val="9"/>
    <w:qFormat/>
    <w:rsid w:val="00645A07"/>
    <w:pPr>
      <w:keepNext/>
      <w:keepLines/>
      <w:spacing w:before="360" w:after="240"/>
      <w:outlineLvl w:val="0"/>
    </w:pPr>
    <w:rPr>
      <w:rFonts w:ascii="Calibri" w:eastAsiaTheme="majorEastAsia" w:hAnsi="Calibri" w:cstheme="majorBidi"/>
      <w:b/>
      <w:color w:val="12828C"/>
      <w:sz w:val="32"/>
      <w:szCs w:val="32"/>
    </w:rPr>
  </w:style>
  <w:style w:type="paragraph" w:styleId="Kop2">
    <w:name w:val="heading 2"/>
    <w:basedOn w:val="Standaard"/>
    <w:next w:val="Standaard"/>
    <w:link w:val="Kop2Char"/>
    <w:uiPriority w:val="9"/>
    <w:unhideWhenUsed/>
    <w:qFormat/>
    <w:rsid w:val="001013A3"/>
    <w:pPr>
      <w:keepNext/>
      <w:keepLines/>
      <w:spacing w:before="240"/>
      <w:outlineLvl w:val="1"/>
    </w:pPr>
    <w:rPr>
      <w:rFonts w:asciiTheme="majorHAnsi" w:eastAsiaTheme="majorEastAsia" w:hAnsiTheme="majorHAnsi" w:cstheme="majorBidi"/>
      <w:color w:val="12828C"/>
      <w:sz w:val="26"/>
      <w:szCs w:val="26"/>
    </w:rPr>
  </w:style>
  <w:style w:type="paragraph" w:styleId="Kop3">
    <w:name w:val="heading 3"/>
    <w:basedOn w:val="Standaard"/>
    <w:next w:val="Standaard"/>
    <w:link w:val="Kop3Char"/>
    <w:uiPriority w:val="9"/>
    <w:unhideWhenUsed/>
    <w:qFormat/>
    <w:rsid w:val="00F43125"/>
    <w:pPr>
      <w:keepNext/>
      <w:keepLines/>
      <w:spacing w:before="240"/>
      <w:outlineLvl w:val="2"/>
    </w:pPr>
    <w:rPr>
      <w:rFonts w:asciiTheme="majorHAnsi" w:eastAsiaTheme="majorEastAsia" w:hAnsiTheme="majorHAnsi"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table" w:styleId="Tabelraster">
    <w:name w:val="Table Grid"/>
    <w:basedOn w:val="Standaardtabel"/>
    <w:uiPriority w:val="39"/>
    <w:rsid w:val="00C3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D36DC"/>
    <w:pPr>
      <w:spacing w:before="480" w:after="360"/>
      <w:contextualSpacing/>
      <w:jc w:val="center"/>
    </w:pPr>
    <w:rPr>
      <w:rFonts w:ascii="Calibri" w:eastAsiaTheme="majorEastAsia" w:hAnsi="Calibri" w:cstheme="majorBidi"/>
      <w:b/>
      <w:color w:val="12828C"/>
      <w:spacing w:val="-10"/>
      <w:kern w:val="28"/>
      <w:sz w:val="56"/>
      <w:szCs w:val="56"/>
      <w:lang w:eastAsia="nl-NL"/>
      <w14:ligatures w14:val="none"/>
    </w:rPr>
  </w:style>
  <w:style w:type="character" w:customStyle="1" w:styleId="TitelChar">
    <w:name w:val="Titel Char"/>
    <w:basedOn w:val="Standaardalinea-lettertype"/>
    <w:link w:val="Titel"/>
    <w:uiPriority w:val="10"/>
    <w:rsid w:val="00BD36DC"/>
    <w:rPr>
      <w:rFonts w:ascii="Calibri" w:eastAsiaTheme="majorEastAsia" w:hAnsi="Calibri" w:cstheme="majorBidi"/>
      <w:b/>
      <w:color w:val="12828C"/>
      <w:spacing w:val="-10"/>
      <w:kern w:val="28"/>
      <w:sz w:val="56"/>
      <w:szCs w:val="56"/>
      <w:lang w:eastAsia="nl-NL"/>
      <w14:ligatures w14:val="none"/>
    </w:rPr>
  </w:style>
  <w:style w:type="character" w:customStyle="1" w:styleId="Kop1Char">
    <w:name w:val="Kop 1 Char"/>
    <w:basedOn w:val="Standaardalinea-lettertype"/>
    <w:link w:val="Kop1"/>
    <w:uiPriority w:val="9"/>
    <w:rsid w:val="00645A07"/>
    <w:rPr>
      <w:rFonts w:ascii="Calibri" w:eastAsiaTheme="majorEastAsia" w:hAnsi="Calibri" w:cstheme="majorBidi"/>
      <w:b/>
      <w:color w:val="12828C"/>
      <w:sz w:val="32"/>
      <w:szCs w:val="32"/>
    </w:rPr>
  </w:style>
  <w:style w:type="paragraph" w:styleId="Lijstalinea">
    <w:name w:val="List Paragraph"/>
    <w:aliases w:val="3 *-,opsomming 1,2,Opsomming ISHW"/>
    <w:basedOn w:val="Standaard"/>
    <w:link w:val="LijstalineaChar"/>
    <w:uiPriority w:val="34"/>
    <w:qFormat/>
    <w:rsid w:val="00645A07"/>
    <w:pPr>
      <w:ind w:left="720"/>
      <w:contextualSpacing/>
    </w:pPr>
  </w:style>
  <w:style w:type="character" w:customStyle="1" w:styleId="Kop2Char">
    <w:name w:val="Kop 2 Char"/>
    <w:basedOn w:val="Standaardalinea-lettertype"/>
    <w:link w:val="Kop2"/>
    <w:uiPriority w:val="9"/>
    <w:rsid w:val="001013A3"/>
    <w:rPr>
      <w:rFonts w:asciiTheme="majorHAnsi" w:eastAsiaTheme="majorEastAsia" w:hAnsiTheme="majorHAnsi" w:cstheme="majorBidi"/>
      <w:color w:val="12828C"/>
      <w:sz w:val="26"/>
      <w:szCs w:val="26"/>
    </w:rPr>
  </w:style>
  <w:style w:type="paragraph" w:styleId="Kopvaninhoudsopgave">
    <w:name w:val="TOC Heading"/>
    <w:basedOn w:val="Kop1"/>
    <w:next w:val="Standaard"/>
    <w:uiPriority w:val="39"/>
    <w:unhideWhenUsed/>
    <w:qFormat/>
    <w:rsid w:val="009B7E58"/>
    <w:pPr>
      <w:spacing w:line="259" w:lineRule="auto"/>
      <w:outlineLvl w:val="9"/>
    </w:pPr>
    <w:rPr>
      <w:rFonts w:asciiTheme="majorHAnsi" w:hAnsiTheme="majorHAnsi"/>
      <w:kern w:val="0"/>
      <w:lang w:eastAsia="nl-NL"/>
      <w14:ligatures w14:val="none"/>
    </w:rPr>
  </w:style>
  <w:style w:type="paragraph" w:styleId="Inhopg1">
    <w:name w:val="toc 1"/>
    <w:basedOn w:val="Standaard"/>
    <w:next w:val="Standaard"/>
    <w:autoRedefine/>
    <w:uiPriority w:val="39"/>
    <w:unhideWhenUsed/>
    <w:rsid w:val="009B7E58"/>
    <w:pPr>
      <w:spacing w:after="100"/>
    </w:pPr>
  </w:style>
  <w:style w:type="paragraph" w:styleId="Inhopg2">
    <w:name w:val="toc 2"/>
    <w:basedOn w:val="Standaard"/>
    <w:next w:val="Standaard"/>
    <w:autoRedefine/>
    <w:uiPriority w:val="39"/>
    <w:unhideWhenUsed/>
    <w:rsid w:val="009B7E58"/>
    <w:pPr>
      <w:spacing w:after="100"/>
      <w:ind w:left="240"/>
    </w:pPr>
  </w:style>
  <w:style w:type="character" w:styleId="Hyperlink">
    <w:name w:val="Hyperlink"/>
    <w:basedOn w:val="Standaardalinea-lettertype"/>
    <w:uiPriority w:val="99"/>
    <w:unhideWhenUsed/>
    <w:rsid w:val="009B7E58"/>
    <w:rPr>
      <w:color w:val="0563C1" w:themeColor="hyperlink"/>
      <w:u w:val="single"/>
    </w:rPr>
  </w:style>
  <w:style w:type="character" w:customStyle="1" w:styleId="Kop3Char">
    <w:name w:val="Kop 3 Char"/>
    <w:basedOn w:val="Standaardalinea-lettertype"/>
    <w:link w:val="Kop3"/>
    <w:uiPriority w:val="9"/>
    <w:rsid w:val="00F43125"/>
    <w:rPr>
      <w:rFonts w:asciiTheme="majorHAnsi" w:eastAsiaTheme="majorEastAsia" w:hAnsiTheme="majorHAnsi" w:cstheme="majorBidi"/>
      <w:i/>
    </w:rPr>
  </w:style>
  <w:style w:type="paragraph" w:styleId="Inhopg3">
    <w:name w:val="toc 3"/>
    <w:basedOn w:val="Standaard"/>
    <w:next w:val="Standaard"/>
    <w:autoRedefine/>
    <w:uiPriority w:val="39"/>
    <w:unhideWhenUsed/>
    <w:rsid w:val="00CE2131"/>
    <w:pPr>
      <w:spacing w:after="100"/>
      <w:ind w:left="480"/>
    </w:pPr>
  </w:style>
  <w:style w:type="table" w:styleId="Onopgemaaktetabel1">
    <w:name w:val="Plain Table 1"/>
    <w:basedOn w:val="Standaardtabel"/>
    <w:uiPriority w:val="41"/>
    <w:rsid w:val="009C51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nopgelostemelding">
    <w:name w:val="Unresolved Mention"/>
    <w:basedOn w:val="Standaardalinea-lettertype"/>
    <w:uiPriority w:val="99"/>
    <w:semiHidden/>
    <w:unhideWhenUsed/>
    <w:rsid w:val="00900C1C"/>
    <w:rPr>
      <w:color w:val="605E5C"/>
      <w:shd w:val="clear" w:color="auto" w:fill="E1DFDD"/>
    </w:rPr>
  </w:style>
  <w:style w:type="paragraph" w:styleId="Plattetekst">
    <w:name w:val="Body Text"/>
    <w:basedOn w:val="Standaard"/>
    <w:link w:val="PlattetekstChar"/>
    <w:uiPriority w:val="1"/>
    <w:rsid w:val="003F4472"/>
    <w:pPr>
      <w:spacing w:after="0"/>
      <w:ind w:left="567"/>
    </w:pPr>
    <w:rPr>
      <w:rFonts w:ascii="Times New Roman" w:eastAsia="Times New Roman" w:hAnsi="Times New Roman" w:cs="Times New Roman"/>
      <w:kern w:val="0"/>
      <w:lang w:eastAsia="nl-NL"/>
      <w14:ligatures w14:val="none"/>
    </w:rPr>
  </w:style>
  <w:style w:type="character" w:customStyle="1" w:styleId="PlattetekstChar">
    <w:name w:val="Platte tekst Char"/>
    <w:basedOn w:val="Standaardalinea-lettertype"/>
    <w:link w:val="Plattetekst"/>
    <w:uiPriority w:val="1"/>
    <w:rsid w:val="003F4472"/>
    <w:rPr>
      <w:rFonts w:ascii="Times New Roman" w:eastAsia="Times New Roman" w:hAnsi="Times New Roman" w:cs="Times New Roman"/>
      <w:kern w:val="0"/>
      <w:lang w:eastAsia="nl-NL"/>
      <w14:ligatures w14:val="none"/>
    </w:rPr>
  </w:style>
  <w:style w:type="paragraph" w:customStyle="1" w:styleId="Kadertekst">
    <w:name w:val="Kader tekst"/>
    <w:basedOn w:val="Plattetekst"/>
    <w:uiPriority w:val="9"/>
    <w:qFormat/>
    <w:rsid w:val="003F4472"/>
    <w:pPr>
      <w:ind w:left="0"/>
    </w:pPr>
  </w:style>
  <w:style w:type="table" w:styleId="Onopgemaaktetabel4">
    <w:name w:val="Plain Table 4"/>
    <w:basedOn w:val="Standaardtabel"/>
    <w:uiPriority w:val="44"/>
    <w:rsid w:val="00D918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jstalineaChar">
    <w:name w:val="Lijstalinea Char"/>
    <w:aliases w:val="3 *- Char,opsomming 1 Char,2 Char,Opsomming ISHW Char"/>
    <w:basedOn w:val="Standaardalinea-lettertype"/>
    <w:link w:val="Lijstalinea"/>
    <w:uiPriority w:val="34"/>
    <w:rsid w:val="00DD153D"/>
  </w:style>
  <w:style w:type="paragraph" w:styleId="Normaalweb">
    <w:name w:val="Normal (Web)"/>
    <w:basedOn w:val="Standaard"/>
    <w:uiPriority w:val="99"/>
    <w:semiHidden/>
    <w:unhideWhenUsed/>
    <w:rsid w:val="00C24C4D"/>
    <w:rPr>
      <w:rFonts w:ascii="Times New Roman" w:hAnsi="Times New Roman" w:cs="Times New Roman"/>
    </w:rPr>
  </w:style>
  <w:style w:type="character" w:styleId="GevolgdeHyperlink">
    <w:name w:val="FollowedHyperlink"/>
    <w:basedOn w:val="Standaardalinea-lettertype"/>
    <w:uiPriority w:val="99"/>
    <w:semiHidden/>
    <w:unhideWhenUsed/>
    <w:rsid w:val="00B13D59"/>
    <w:rPr>
      <w:color w:val="954F72" w:themeColor="followedHyperlink"/>
      <w:u w:val="single"/>
    </w:rPr>
  </w:style>
  <w:style w:type="character" w:styleId="Verwijzingopmerking">
    <w:name w:val="annotation reference"/>
    <w:basedOn w:val="Standaardalinea-lettertype"/>
    <w:uiPriority w:val="99"/>
    <w:semiHidden/>
    <w:unhideWhenUsed/>
    <w:rsid w:val="0057163C"/>
    <w:rPr>
      <w:sz w:val="16"/>
      <w:szCs w:val="16"/>
    </w:rPr>
  </w:style>
  <w:style w:type="paragraph" w:styleId="Tekstopmerking">
    <w:name w:val="annotation text"/>
    <w:basedOn w:val="Standaard"/>
    <w:link w:val="TekstopmerkingChar"/>
    <w:uiPriority w:val="99"/>
    <w:unhideWhenUsed/>
    <w:rsid w:val="0057163C"/>
    <w:rPr>
      <w:sz w:val="20"/>
      <w:szCs w:val="20"/>
    </w:rPr>
  </w:style>
  <w:style w:type="character" w:customStyle="1" w:styleId="TekstopmerkingChar">
    <w:name w:val="Tekst opmerking Char"/>
    <w:basedOn w:val="Standaardalinea-lettertype"/>
    <w:link w:val="Tekstopmerking"/>
    <w:uiPriority w:val="99"/>
    <w:rsid w:val="0057163C"/>
    <w:rPr>
      <w:sz w:val="20"/>
      <w:szCs w:val="20"/>
    </w:rPr>
  </w:style>
  <w:style w:type="paragraph" w:styleId="Onderwerpvanopmerking">
    <w:name w:val="annotation subject"/>
    <w:basedOn w:val="Tekstopmerking"/>
    <w:next w:val="Tekstopmerking"/>
    <w:link w:val="OnderwerpvanopmerkingChar"/>
    <w:uiPriority w:val="99"/>
    <w:semiHidden/>
    <w:unhideWhenUsed/>
    <w:rsid w:val="0057163C"/>
    <w:rPr>
      <w:b/>
      <w:bCs/>
    </w:rPr>
  </w:style>
  <w:style w:type="character" w:customStyle="1" w:styleId="OnderwerpvanopmerkingChar">
    <w:name w:val="Onderwerp van opmerking Char"/>
    <w:basedOn w:val="TekstopmerkingChar"/>
    <w:link w:val="Onderwerpvanopmerking"/>
    <w:uiPriority w:val="99"/>
    <w:semiHidden/>
    <w:rsid w:val="0057163C"/>
    <w:rPr>
      <w:b/>
      <w:bCs/>
      <w:sz w:val="20"/>
      <w:szCs w:val="20"/>
    </w:rPr>
  </w:style>
  <w:style w:type="table" w:styleId="Rastertabel1licht-Accent1">
    <w:name w:val="Grid Table 1 Light Accent 1"/>
    <w:basedOn w:val="Standaardtabel"/>
    <w:uiPriority w:val="46"/>
    <w:rsid w:val="00E10B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07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0575">
      <w:bodyDiv w:val="1"/>
      <w:marLeft w:val="0"/>
      <w:marRight w:val="0"/>
      <w:marTop w:val="0"/>
      <w:marBottom w:val="0"/>
      <w:divBdr>
        <w:top w:val="none" w:sz="0" w:space="0" w:color="auto"/>
        <w:left w:val="none" w:sz="0" w:space="0" w:color="auto"/>
        <w:bottom w:val="none" w:sz="0" w:space="0" w:color="auto"/>
        <w:right w:val="none" w:sz="0" w:space="0" w:color="auto"/>
      </w:divBdr>
    </w:div>
    <w:div w:id="12956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Ned.nl" TargetMode="External"/><Relationship Id="rId18" Type="http://schemas.openxmlformats.org/officeDocument/2006/relationships/hyperlink" Target="https://www.degeschillencommissiezorg.nl/over-ons/zorgcommissies/sociaal-domein-inkoop-jeugdwet-en-wmo/"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klachtenmeldpunt@wijzijnkarel.nl" TargetMode="External"/><Relationship Id="rId2" Type="http://schemas.openxmlformats.org/officeDocument/2006/relationships/customXml" Target="../customXml/item2.xml"/><Relationship Id="rId16" Type="http://schemas.openxmlformats.org/officeDocument/2006/relationships/hyperlink" Target="https://vng.nl/sites/default/files/2024-10/vng-model-algemene-inkoopvoorwaard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vng.nl/sites/default/files/2024-10/vng-model-algemene-inkoopvoorwaarden.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ng.nl/artikelen/vng-model-algemene-inkoopvoorwaard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386439618BA419211C746B756B587" ma:contentTypeVersion="3" ma:contentTypeDescription="Een nieuw document maken." ma:contentTypeScope="" ma:versionID="de7697f56b2194da4355aa52a9f36ad6">
  <xsd:schema xmlns:xsd="http://www.w3.org/2001/XMLSchema" xmlns:xs="http://www.w3.org/2001/XMLSchema" xmlns:p="http://schemas.microsoft.com/office/2006/metadata/properties" xmlns:ns2="0fab63f0-409d-44f1-bd4f-d8d09dc34982" targetNamespace="http://schemas.microsoft.com/office/2006/metadata/properties" ma:root="true" ma:fieldsID="91241a48b04025fd3d168e1cc2c9ca79" ns2:_="">
    <xsd:import namespace="0fab63f0-409d-44f1-bd4f-d8d09dc349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b63f0-409d-44f1-bd4f-d8d09dc34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7FB1A-7F21-4908-9F5C-CBFC0808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b63f0-409d-44f1-bd4f-d8d09dc34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3.xml><?xml version="1.0" encoding="utf-8"?>
<ds:datastoreItem xmlns:ds="http://schemas.openxmlformats.org/officeDocument/2006/customXml" ds:itemID="{63048C2B-B773-46A2-BD1D-B4BA44D80C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30</Pages>
  <Words>7241</Words>
  <Characters>46010</Characters>
  <Application>Microsoft Office Word</Application>
  <DocSecurity>0</DocSecurity>
  <Lines>1151</Lines>
  <Paragraphs>571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Weterings</dc:creator>
  <cp:keywords/>
  <dc:description/>
  <cp:lastModifiedBy>Nathalie de Raaff</cp:lastModifiedBy>
  <cp:revision>325</cp:revision>
  <cp:lastPrinted>2025-12-01T13:15:00Z</cp:lastPrinted>
  <dcterms:created xsi:type="dcterms:W3CDTF">2025-10-09T20:28:00Z</dcterms:created>
  <dcterms:modified xsi:type="dcterms:W3CDTF">2026-01-08T09:03:00Z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0x01010063A386439618BA419211C746B756B587</vt:lpwstr>
  </property>
  <property fmtid="{D5CDD505-2E9C-101B-9397-08002B2CF9AE}" pid="3" name="MediaServiceImageTags">
    <vt:lpwstr/>
  </property>
  <property fmtid="{D5CDD505-2E9C-101B-9397-08002B2CF9AE}" pid="4" name="Onderwerp">
    <vt:lpwstr>16;#Beschrijvend document|d6de1c2d-f32b-4375-b93a-3762ec1f1614</vt:lpwstr>
  </property>
  <property fmtid="{D5CDD505-2E9C-101B-9397-08002B2CF9AE}" pid="5" name="Soort">
    <vt:lpwstr>4;#Modeldocument|c1081dd2-a3e4-4ad6-907c-e66c7e255b26</vt:lpwstr>
  </property>
  <property fmtid="{D5CDD505-2E9C-101B-9397-08002B2CF9AE}" pid="6" name="Jaar">
    <vt:lpwstr>34;#2025|a0263943-9cfb-46f0-af00-376e8e7f5aaa</vt:lpwstr>
  </property>
  <property fmtid="{D5CDD505-2E9C-101B-9397-08002B2CF9AE}" pid="7" name="docLang">
    <vt:lpwstr>nl</vt:lpwstr>
  </property>
</Properties>
</file>