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F21FB" w14:textId="3523334A" w:rsidR="5AC04D8F" w:rsidRDefault="5AC04D8F" w:rsidP="4555BD89">
      <w:r>
        <w:t>Checklist uitsluitingsgronden en geschiktheidseisen</w:t>
      </w:r>
      <w:r w:rsidR="008F6063">
        <w:t xml:space="preserve"> selectiefase</w:t>
      </w:r>
    </w:p>
    <w:tbl>
      <w:tblPr>
        <w:tblStyle w:val="Tabelraster"/>
        <w:tblW w:w="0" w:type="auto"/>
        <w:tblLayout w:type="fixed"/>
        <w:tblLook w:val="06A0" w:firstRow="1" w:lastRow="0" w:firstColumn="1" w:lastColumn="0" w:noHBand="1" w:noVBand="1"/>
      </w:tblPr>
      <w:tblGrid>
        <w:gridCol w:w="7230"/>
        <w:gridCol w:w="1785"/>
      </w:tblGrid>
      <w:tr w:rsidR="4555BD89" w14:paraId="329F6285" w14:textId="77777777" w:rsidTr="4555BD89">
        <w:trPr>
          <w:trHeight w:val="300"/>
        </w:trPr>
        <w:tc>
          <w:tcPr>
            <w:tcW w:w="7230" w:type="dxa"/>
          </w:tcPr>
          <w:p w14:paraId="38E20522" w14:textId="7A1E8DD4" w:rsidR="6238B8BC" w:rsidRDefault="6238B8BC" w:rsidP="4555BD89">
            <w:pPr>
              <w:rPr>
                <w:b/>
                <w:bCs/>
              </w:rPr>
            </w:pPr>
            <w:r w:rsidRPr="4555BD89">
              <w:rPr>
                <w:b/>
                <w:bCs/>
              </w:rPr>
              <w:t>Onderdeel</w:t>
            </w:r>
          </w:p>
        </w:tc>
        <w:tc>
          <w:tcPr>
            <w:tcW w:w="1785" w:type="dxa"/>
          </w:tcPr>
          <w:p w14:paraId="557F3474" w14:textId="38F2496C" w:rsidR="6238B8BC" w:rsidRDefault="6238B8BC" w:rsidP="4555BD89">
            <w:pPr>
              <w:rPr>
                <w:b/>
                <w:bCs/>
              </w:rPr>
            </w:pPr>
            <w:r w:rsidRPr="4555BD89">
              <w:rPr>
                <w:b/>
                <w:bCs/>
              </w:rPr>
              <w:t>Aangeleverd</w:t>
            </w:r>
          </w:p>
        </w:tc>
      </w:tr>
      <w:tr w:rsidR="4555BD89" w14:paraId="133C268E" w14:textId="77777777" w:rsidTr="4555BD89">
        <w:trPr>
          <w:trHeight w:val="300"/>
        </w:trPr>
        <w:tc>
          <w:tcPr>
            <w:tcW w:w="7230" w:type="dxa"/>
          </w:tcPr>
          <w:p w14:paraId="032E1586" w14:textId="10940E97" w:rsidR="6238B8BC" w:rsidRDefault="6238B8BC" w:rsidP="4555BD89">
            <w:pPr>
              <w:rPr>
                <w:rFonts w:ascii="Aptos" w:eastAsia="Aptos" w:hAnsi="Aptos" w:cs="Aptos"/>
                <w:sz w:val="22"/>
                <w:szCs w:val="22"/>
              </w:rPr>
            </w:pPr>
            <w:r w:rsidRPr="4555BD89">
              <w:rPr>
                <w:rFonts w:ascii="Calibri" w:eastAsia="Calibri" w:hAnsi="Calibri" w:cs="Calibri"/>
                <w:color w:val="000000" w:themeColor="text1"/>
                <w:sz w:val="22"/>
                <w:szCs w:val="22"/>
              </w:rPr>
              <w:t xml:space="preserve">De inschrijver dient in Deel III A van het Uniform Europees Aanbestedingsdocument te verklaren dat er geen sprake is van een in de afgelopen </w:t>
            </w:r>
            <w:r w:rsidRPr="4555BD89">
              <w:rPr>
                <w:rFonts w:ascii="Calibri" w:eastAsia="Calibri" w:hAnsi="Calibri" w:cs="Calibri"/>
                <w:b/>
                <w:bCs/>
                <w:color w:val="000000" w:themeColor="text1"/>
                <w:sz w:val="22"/>
                <w:szCs w:val="22"/>
              </w:rPr>
              <w:t xml:space="preserve">vijf (5) jaren </w:t>
            </w:r>
            <w:r w:rsidRPr="4555BD89">
              <w:rPr>
                <w:rFonts w:ascii="Calibri" w:eastAsia="Calibri" w:hAnsi="Calibri" w:cs="Calibri"/>
                <w:color w:val="000000" w:themeColor="text1"/>
                <w:sz w:val="22"/>
                <w:szCs w:val="22"/>
              </w:rPr>
              <w:t>onherroepelijk geworden rechterlijke uitspraak jegens inschrijver, in de zin van alle in artikel 2.86 Aw 2012 beschreven gronden, op straffe van uitsluiting van deze aanbestedingsprocedure.</w:t>
            </w:r>
          </w:p>
        </w:tc>
        <w:tc>
          <w:tcPr>
            <w:tcW w:w="1785" w:type="dxa"/>
          </w:tcPr>
          <w:p w14:paraId="60DE6791" w14:textId="6419D717" w:rsidR="4555BD89" w:rsidRDefault="4555BD89" w:rsidP="4555BD89"/>
        </w:tc>
      </w:tr>
      <w:tr w:rsidR="4555BD89" w14:paraId="52783229" w14:textId="77777777" w:rsidTr="4555BD89">
        <w:trPr>
          <w:trHeight w:val="300"/>
        </w:trPr>
        <w:tc>
          <w:tcPr>
            <w:tcW w:w="7230" w:type="dxa"/>
          </w:tcPr>
          <w:p w14:paraId="6E56B71B" w14:textId="24EE6AE2" w:rsidR="6238B8BC" w:rsidRDefault="6238B8BC" w:rsidP="4555BD89">
            <w:pPr>
              <w:rPr>
                <w:rFonts w:ascii="Aptos" w:eastAsia="Aptos" w:hAnsi="Aptos" w:cs="Aptos"/>
                <w:sz w:val="22"/>
                <w:szCs w:val="22"/>
              </w:rPr>
            </w:pPr>
            <w:r w:rsidRPr="4555BD89">
              <w:rPr>
                <w:rFonts w:ascii="Calibri" w:eastAsia="Calibri" w:hAnsi="Calibri" w:cs="Calibri"/>
                <w:color w:val="000000" w:themeColor="text1"/>
                <w:sz w:val="22"/>
                <w:szCs w:val="22"/>
              </w:rPr>
              <w:t xml:space="preserve">De inschrijver dient daarnaast in Deel III B van het Uniform Europees Aanbestedingsdocument te verklaren dat er geen sprake is van een onherroepelijke en bindende rechterlijke of administratieve beslissing overeenkomstig de wettelijke bepalingen van het land waar de gegadigde of de inschrijver is gevestigd of overeenkomstig nationale wettelijke bepalingen is vastgesteld dat de inschrijver niet voldoet aan zijn verplichtingen tot betaling van belastingen of sociale zekerheidspremies. </w:t>
            </w:r>
            <w:r w:rsidRPr="4555BD89">
              <w:rPr>
                <w:rFonts w:ascii="Aptos" w:eastAsia="Aptos" w:hAnsi="Aptos" w:cs="Aptos"/>
                <w:sz w:val="22"/>
                <w:szCs w:val="22"/>
              </w:rPr>
              <w:t xml:space="preserve"> </w:t>
            </w:r>
          </w:p>
        </w:tc>
        <w:tc>
          <w:tcPr>
            <w:tcW w:w="1785" w:type="dxa"/>
          </w:tcPr>
          <w:p w14:paraId="3A233769" w14:textId="6419D717" w:rsidR="4555BD89" w:rsidRDefault="4555BD89" w:rsidP="4555BD89"/>
        </w:tc>
      </w:tr>
      <w:tr w:rsidR="4555BD89" w14:paraId="4609B10F" w14:textId="77777777" w:rsidTr="4555BD89">
        <w:trPr>
          <w:trHeight w:val="300"/>
        </w:trPr>
        <w:tc>
          <w:tcPr>
            <w:tcW w:w="7230" w:type="dxa"/>
          </w:tcPr>
          <w:p w14:paraId="60A10969" w14:textId="516B101D" w:rsidR="6238B8BC" w:rsidRDefault="6238B8BC" w:rsidP="4555BD89">
            <w:pPr>
              <w:rPr>
                <w:rFonts w:ascii="Aptos" w:eastAsia="Aptos" w:hAnsi="Aptos" w:cs="Aptos"/>
                <w:sz w:val="22"/>
                <w:szCs w:val="22"/>
              </w:rPr>
            </w:pPr>
            <w:r w:rsidRPr="4555BD89">
              <w:rPr>
                <w:rFonts w:ascii="Calibri" w:eastAsia="Calibri" w:hAnsi="Calibri" w:cs="Calibri"/>
                <w:color w:val="000000" w:themeColor="text1"/>
                <w:sz w:val="22"/>
                <w:szCs w:val="22"/>
              </w:rPr>
              <w:t>De inschrijver dient ook in Deel III C van het Uniform Europees Aanbestedingsdocument te verklaren dat geen sprake is van de situaties genoemd in artikel 2.87 Aw 2012. Op deze aanbestedingsprocedure zijn de volgende facultatieve uitsluitingsgronden van toepassing: zie bladzijde 13 van de aanbestedingsleidraad</w:t>
            </w:r>
            <w:r w:rsidR="20C02663" w:rsidRPr="4555BD89">
              <w:rPr>
                <w:rFonts w:ascii="Calibri" w:eastAsia="Calibri" w:hAnsi="Calibri" w:cs="Calibri"/>
                <w:color w:val="000000" w:themeColor="text1"/>
                <w:sz w:val="22"/>
                <w:szCs w:val="22"/>
              </w:rPr>
              <w:t>.</w:t>
            </w:r>
          </w:p>
        </w:tc>
        <w:tc>
          <w:tcPr>
            <w:tcW w:w="1785" w:type="dxa"/>
          </w:tcPr>
          <w:p w14:paraId="12CD8791" w14:textId="6419D717" w:rsidR="4555BD89" w:rsidRDefault="4555BD89" w:rsidP="4555BD89"/>
        </w:tc>
      </w:tr>
      <w:tr w:rsidR="4555BD89" w14:paraId="6E15BEF4" w14:textId="77777777" w:rsidTr="4555BD89">
        <w:trPr>
          <w:trHeight w:val="300"/>
        </w:trPr>
        <w:tc>
          <w:tcPr>
            <w:tcW w:w="7230" w:type="dxa"/>
          </w:tcPr>
          <w:p w14:paraId="66002229" w14:textId="34D28341" w:rsidR="6238B8BC" w:rsidRDefault="6238B8BC" w:rsidP="4555BD89">
            <w:pPr>
              <w:rPr>
                <w:sz w:val="22"/>
                <w:szCs w:val="22"/>
              </w:rPr>
            </w:pPr>
            <w:r w:rsidRPr="4555BD89">
              <w:rPr>
                <w:sz w:val="22"/>
                <w:szCs w:val="22"/>
              </w:rPr>
              <w:t>De inschrijver dient ook in Deel III B van het Uniform Europees Aanbestedingsdocument te verklaren dat er geen sprake is van onderstaande facultatieve uitsluitingsgrond: zie bladzijde 14 van de aanbestedingsleidraad</w:t>
            </w:r>
            <w:r w:rsidR="20C02663" w:rsidRPr="4555BD89">
              <w:rPr>
                <w:sz w:val="22"/>
                <w:szCs w:val="22"/>
              </w:rPr>
              <w:t>.</w:t>
            </w:r>
          </w:p>
        </w:tc>
        <w:tc>
          <w:tcPr>
            <w:tcW w:w="1785" w:type="dxa"/>
          </w:tcPr>
          <w:p w14:paraId="41DA0B6A" w14:textId="6419D717" w:rsidR="4555BD89" w:rsidRDefault="4555BD89" w:rsidP="4555BD89"/>
        </w:tc>
      </w:tr>
      <w:tr w:rsidR="4555BD89" w14:paraId="11FCA69A" w14:textId="77777777" w:rsidTr="4555BD89">
        <w:trPr>
          <w:trHeight w:val="300"/>
        </w:trPr>
        <w:tc>
          <w:tcPr>
            <w:tcW w:w="7230" w:type="dxa"/>
          </w:tcPr>
          <w:p w14:paraId="69F670D0" w14:textId="1B406E60" w:rsidR="726ED1FE" w:rsidRDefault="726ED1FE" w:rsidP="4555BD89">
            <w:pPr>
              <w:rPr>
                <w:sz w:val="22"/>
                <w:szCs w:val="22"/>
              </w:rPr>
            </w:pPr>
            <w:r w:rsidRPr="4555BD89">
              <w:rPr>
                <w:sz w:val="22"/>
                <w:szCs w:val="22"/>
              </w:rPr>
              <w:t>Ter bewijs van het Uniform Europees Aanbestedingsdocument moet de voorlopig gegunde inschrijver bewijsstukken conform artikel 2.89 Aw 2012 aan de Aanbestedende dienst overleggen: zie bladzijde 14 van de aanbestedingsleidraad</w:t>
            </w:r>
            <w:r w:rsidR="45FD65C4" w:rsidRPr="4555BD89">
              <w:rPr>
                <w:sz w:val="22"/>
                <w:szCs w:val="22"/>
              </w:rPr>
              <w:t>.</w:t>
            </w:r>
          </w:p>
        </w:tc>
        <w:tc>
          <w:tcPr>
            <w:tcW w:w="1785" w:type="dxa"/>
          </w:tcPr>
          <w:p w14:paraId="1F078E0B" w14:textId="7C668CE2" w:rsidR="4555BD89" w:rsidRDefault="4555BD89" w:rsidP="4555BD89"/>
        </w:tc>
      </w:tr>
      <w:tr w:rsidR="4555BD89" w14:paraId="1D41B540" w14:textId="77777777" w:rsidTr="4555BD89">
        <w:trPr>
          <w:trHeight w:val="300"/>
        </w:trPr>
        <w:tc>
          <w:tcPr>
            <w:tcW w:w="7230" w:type="dxa"/>
          </w:tcPr>
          <w:p w14:paraId="6634E5A0" w14:textId="0E818C83" w:rsidR="45FD65C4" w:rsidRDefault="45FD65C4" w:rsidP="4555BD89">
            <w:pPr>
              <w:rPr>
                <w:rFonts w:ascii="Aptos" w:eastAsia="Aptos" w:hAnsi="Aptos" w:cs="Aptos"/>
                <w:sz w:val="22"/>
                <w:szCs w:val="22"/>
              </w:rPr>
            </w:pPr>
            <w:r w:rsidRPr="4555BD89">
              <w:rPr>
                <w:rFonts w:ascii="Calibri" w:eastAsia="Calibri" w:hAnsi="Calibri" w:cs="Calibri"/>
                <w:color w:val="000000" w:themeColor="text1"/>
                <w:sz w:val="22"/>
                <w:szCs w:val="22"/>
              </w:rPr>
              <w:t xml:space="preserve">De inschrijver dient bij inschrijving een referentie(s) op te geven om zijn bekwaamheid aan te tonen met betrekking tot de onderstaande kerncompetentie(s). Zie </w:t>
            </w:r>
            <w:r w:rsidR="000D7A7B">
              <w:rPr>
                <w:rFonts w:ascii="Calibri" w:eastAsia="Calibri" w:hAnsi="Calibri" w:cs="Calibri"/>
                <w:color w:val="000000" w:themeColor="text1"/>
                <w:sz w:val="22"/>
                <w:szCs w:val="22"/>
              </w:rPr>
              <w:t>paragraaf 3.4.1</w:t>
            </w:r>
            <w:r w:rsidRPr="4555BD89">
              <w:rPr>
                <w:rFonts w:ascii="Calibri" w:eastAsia="Calibri" w:hAnsi="Calibri" w:cs="Calibri"/>
                <w:color w:val="000000" w:themeColor="text1"/>
                <w:sz w:val="22"/>
                <w:szCs w:val="22"/>
              </w:rPr>
              <w:t xml:space="preserve"> van de aanbestedingsleidraad.</w:t>
            </w:r>
          </w:p>
        </w:tc>
        <w:tc>
          <w:tcPr>
            <w:tcW w:w="1785" w:type="dxa"/>
          </w:tcPr>
          <w:p w14:paraId="3F6F76F8" w14:textId="18867753" w:rsidR="4555BD89" w:rsidRDefault="4555BD89" w:rsidP="4555BD89"/>
        </w:tc>
      </w:tr>
      <w:tr w:rsidR="009E1EC8" w14:paraId="297535E8" w14:textId="77777777" w:rsidTr="4555BD89">
        <w:trPr>
          <w:trHeight w:val="300"/>
        </w:trPr>
        <w:tc>
          <w:tcPr>
            <w:tcW w:w="7230" w:type="dxa"/>
          </w:tcPr>
          <w:p w14:paraId="52CCE978" w14:textId="1F2DF28E" w:rsidR="009E1EC8" w:rsidRPr="4555BD89" w:rsidRDefault="00175EDE" w:rsidP="4555BD89">
            <w:pPr>
              <w:rPr>
                <w:rFonts w:ascii="Calibri" w:eastAsia="Calibri" w:hAnsi="Calibri" w:cs="Calibri"/>
                <w:color w:val="000000" w:themeColor="text1"/>
                <w:sz w:val="22"/>
                <w:szCs w:val="22"/>
              </w:rPr>
            </w:pPr>
            <w:r w:rsidRPr="00175EDE">
              <w:rPr>
                <w:rFonts w:ascii="Calibri" w:eastAsia="Calibri" w:hAnsi="Calibri" w:cs="Calibri"/>
                <w:color w:val="000000" w:themeColor="text1"/>
                <w:sz w:val="22"/>
                <w:szCs w:val="22"/>
              </w:rPr>
              <w:t>Inschrijver dient aan te tonen dat hij een EcoVadis score heeft</w:t>
            </w:r>
            <w:r w:rsidR="006262B4">
              <w:rPr>
                <w:rFonts w:ascii="Calibri" w:eastAsia="Calibri" w:hAnsi="Calibri" w:cs="Calibri"/>
                <w:color w:val="000000" w:themeColor="text1"/>
                <w:sz w:val="22"/>
                <w:szCs w:val="22"/>
              </w:rPr>
              <w:t xml:space="preserve">, een hogere EcoVadis score </w:t>
            </w:r>
            <w:r w:rsidR="001568CA">
              <w:rPr>
                <w:rFonts w:ascii="Calibri" w:eastAsia="Calibri" w:hAnsi="Calibri" w:cs="Calibri"/>
                <w:color w:val="000000" w:themeColor="text1"/>
                <w:sz w:val="22"/>
                <w:szCs w:val="22"/>
              </w:rPr>
              <w:t>resulteert in meer punten</w:t>
            </w:r>
            <w:r w:rsidR="00EA2C6F">
              <w:rPr>
                <w:rFonts w:ascii="Calibri" w:eastAsia="Calibri" w:hAnsi="Calibri" w:cs="Calibri"/>
                <w:color w:val="000000" w:themeColor="text1"/>
                <w:sz w:val="22"/>
                <w:szCs w:val="22"/>
              </w:rPr>
              <w:t>:</w:t>
            </w:r>
            <w:r w:rsidR="001568CA">
              <w:rPr>
                <w:rFonts w:ascii="Calibri" w:eastAsia="Calibri" w:hAnsi="Calibri" w:cs="Calibri"/>
                <w:color w:val="000000" w:themeColor="text1"/>
                <w:sz w:val="22"/>
                <w:szCs w:val="22"/>
              </w:rPr>
              <w:t xml:space="preserve"> zie paragraaf 3.5.2 van de aanbestedingsleidraad.</w:t>
            </w:r>
          </w:p>
        </w:tc>
        <w:tc>
          <w:tcPr>
            <w:tcW w:w="1785" w:type="dxa"/>
          </w:tcPr>
          <w:p w14:paraId="1A257138" w14:textId="77777777" w:rsidR="009E1EC8" w:rsidRDefault="009E1EC8" w:rsidP="4555BD89"/>
        </w:tc>
      </w:tr>
      <w:tr w:rsidR="009E1EC8" w14:paraId="19A8DA17" w14:textId="77777777" w:rsidTr="4555BD89">
        <w:trPr>
          <w:trHeight w:val="300"/>
        </w:trPr>
        <w:tc>
          <w:tcPr>
            <w:tcW w:w="7230" w:type="dxa"/>
          </w:tcPr>
          <w:p w14:paraId="4B4871EF" w14:textId="7E99334E" w:rsidR="009E1EC8" w:rsidRPr="4555BD89" w:rsidRDefault="00E55432" w:rsidP="4555BD89">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w:t>
            </w:r>
            <w:r w:rsidR="00EA2C6F" w:rsidRPr="00EA2C6F">
              <w:rPr>
                <w:rFonts w:ascii="Calibri" w:eastAsia="Calibri" w:hAnsi="Calibri" w:cs="Calibri"/>
                <w:color w:val="000000" w:themeColor="text1"/>
                <w:sz w:val="22"/>
                <w:szCs w:val="22"/>
              </w:rPr>
              <w:t>e Aanbestedende dienst hecht waarde aan maatschappelijk verantwoord ondernemen (MVO). In dit kader is besloten dat we punten toekennen aan ISO-certificeringen die bijdragen aan duurzame en maatschappelijk verantwoorde bedrijfsvoering.</w:t>
            </w:r>
            <w:r w:rsidR="00EA2C6F">
              <w:rPr>
                <w:rFonts w:ascii="Calibri" w:eastAsia="Calibri" w:hAnsi="Calibri" w:cs="Calibri"/>
                <w:color w:val="000000" w:themeColor="text1"/>
                <w:sz w:val="22"/>
                <w:szCs w:val="22"/>
              </w:rPr>
              <w:t xml:space="preserve"> Zie paragraaf 3.5.3 van de aanbestedingsleidraad.</w:t>
            </w:r>
          </w:p>
        </w:tc>
        <w:tc>
          <w:tcPr>
            <w:tcW w:w="1785" w:type="dxa"/>
          </w:tcPr>
          <w:p w14:paraId="3547AC46" w14:textId="77777777" w:rsidR="009E1EC8" w:rsidRDefault="009E1EC8" w:rsidP="4555BD89"/>
        </w:tc>
      </w:tr>
    </w:tbl>
    <w:p w14:paraId="0DEE1D74" w14:textId="5D563486" w:rsidR="4555BD89" w:rsidRDefault="4555BD89"/>
    <w:sectPr w:rsidR="4555B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E1A8D1"/>
    <w:rsid w:val="000D7A7B"/>
    <w:rsid w:val="001568CA"/>
    <w:rsid w:val="00175EDE"/>
    <w:rsid w:val="002519C6"/>
    <w:rsid w:val="00282ABB"/>
    <w:rsid w:val="00330F8D"/>
    <w:rsid w:val="00377924"/>
    <w:rsid w:val="005262D1"/>
    <w:rsid w:val="00621A85"/>
    <w:rsid w:val="006262B4"/>
    <w:rsid w:val="006A0396"/>
    <w:rsid w:val="0077320A"/>
    <w:rsid w:val="008F6063"/>
    <w:rsid w:val="009E1EC8"/>
    <w:rsid w:val="00AC5C62"/>
    <w:rsid w:val="00C87DD4"/>
    <w:rsid w:val="00DB5A3F"/>
    <w:rsid w:val="00E103B4"/>
    <w:rsid w:val="00E55432"/>
    <w:rsid w:val="00EA2C6F"/>
    <w:rsid w:val="00EB62E4"/>
    <w:rsid w:val="00F63E65"/>
    <w:rsid w:val="00FB729E"/>
    <w:rsid w:val="0585E8EC"/>
    <w:rsid w:val="07A3FAAD"/>
    <w:rsid w:val="18C4C13A"/>
    <w:rsid w:val="1E4543B9"/>
    <w:rsid w:val="20C02663"/>
    <w:rsid w:val="212F10A5"/>
    <w:rsid w:val="291BB39C"/>
    <w:rsid w:val="2CE1A8D1"/>
    <w:rsid w:val="3C02BB40"/>
    <w:rsid w:val="42A702CE"/>
    <w:rsid w:val="4555BD89"/>
    <w:rsid w:val="4591AD1A"/>
    <w:rsid w:val="45FD65C4"/>
    <w:rsid w:val="5AC04D8F"/>
    <w:rsid w:val="6238B8BC"/>
    <w:rsid w:val="69DC9CA6"/>
    <w:rsid w:val="726ED1FE"/>
    <w:rsid w:val="72D47DD0"/>
    <w:rsid w:val="76EE35FB"/>
    <w:rsid w:val="791506F9"/>
    <w:rsid w:val="7E7EE24B"/>
    <w:rsid w:val="7EC38CE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265E"/>
  <w15:chartTrackingRefBased/>
  <w15:docId w15:val="{7F78A66F-1E54-4FBA-A703-8FA8B1B6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uiPriority w:val="99"/>
    <w:semiHidden/>
    <w:unhideWhenUsed/>
    <w:rsid w:val="002519C6"/>
    <w:rPr>
      <w:sz w:val="16"/>
      <w:szCs w:val="16"/>
    </w:rPr>
  </w:style>
  <w:style w:type="paragraph" w:styleId="Tekstopmerking">
    <w:name w:val="annotation text"/>
    <w:basedOn w:val="Standaard"/>
    <w:link w:val="TekstopmerkingChar"/>
    <w:uiPriority w:val="99"/>
    <w:unhideWhenUsed/>
    <w:rsid w:val="002519C6"/>
    <w:pPr>
      <w:spacing w:line="240" w:lineRule="auto"/>
    </w:pPr>
    <w:rPr>
      <w:sz w:val="20"/>
      <w:szCs w:val="20"/>
    </w:rPr>
  </w:style>
  <w:style w:type="character" w:customStyle="1" w:styleId="TekstopmerkingChar">
    <w:name w:val="Tekst opmerking Char"/>
    <w:basedOn w:val="Standaardalinea-lettertype"/>
    <w:link w:val="Tekstopmerking"/>
    <w:uiPriority w:val="99"/>
    <w:rsid w:val="002519C6"/>
    <w:rPr>
      <w:sz w:val="20"/>
      <w:szCs w:val="20"/>
    </w:rPr>
  </w:style>
  <w:style w:type="paragraph" w:styleId="Onderwerpvanopmerking">
    <w:name w:val="annotation subject"/>
    <w:basedOn w:val="Tekstopmerking"/>
    <w:next w:val="Tekstopmerking"/>
    <w:link w:val="OnderwerpvanopmerkingChar"/>
    <w:uiPriority w:val="99"/>
    <w:semiHidden/>
    <w:unhideWhenUsed/>
    <w:rsid w:val="002519C6"/>
    <w:rPr>
      <w:b/>
      <w:bCs/>
    </w:rPr>
  </w:style>
  <w:style w:type="character" w:customStyle="1" w:styleId="OnderwerpvanopmerkingChar">
    <w:name w:val="Onderwerp van opmerking Char"/>
    <w:basedOn w:val="TekstopmerkingChar"/>
    <w:link w:val="Onderwerpvanopmerking"/>
    <w:uiPriority w:val="99"/>
    <w:semiHidden/>
    <w:rsid w:val="002519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E9AE9B5BD4D4C82334E2A674A47C8" ma:contentTypeVersion="3" ma:contentTypeDescription="Create a new document." ma:contentTypeScope="" ma:versionID="37472baeaaf52e58e64bc3e0a5245e39">
  <xsd:schema xmlns:xsd="http://www.w3.org/2001/XMLSchema" xmlns:xs="http://www.w3.org/2001/XMLSchema" xmlns:p="http://schemas.microsoft.com/office/2006/metadata/properties" xmlns:ns2="e085a5c9-b41d-4247-afbb-c4a208620e16" targetNamespace="http://schemas.microsoft.com/office/2006/metadata/properties" ma:root="true" ma:fieldsID="ee352d83601b4abb951c137f860698fd" ns2:_="">
    <xsd:import namespace="e085a5c9-b41d-4247-afbb-c4a208620e1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5a5c9-b41d-4247-afbb-c4a208620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28B74-B55A-4C5D-8298-D523D25B1E31}"/>
</file>

<file path=customXml/itemProps2.xml><?xml version="1.0" encoding="utf-8"?>
<ds:datastoreItem xmlns:ds="http://schemas.openxmlformats.org/officeDocument/2006/customXml" ds:itemID="{C828ACEC-38AE-4590-9FA2-F6A6CF2E0E7F}">
  <ds:schemaRefs>
    <ds:schemaRef ds:uri="http://schemas.microsoft.com/sharepoint/v3/contenttype/forms"/>
  </ds:schemaRefs>
</ds:datastoreItem>
</file>

<file path=customXml/itemProps3.xml><?xml version="1.0" encoding="utf-8"?>
<ds:datastoreItem xmlns:ds="http://schemas.openxmlformats.org/officeDocument/2006/customXml" ds:itemID="{DACB6B55-518E-452D-9410-203ABAAAD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6080a10-701a-470e-b91e-3b48c4953261}" enabled="1" method="Standard" siteId="{0d67f5b7-067c-4929-956c-9614de5a5af7}"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362</Words>
  <Characters>1994</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Schagen</dc:creator>
  <cp:keywords/>
  <dc:description/>
  <cp:lastModifiedBy>Dirk Schagen</cp:lastModifiedBy>
  <cp:revision>19</cp:revision>
  <dcterms:created xsi:type="dcterms:W3CDTF">2025-03-03T07:27:00Z</dcterms:created>
  <dcterms:modified xsi:type="dcterms:W3CDTF">2026-01-13T09:09:00Z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0x010100567E9AE9B5BD4D4C82334E2A674A47C8</vt:lpwstr>
  </property>
</Properties>
</file>