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3496" w14:textId="2267244A" w:rsidR="009141F5" w:rsidRPr="004B4759" w:rsidRDefault="003F72B9" w:rsidP="7A623AB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A623AB0">
        <w:rPr>
          <w:rFonts w:ascii="Arial" w:eastAsia="Arial" w:hAnsi="Arial" w:cs="Arial"/>
          <w:b/>
          <w:bCs/>
          <w:sz w:val="24"/>
          <w:szCs w:val="24"/>
        </w:rPr>
        <w:t xml:space="preserve">Bijlage </w:t>
      </w:r>
      <w:r w:rsidR="00CF49DC" w:rsidRPr="7A623AB0">
        <w:rPr>
          <w:rFonts w:ascii="Arial" w:eastAsia="Arial" w:hAnsi="Arial" w:cs="Arial"/>
          <w:b/>
          <w:bCs/>
          <w:sz w:val="24"/>
          <w:szCs w:val="24"/>
        </w:rPr>
        <w:t>1</w:t>
      </w:r>
      <w:r w:rsidR="007F5340">
        <w:rPr>
          <w:rFonts w:ascii="Arial" w:eastAsia="Arial" w:hAnsi="Arial" w:cs="Arial"/>
          <w:b/>
          <w:bCs/>
          <w:sz w:val="24"/>
          <w:szCs w:val="24"/>
        </w:rPr>
        <w:t>1</w:t>
      </w:r>
      <w:r w:rsidR="00CF49DC" w:rsidRPr="7A623AB0">
        <w:rPr>
          <w:rFonts w:ascii="Arial" w:eastAsia="Arial" w:hAnsi="Arial" w:cs="Arial"/>
          <w:b/>
          <w:bCs/>
          <w:sz w:val="24"/>
          <w:szCs w:val="24"/>
        </w:rPr>
        <w:t>:</w:t>
      </w:r>
      <w:r w:rsidRPr="7A623AB0">
        <w:rPr>
          <w:rFonts w:ascii="Arial" w:eastAsia="Arial" w:hAnsi="Arial" w:cs="Arial"/>
          <w:b/>
          <w:bCs/>
          <w:sz w:val="24"/>
          <w:szCs w:val="24"/>
        </w:rPr>
        <w:t xml:space="preserve"> Brandstofclausule</w:t>
      </w:r>
      <w:r w:rsidR="5E384281" w:rsidRPr="7A623AB0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1C09B3F" w14:textId="6013D364" w:rsidR="009141F5" w:rsidRPr="004B4759" w:rsidRDefault="5E384281" w:rsidP="7A623AB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A623AB0">
        <w:rPr>
          <w:rFonts w:ascii="Arial" w:eastAsia="Arial" w:hAnsi="Arial" w:cs="Arial"/>
          <w:b/>
          <w:bCs/>
          <w:sz w:val="24"/>
          <w:szCs w:val="24"/>
        </w:rPr>
        <w:t xml:space="preserve">Raamovereenkomst </w:t>
      </w:r>
      <w:r w:rsidR="00701B26">
        <w:rPr>
          <w:rFonts w:ascii="Arial" w:eastAsia="Arial" w:hAnsi="Arial" w:cs="Arial"/>
          <w:b/>
          <w:bCs/>
          <w:sz w:val="24"/>
          <w:szCs w:val="24"/>
        </w:rPr>
        <w:t xml:space="preserve">Houtoogst </w:t>
      </w:r>
      <w:r w:rsidRPr="7A623AB0">
        <w:rPr>
          <w:rFonts w:ascii="Arial" w:eastAsia="Arial" w:hAnsi="Arial" w:cs="Arial"/>
          <w:b/>
          <w:bCs/>
          <w:sz w:val="24"/>
          <w:szCs w:val="24"/>
        </w:rPr>
        <w:t>202</w:t>
      </w:r>
      <w:r w:rsidR="00701B26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60A938F2" w14:textId="6118E96E" w:rsidR="00DB34FB" w:rsidRDefault="00735982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 xml:space="preserve">Opdrachtgever en opdrachtnemer hebben </w:t>
      </w:r>
      <w:r w:rsidR="009F4021" w:rsidRPr="7A623AB0">
        <w:rPr>
          <w:rFonts w:ascii="Arial" w:eastAsia="Arial" w:hAnsi="Arial" w:cs="Arial"/>
          <w:sz w:val="20"/>
          <w:szCs w:val="20"/>
        </w:rPr>
        <w:t xml:space="preserve">periodiek de mogelijkheid 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een </w:t>
      </w:r>
      <w:r w:rsidRPr="7A623AB0">
        <w:rPr>
          <w:rFonts w:ascii="Arial" w:eastAsia="Arial" w:hAnsi="Arial" w:cs="Arial"/>
          <w:sz w:val="20"/>
          <w:szCs w:val="20"/>
        </w:rPr>
        <w:t xml:space="preserve">correctie 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van de </w:t>
      </w:r>
      <w:r w:rsidR="007F5340">
        <w:rPr>
          <w:rFonts w:ascii="Arial" w:eastAsia="Arial" w:hAnsi="Arial" w:cs="Arial"/>
          <w:sz w:val="20"/>
          <w:szCs w:val="20"/>
        </w:rPr>
        <w:t>tarieven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 te vragen </w:t>
      </w:r>
      <w:r w:rsidRPr="7A623AB0">
        <w:rPr>
          <w:rFonts w:ascii="Arial" w:eastAsia="Arial" w:hAnsi="Arial" w:cs="Arial"/>
          <w:sz w:val="20"/>
          <w:szCs w:val="20"/>
        </w:rPr>
        <w:t>t.g.v. w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ijzigingen in de brandstofprijs. </w:t>
      </w:r>
      <w:r w:rsidRPr="7A623AB0">
        <w:rPr>
          <w:rFonts w:ascii="Arial" w:eastAsia="Arial" w:hAnsi="Arial" w:cs="Arial"/>
          <w:sz w:val="20"/>
          <w:szCs w:val="20"/>
        </w:rPr>
        <w:t>Dit geldt voor p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rijsaanpassing </w:t>
      </w:r>
      <w:r w:rsidRPr="7A623AB0">
        <w:rPr>
          <w:rFonts w:ascii="Arial" w:eastAsia="Arial" w:hAnsi="Arial" w:cs="Arial"/>
          <w:sz w:val="20"/>
          <w:szCs w:val="20"/>
        </w:rPr>
        <w:t xml:space="preserve">(stijging en daling) 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op basis van </w:t>
      </w:r>
      <w:r w:rsidR="003E2A5E">
        <w:rPr>
          <w:rFonts w:ascii="Arial" w:eastAsia="Arial" w:hAnsi="Arial" w:cs="Arial"/>
          <w:sz w:val="20"/>
          <w:szCs w:val="20"/>
        </w:rPr>
        <w:t>diesel</w:t>
      </w:r>
      <w:r w:rsidR="00A77DB0">
        <w:rPr>
          <w:rFonts w:ascii="Arial" w:eastAsia="Arial" w:hAnsi="Arial" w:cs="Arial"/>
          <w:sz w:val="20"/>
          <w:szCs w:val="20"/>
        </w:rPr>
        <w:t>.</w:t>
      </w:r>
      <w:r w:rsidR="00B97A62">
        <w:rPr>
          <w:rFonts w:ascii="Arial" w:eastAsia="Arial" w:hAnsi="Arial" w:cs="Arial"/>
          <w:sz w:val="20"/>
          <w:szCs w:val="20"/>
        </w:rPr>
        <w:t xml:space="preserve"> </w:t>
      </w:r>
      <w:r w:rsidR="003F72B9" w:rsidRPr="7A623AB0">
        <w:rPr>
          <w:rFonts w:ascii="Arial" w:eastAsia="Arial" w:hAnsi="Arial" w:cs="Arial"/>
          <w:sz w:val="20"/>
          <w:szCs w:val="20"/>
        </w:rPr>
        <w:t>De brandstoftoeslag wordt berekend per periode v</w:t>
      </w:r>
      <w:r w:rsidR="00107DD3">
        <w:rPr>
          <w:rFonts w:ascii="Arial" w:eastAsia="Arial" w:hAnsi="Arial" w:cs="Arial"/>
          <w:sz w:val="20"/>
          <w:szCs w:val="20"/>
        </w:rPr>
        <w:t>an drie</w:t>
      </w:r>
      <w:r w:rsidR="00B97A62">
        <w:rPr>
          <w:rFonts w:ascii="Arial" w:eastAsia="Arial" w:hAnsi="Arial" w:cs="Arial"/>
          <w:sz w:val="20"/>
          <w:szCs w:val="20"/>
        </w:rPr>
        <w:t xml:space="preserve"> (3)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 maanden. Daarbij wordt de gemiddelde brandstofprijs in deze periode vergeleken met de basisprijs</w:t>
      </w:r>
      <w:r w:rsidR="00DB34FB" w:rsidRPr="7A623AB0">
        <w:rPr>
          <w:rFonts w:ascii="Arial" w:eastAsia="Arial" w:hAnsi="Arial" w:cs="Arial"/>
          <w:sz w:val="20"/>
          <w:szCs w:val="20"/>
        </w:rPr>
        <w:t xml:space="preserve"> op basis van de volgende uitgangspunten:</w:t>
      </w:r>
    </w:p>
    <w:p w14:paraId="56968912" w14:textId="68156024" w:rsidR="00DB34FB" w:rsidRDefault="00DB34FB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EE026B1" w14:textId="3CE9942F" w:rsidR="3067B69A" w:rsidRDefault="3067B69A" w:rsidP="7A623AB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b/>
          <w:bCs/>
          <w:sz w:val="20"/>
          <w:szCs w:val="20"/>
        </w:rPr>
        <w:t>Uitgangspunten:</w:t>
      </w:r>
    </w:p>
    <w:p w14:paraId="17162570" w14:textId="041E7721" w:rsidR="00DB34FB" w:rsidRDefault="00893905" w:rsidP="7A623A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ij</w:t>
      </w:r>
      <w:r w:rsidR="00843070" w:rsidRPr="7A623AB0">
        <w:rPr>
          <w:rFonts w:ascii="Arial" w:eastAsia="Arial" w:hAnsi="Arial" w:cs="Arial"/>
          <w:sz w:val="20"/>
          <w:szCs w:val="20"/>
        </w:rPr>
        <w:t>kdatum basisprijs diesel</w:t>
      </w:r>
      <w:r w:rsidR="00EA2F36">
        <w:rPr>
          <w:rFonts w:ascii="Arial" w:eastAsia="Arial" w:hAnsi="Arial" w:cs="Arial"/>
          <w:sz w:val="20"/>
          <w:szCs w:val="20"/>
        </w:rPr>
        <w:t xml:space="preserve"> </w:t>
      </w:r>
      <w:r w:rsidR="6D9922A9" w:rsidRPr="7A623AB0">
        <w:rPr>
          <w:rFonts w:ascii="Arial" w:eastAsia="Arial" w:hAnsi="Arial" w:cs="Arial"/>
          <w:sz w:val="20"/>
          <w:szCs w:val="20"/>
        </w:rPr>
        <w:t xml:space="preserve">is </w:t>
      </w:r>
      <w:r w:rsidR="00987246">
        <w:rPr>
          <w:rFonts w:ascii="Arial" w:eastAsia="Arial" w:hAnsi="Arial" w:cs="Arial"/>
          <w:b/>
          <w:bCs/>
          <w:sz w:val="20"/>
          <w:szCs w:val="20"/>
        </w:rPr>
        <w:t>1</w:t>
      </w:r>
      <w:r w:rsidR="00E74331">
        <w:rPr>
          <w:rFonts w:ascii="Arial" w:eastAsia="Arial" w:hAnsi="Arial" w:cs="Arial"/>
          <w:b/>
          <w:bCs/>
          <w:sz w:val="20"/>
          <w:szCs w:val="20"/>
        </w:rPr>
        <w:t>5</w:t>
      </w:r>
      <w:r w:rsidR="00F76C5B" w:rsidRPr="00BA6C6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E74331">
        <w:rPr>
          <w:rFonts w:ascii="Arial" w:eastAsia="Arial" w:hAnsi="Arial" w:cs="Arial"/>
          <w:b/>
          <w:bCs/>
          <w:sz w:val="20"/>
          <w:szCs w:val="20"/>
        </w:rPr>
        <w:t>november</w:t>
      </w:r>
      <w:r w:rsidR="00F76C5B" w:rsidRPr="00BA6C6A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E74331">
        <w:rPr>
          <w:rFonts w:ascii="Arial" w:eastAsia="Arial" w:hAnsi="Arial" w:cs="Arial"/>
          <w:b/>
          <w:bCs/>
          <w:sz w:val="20"/>
          <w:szCs w:val="20"/>
        </w:rPr>
        <w:t>5</w:t>
      </w:r>
      <w:r w:rsidR="009F4021" w:rsidRPr="7A623AB0">
        <w:rPr>
          <w:rFonts w:ascii="Arial" w:eastAsia="Arial" w:hAnsi="Arial" w:cs="Arial"/>
          <w:sz w:val="20"/>
          <w:szCs w:val="20"/>
        </w:rPr>
        <w:t xml:space="preserve"> </w:t>
      </w:r>
    </w:p>
    <w:p w14:paraId="424030C6" w14:textId="7F1A5B08" w:rsidR="00843070" w:rsidRPr="00291E96" w:rsidRDefault="54EEB8C1" w:rsidP="008939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B</w:t>
      </w:r>
      <w:r w:rsidR="00843070" w:rsidRPr="7A623AB0">
        <w:rPr>
          <w:rFonts w:ascii="Arial" w:eastAsia="Arial" w:hAnsi="Arial" w:cs="Arial"/>
          <w:sz w:val="20"/>
          <w:szCs w:val="20"/>
        </w:rPr>
        <w:t xml:space="preserve">asisprijs </w:t>
      </w:r>
      <w:r w:rsidR="00843070" w:rsidRPr="00BA6C6A">
        <w:rPr>
          <w:rFonts w:ascii="Arial" w:eastAsia="Arial" w:hAnsi="Arial" w:cs="Arial"/>
          <w:b/>
          <w:bCs/>
          <w:sz w:val="20"/>
          <w:szCs w:val="20"/>
        </w:rPr>
        <w:t xml:space="preserve">€ </w:t>
      </w:r>
      <w:r w:rsidR="00893905" w:rsidRPr="00BA6C6A">
        <w:rPr>
          <w:rFonts w:ascii="Arial" w:eastAsia="Arial" w:hAnsi="Arial" w:cs="Arial"/>
          <w:b/>
          <w:bCs/>
          <w:sz w:val="20"/>
          <w:szCs w:val="20"/>
        </w:rPr>
        <w:t>1</w:t>
      </w:r>
      <w:r w:rsidR="00131A1E">
        <w:rPr>
          <w:rFonts w:ascii="Arial" w:eastAsia="Arial" w:hAnsi="Arial" w:cs="Arial"/>
          <w:b/>
          <w:bCs/>
          <w:sz w:val="20"/>
          <w:szCs w:val="20"/>
        </w:rPr>
        <w:t>65</w:t>
      </w:r>
      <w:r w:rsidR="00F45C9E">
        <w:rPr>
          <w:rFonts w:ascii="Arial" w:eastAsia="Arial" w:hAnsi="Arial" w:cs="Arial"/>
          <w:b/>
          <w:bCs/>
          <w:sz w:val="20"/>
          <w:szCs w:val="20"/>
        </w:rPr>
        <w:t>,</w:t>
      </w:r>
      <w:r w:rsidR="00131A1E">
        <w:rPr>
          <w:rFonts w:ascii="Arial" w:eastAsia="Arial" w:hAnsi="Arial" w:cs="Arial"/>
          <w:b/>
          <w:bCs/>
          <w:sz w:val="20"/>
          <w:szCs w:val="20"/>
        </w:rPr>
        <w:t>4</w:t>
      </w:r>
      <w:r w:rsidR="00893905" w:rsidRPr="00BA6C6A">
        <w:rPr>
          <w:rFonts w:ascii="Arial" w:eastAsia="Arial" w:hAnsi="Arial" w:cs="Arial"/>
          <w:b/>
          <w:bCs/>
          <w:sz w:val="20"/>
          <w:szCs w:val="20"/>
        </w:rPr>
        <w:t xml:space="preserve"> excl. btw per </w:t>
      </w:r>
      <w:r w:rsidR="00F45C9E">
        <w:rPr>
          <w:rFonts w:ascii="Arial" w:eastAsia="Arial" w:hAnsi="Arial" w:cs="Arial"/>
          <w:b/>
          <w:bCs/>
          <w:sz w:val="20"/>
          <w:szCs w:val="20"/>
        </w:rPr>
        <w:t xml:space="preserve">100 </w:t>
      </w:r>
      <w:r w:rsidR="00893905" w:rsidRPr="00BA6C6A">
        <w:rPr>
          <w:rFonts w:ascii="Arial" w:eastAsia="Arial" w:hAnsi="Arial" w:cs="Arial"/>
          <w:b/>
          <w:bCs/>
          <w:sz w:val="20"/>
          <w:szCs w:val="20"/>
        </w:rPr>
        <w:t>liter</w:t>
      </w:r>
      <w:r w:rsidR="00843070" w:rsidRPr="7A623AB0">
        <w:rPr>
          <w:rFonts w:ascii="Arial" w:eastAsia="Arial" w:hAnsi="Arial" w:cs="Arial"/>
          <w:sz w:val="20"/>
          <w:szCs w:val="20"/>
        </w:rPr>
        <w:t xml:space="preserve"> </w:t>
      </w:r>
      <w:r w:rsidR="003E2A5E" w:rsidRPr="005076CE">
        <w:rPr>
          <w:rFonts w:ascii="Arial" w:eastAsia="Arial" w:hAnsi="Arial" w:cs="Arial"/>
          <w:sz w:val="20"/>
          <w:szCs w:val="20"/>
        </w:rPr>
        <w:t xml:space="preserve">diesel </w:t>
      </w:r>
      <w:r w:rsidR="00843070" w:rsidRPr="7A623AB0">
        <w:rPr>
          <w:rFonts w:ascii="Arial" w:eastAsia="Arial" w:hAnsi="Arial" w:cs="Arial"/>
          <w:sz w:val="20"/>
          <w:szCs w:val="20"/>
        </w:rPr>
        <w:t xml:space="preserve">Grootverbruik volgens </w:t>
      </w:r>
      <w:hyperlink r:id="rId11">
        <w:r w:rsidR="00843070" w:rsidRPr="7A623AB0">
          <w:rPr>
            <w:rStyle w:val="Hyperlink"/>
            <w:rFonts w:ascii="Arial" w:eastAsia="Arial" w:hAnsi="Arial" w:cs="Arial"/>
            <w:sz w:val="20"/>
            <w:szCs w:val="20"/>
          </w:rPr>
          <w:t>https://www.tln.nl/brandstofmonitor/</w:t>
        </w:r>
      </w:hyperlink>
    </w:p>
    <w:p w14:paraId="0FFC858A" w14:textId="566B6362" w:rsidR="00843070" w:rsidRPr="00120E9D" w:rsidRDefault="00843070" w:rsidP="7A623A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20E9D">
        <w:rPr>
          <w:rFonts w:ascii="Arial" w:eastAsia="Arial" w:hAnsi="Arial" w:cs="Arial"/>
          <w:sz w:val="20"/>
          <w:szCs w:val="20"/>
        </w:rPr>
        <w:t>Aandeel brandstof</w:t>
      </w:r>
      <w:r w:rsidR="210AA866" w:rsidRPr="00120E9D">
        <w:rPr>
          <w:rFonts w:ascii="Arial" w:eastAsia="Arial" w:hAnsi="Arial" w:cs="Arial"/>
          <w:sz w:val="20"/>
          <w:szCs w:val="20"/>
        </w:rPr>
        <w:t xml:space="preserve"> (in %)</w:t>
      </w:r>
      <w:r w:rsidRPr="00120E9D">
        <w:rPr>
          <w:rFonts w:ascii="Arial" w:eastAsia="Arial" w:hAnsi="Arial" w:cs="Arial"/>
          <w:sz w:val="20"/>
          <w:szCs w:val="20"/>
        </w:rPr>
        <w:t xml:space="preserve"> t.o.v. totale </w:t>
      </w:r>
      <w:r w:rsidR="00135BC7" w:rsidRPr="00120E9D">
        <w:rPr>
          <w:rFonts w:ascii="Arial" w:eastAsia="Arial" w:hAnsi="Arial" w:cs="Arial"/>
          <w:sz w:val="20"/>
          <w:szCs w:val="20"/>
        </w:rPr>
        <w:t>kostprijs</w:t>
      </w:r>
      <w:r w:rsidR="000C50F3">
        <w:rPr>
          <w:rFonts w:ascii="Arial" w:eastAsia="Arial" w:hAnsi="Arial" w:cs="Arial"/>
          <w:sz w:val="20"/>
          <w:szCs w:val="20"/>
        </w:rPr>
        <w:t>:</w:t>
      </w:r>
      <w:r w:rsidR="008D3706" w:rsidRPr="00120E9D">
        <w:rPr>
          <w:rFonts w:ascii="Arial" w:eastAsia="Arial" w:hAnsi="Arial" w:cs="Arial"/>
          <w:sz w:val="20"/>
          <w:szCs w:val="20"/>
        </w:rPr>
        <w:t xml:space="preserve"> </w:t>
      </w:r>
      <w:r w:rsidR="008D3706" w:rsidRPr="00120E9D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FE534D" w:rsidRPr="00120E9D">
        <w:rPr>
          <w:rFonts w:ascii="Arial" w:eastAsia="Arial" w:hAnsi="Arial" w:cs="Arial"/>
          <w:sz w:val="20"/>
          <w:szCs w:val="20"/>
        </w:rPr>
        <w:t>[</w:t>
      </w:r>
      <w:r w:rsidR="00FE534D" w:rsidRPr="00120E9D">
        <w:rPr>
          <w:rFonts w:ascii="Arial" w:eastAsia="Arial" w:hAnsi="Arial" w:cs="Arial"/>
          <w:sz w:val="20"/>
          <w:szCs w:val="20"/>
          <w:highlight w:val="cyan"/>
        </w:rPr>
        <w:t>opgave % hier door inschrijver in te vullen</w:t>
      </w:r>
      <w:proofErr w:type="gramStart"/>
      <w:r w:rsidR="00FE534D" w:rsidRPr="00120E9D">
        <w:rPr>
          <w:rFonts w:ascii="Arial" w:eastAsia="Arial" w:hAnsi="Arial" w:cs="Arial"/>
          <w:sz w:val="20"/>
          <w:szCs w:val="20"/>
        </w:rPr>
        <w:t>]</w:t>
      </w:r>
      <w:r w:rsidR="008D3706" w:rsidRPr="00120E9D">
        <w:rPr>
          <w:rFonts w:ascii="Arial" w:eastAsia="Arial" w:hAnsi="Arial" w:cs="Arial"/>
          <w:sz w:val="20"/>
          <w:szCs w:val="20"/>
          <w:highlight w:val="yellow"/>
        </w:rPr>
        <w:t>,…</w:t>
      </w:r>
      <w:proofErr w:type="gramEnd"/>
      <w:r w:rsidR="00C646A1" w:rsidRPr="00120E9D">
        <w:rPr>
          <w:rFonts w:ascii="Arial" w:eastAsia="Arial" w:hAnsi="Arial" w:cs="Arial"/>
          <w:sz w:val="20"/>
          <w:szCs w:val="20"/>
        </w:rPr>
        <w:t>%</w:t>
      </w:r>
      <w:r w:rsidRPr="00120E9D">
        <w:rPr>
          <w:rFonts w:ascii="Arial" w:eastAsia="Arial" w:hAnsi="Arial" w:cs="Arial"/>
          <w:sz w:val="20"/>
          <w:szCs w:val="20"/>
        </w:rPr>
        <w:t xml:space="preserve"> </w:t>
      </w:r>
    </w:p>
    <w:p w14:paraId="669E9396" w14:textId="5DB1C162" w:rsidR="00843070" w:rsidRPr="00A26F29" w:rsidRDefault="00BE5CE4" w:rsidP="7A623A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6F29">
        <w:rPr>
          <w:rFonts w:ascii="Arial" w:eastAsia="Arial" w:hAnsi="Arial" w:cs="Arial"/>
          <w:sz w:val="20"/>
          <w:szCs w:val="20"/>
        </w:rPr>
        <w:t>Brandstoftoeslag</w:t>
      </w:r>
      <w:r w:rsidR="009F4021" w:rsidRPr="00A26F29">
        <w:rPr>
          <w:rFonts w:ascii="Arial" w:eastAsia="Arial" w:hAnsi="Arial" w:cs="Arial"/>
          <w:sz w:val="20"/>
          <w:szCs w:val="20"/>
        </w:rPr>
        <w:t xml:space="preserve"> op basis van de gemiddelde referentieprijs* over een periode van telkens </w:t>
      </w:r>
      <w:r w:rsidR="009911BD">
        <w:rPr>
          <w:rFonts w:ascii="Arial" w:eastAsia="Arial" w:hAnsi="Arial" w:cs="Arial"/>
          <w:sz w:val="20"/>
          <w:szCs w:val="20"/>
        </w:rPr>
        <w:t>3</w:t>
      </w:r>
      <w:r w:rsidR="009F4021" w:rsidRPr="006A377C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9F4021" w:rsidRPr="009911BD">
        <w:rPr>
          <w:rFonts w:ascii="Arial" w:eastAsia="Arial" w:hAnsi="Arial" w:cs="Arial"/>
          <w:sz w:val="20"/>
          <w:szCs w:val="20"/>
        </w:rPr>
        <w:t>maanden</w:t>
      </w:r>
      <w:r w:rsidR="009F4021" w:rsidRPr="00A26F29">
        <w:rPr>
          <w:rFonts w:ascii="Arial" w:eastAsia="Arial" w:hAnsi="Arial" w:cs="Arial"/>
          <w:sz w:val="20"/>
          <w:szCs w:val="20"/>
        </w:rPr>
        <w:t xml:space="preserve"> gerekend vanaf ingangsdatum overeenkomst.</w:t>
      </w:r>
    </w:p>
    <w:p w14:paraId="0963040B" w14:textId="44F513F6" w:rsidR="009F4021" w:rsidRDefault="00BE5CE4" w:rsidP="7A623A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 xml:space="preserve">% </w:t>
      </w:r>
      <w:r w:rsidR="009F4021" w:rsidRPr="7A623AB0">
        <w:rPr>
          <w:rFonts w:ascii="Arial" w:eastAsia="Arial" w:hAnsi="Arial" w:cs="Arial"/>
          <w:sz w:val="20"/>
          <w:szCs w:val="20"/>
        </w:rPr>
        <w:t xml:space="preserve">Brandstoftoeslag </w:t>
      </w:r>
      <w:r w:rsidRPr="7A623AB0">
        <w:rPr>
          <w:rFonts w:ascii="Arial" w:eastAsia="Arial" w:hAnsi="Arial" w:cs="Arial"/>
          <w:sz w:val="20"/>
          <w:szCs w:val="20"/>
        </w:rPr>
        <w:t xml:space="preserve">en kosten </w:t>
      </w:r>
      <w:r w:rsidR="009F4021" w:rsidRPr="7A623AB0">
        <w:rPr>
          <w:rFonts w:ascii="Arial" w:eastAsia="Arial" w:hAnsi="Arial" w:cs="Arial"/>
          <w:sz w:val="20"/>
          <w:szCs w:val="20"/>
        </w:rPr>
        <w:t xml:space="preserve">(+ of -) over voorgaande periode wordt apart </w:t>
      </w:r>
      <w:r w:rsidR="00C4163B" w:rsidRPr="7A623AB0">
        <w:rPr>
          <w:rFonts w:ascii="Arial" w:eastAsia="Arial" w:hAnsi="Arial" w:cs="Arial"/>
          <w:sz w:val="20"/>
          <w:szCs w:val="20"/>
        </w:rPr>
        <w:t>gefactureerd</w:t>
      </w:r>
      <w:r w:rsidR="009F4021" w:rsidRPr="7A623AB0">
        <w:rPr>
          <w:rFonts w:ascii="Arial" w:eastAsia="Arial" w:hAnsi="Arial" w:cs="Arial"/>
          <w:sz w:val="20"/>
          <w:szCs w:val="20"/>
        </w:rPr>
        <w:t>.</w:t>
      </w:r>
    </w:p>
    <w:p w14:paraId="65998362" w14:textId="77777777" w:rsidR="00843070" w:rsidRPr="00843070" w:rsidRDefault="00843070" w:rsidP="7A623AB0">
      <w:pPr>
        <w:pStyle w:val="Lijstalinea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1621B5" w14:textId="07CA3D9F" w:rsidR="003F72B9" w:rsidRDefault="009F4021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*</w:t>
      </w:r>
      <w:r w:rsidR="003F72B9" w:rsidRPr="7A623AB0">
        <w:rPr>
          <w:rFonts w:ascii="Arial" w:eastAsia="Arial" w:hAnsi="Arial" w:cs="Arial"/>
          <w:sz w:val="20"/>
          <w:szCs w:val="20"/>
        </w:rPr>
        <w:t>De brandstofprij</w:t>
      </w:r>
      <w:r w:rsidRPr="7A623AB0">
        <w:rPr>
          <w:rFonts w:ascii="Arial" w:eastAsia="Arial" w:hAnsi="Arial" w:cs="Arial"/>
          <w:sz w:val="20"/>
          <w:szCs w:val="20"/>
        </w:rPr>
        <w:t>zen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 </w:t>
      </w:r>
      <w:r w:rsidRPr="7A623AB0">
        <w:rPr>
          <w:rFonts w:ascii="Arial" w:eastAsia="Arial" w:hAnsi="Arial" w:cs="Arial"/>
          <w:sz w:val="20"/>
          <w:szCs w:val="20"/>
        </w:rPr>
        <w:t>zijn onderhevig aan fluctuaties t.g.v. marktontwikkelingen</w:t>
      </w:r>
      <w:r w:rsidR="00BE5CE4" w:rsidRPr="7A623AB0">
        <w:rPr>
          <w:rFonts w:ascii="Arial" w:eastAsia="Arial" w:hAnsi="Arial" w:cs="Arial"/>
          <w:sz w:val="20"/>
          <w:szCs w:val="20"/>
        </w:rPr>
        <w:t xml:space="preserve">, </w:t>
      </w:r>
      <w:r w:rsidRPr="7A623AB0">
        <w:rPr>
          <w:rFonts w:ascii="Arial" w:eastAsia="Arial" w:hAnsi="Arial" w:cs="Arial"/>
          <w:sz w:val="20"/>
          <w:szCs w:val="20"/>
        </w:rPr>
        <w:t>accijns</w:t>
      </w:r>
      <w:r w:rsidR="00BE5CE4" w:rsidRPr="7A623AB0">
        <w:rPr>
          <w:rFonts w:ascii="Arial" w:eastAsia="Arial" w:hAnsi="Arial" w:cs="Arial"/>
          <w:sz w:val="20"/>
          <w:szCs w:val="20"/>
        </w:rPr>
        <w:t xml:space="preserve"> en overheidsmaatregelen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. De gemiddelde </w:t>
      </w:r>
      <w:r w:rsidRPr="7A623AB0">
        <w:rPr>
          <w:rFonts w:ascii="Arial" w:eastAsia="Arial" w:hAnsi="Arial" w:cs="Arial"/>
          <w:sz w:val="20"/>
          <w:szCs w:val="20"/>
        </w:rPr>
        <w:t>referentie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prijs </w:t>
      </w:r>
      <w:r w:rsidR="00843070" w:rsidRPr="7A623AB0">
        <w:rPr>
          <w:rFonts w:ascii="Arial" w:eastAsia="Arial" w:hAnsi="Arial" w:cs="Arial"/>
          <w:sz w:val="20"/>
          <w:szCs w:val="20"/>
        </w:rPr>
        <w:t xml:space="preserve">over 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een periode wordt berekend door het aantal dagen dat een prijs geldig is, te vermenigvuldigen met de op die dagen geldende prijs. Deze waarden worden opgeteld en gedeeld door het </w:t>
      </w:r>
      <w:r w:rsidRPr="7A623AB0">
        <w:rPr>
          <w:rFonts w:ascii="Arial" w:eastAsia="Arial" w:hAnsi="Arial" w:cs="Arial"/>
          <w:sz w:val="20"/>
          <w:szCs w:val="20"/>
        </w:rPr>
        <w:t xml:space="preserve">totaal </w:t>
      </w:r>
      <w:r w:rsidR="003F72B9" w:rsidRPr="7A623AB0">
        <w:rPr>
          <w:rFonts w:ascii="Arial" w:eastAsia="Arial" w:hAnsi="Arial" w:cs="Arial"/>
          <w:sz w:val="20"/>
          <w:szCs w:val="20"/>
        </w:rPr>
        <w:t>aantal dagen</w:t>
      </w:r>
      <w:r w:rsidRPr="7A623AB0">
        <w:rPr>
          <w:rFonts w:ascii="Arial" w:eastAsia="Arial" w:hAnsi="Arial" w:cs="Arial"/>
          <w:sz w:val="20"/>
          <w:szCs w:val="20"/>
        </w:rPr>
        <w:t xml:space="preserve"> in die periode</w:t>
      </w:r>
      <w:r w:rsidR="003F72B9" w:rsidRPr="7A623AB0">
        <w:rPr>
          <w:rFonts w:ascii="Arial" w:eastAsia="Arial" w:hAnsi="Arial" w:cs="Arial"/>
          <w:sz w:val="20"/>
          <w:szCs w:val="20"/>
        </w:rPr>
        <w:t xml:space="preserve">. </w:t>
      </w:r>
    </w:p>
    <w:p w14:paraId="2417DC85" w14:textId="77777777" w:rsid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73A3E5" w14:textId="7C7ED22C" w:rsid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 xml:space="preserve">Zie onderstaande tabel en rekenvoorbeeld. </w:t>
      </w:r>
      <w:r w:rsidR="009F4021" w:rsidRPr="7A623AB0">
        <w:rPr>
          <w:rFonts w:ascii="Arial" w:eastAsia="Arial" w:hAnsi="Arial" w:cs="Arial"/>
          <w:sz w:val="20"/>
          <w:szCs w:val="20"/>
        </w:rPr>
        <w:t xml:space="preserve">Nb. </w:t>
      </w:r>
      <w:r w:rsidRPr="7A623AB0">
        <w:rPr>
          <w:rFonts w:ascii="Arial" w:eastAsia="Arial" w:hAnsi="Arial" w:cs="Arial"/>
          <w:sz w:val="20"/>
          <w:szCs w:val="20"/>
        </w:rPr>
        <w:t xml:space="preserve">De hierin gebruikte </w:t>
      </w:r>
      <w:r w:rsidR="00BE5CE4" w:rsidRPr="7A623AB0">
        <w:rPr>
          <w:rFonts w:ascii="Arial" w:eastAsia="Arial" w:hAnsi="Arial" w:cs="Arial"/>
          <w:sz w:val="20"/>
          <w:szCs w:val="20"/>
        </w:rPr>
        <w:t>prijzen en percentages zijn</w:t>
      </w:r>
      <w:r w:rsidRPr="7A623AB0">
        <w:rPr>
          <w:rFonts w:ascii="Arial" w:eastAsia="Arial" w:hAnsi="Arial" w:cs="Arial"/>
          <w:sz w:val="20"/>
          <w:szCs w:val="20"/>
        </w:rPr>
        <w:t xml:space="preserve"> </w:t>
      </w:r>
      <w:r w:rsidR="009F4021" w:rsidRPr="7A623AB0">
        <w:rPr>
          <w:rFonts w:ascii="Arial" w:eastAsia="Arial" w:hAnsi="Arial" w:cs="Arial"/>
          <w:sz w:val="20"/>
          <w:szCs w:val="20"/>
        </w:rPr>
        <w:t xml:space="preserve">indicatief en </w:t>
      </w:r>
      <w:r w:rsidRPr="7A623AB0">
        <w:rPr>
          <w:rFonts w:ascii="Arial" w:eastAsia="Arial" w:hAnsi="Arial" w:cs="Arial"/>
          <w:sz w:val="20"/>
          <w:szCs w:val="20"/>
        </w:rPr>
        <w:t xml:space="preserve">niet </w:t>
      </w:r>
      <w:r w:rsidR="009F4021" w:rsidRPr="7A623AB0">
        <w:rPr>
          <w:rFonts w:ascii="Arial" w:eastAsia="Arial" w:hAnsi="Arial" w:cs="Arial"/>
          <w:sz w:val="20"/>
          <w:szCs w:val="20"/>
        </w:rPr>
        <w:t>geldend voor deze opdracht</w:t>
      </w:r>
      <w:r w:rsidRPr="7A623AB0">
        <w:rPr>
          <w:rFonts w:ascii="Arial" w:eastAsia="Arial" w:hAnsi="Arial" w:cs="Arial"/>
          <w:sz w:val="20"/>
          <w:szCs w:val="20"/>
        </w:rPr>
        <w:t xml:space="preserve">. </w:t>
      </w:r>
    </w:p>
    <w:p w14:paraId="69637044" w14:textId="77777777" w:rsidR="003F72B9" w:rsidRP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6D6C602" w14:textId="77777777" w:rsidR="003F72B9" w:rsidRPr="00843070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A623AB0">
        <w:rPr>
          <w:rFonts w:ascii="Arial" w:eastAsia="Arial" w:hAnsi="Arial" w:cs="Arial"/>
          <w:b/>
          <w:bCs/>
          <w:sz w:val="20"/>
          <w:szCs w:val="20"/>
        </w:rPr>
        <w:t>Rekenvoorbeeld berekening brandstoftoeslag/ -daling</w:t>
      </w: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595"/>
        <w:gridCol w:w="348"/>
        <w:gridCol w:w="1843"/>
        <w:gridCol w:w="2410"/>
        <w:gridCol w:w="2016"/>
      </w:tblGrid>
      <w:tr w:rsidR="003F72B9" w:rsidRPr="001D7322" w14:paraId="5DBCB85F" w14:textId="77777777" w:rsidTr="7A623AB0">
        <w:tc>
          <w:tcPr>
            <w:tcW w:w="2595" w:type="dxa"/>
          </w:tcPr>
          <w:p w14:paraId="18770462" w14:textId="642217D1" w:rsidR="003F72B9" w:rsidRPr="001D7322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Basisprijs</w:t>
            </w:r>
            <w:r w:rsidR="00843070" w:rsidRPr="7A623AB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235D47CE" w:rsidRPr="7A623AB0">
              <w:rPr>
                <w:rFonts w:ascii="Arial" w:eastAsia="Arial" w:hAnsi="Arial" w:cs="Arial"/>
                <w:sz w:val="20"/>
                <w:szCs w:val="20"/>
              </w:rPr>
              <w:t xml:space="preserve">per </w:t>
            </w:r>
            <w:r w:rsidR="00BE5CE4" w:rsidRPr="7A623AB0">
              <w:rPr>
                <w:rFonts w:ascii="Arial" w:eastAsia="Arial" w:hAnsi="Arial" w:cs="Arial"/>
                <w:sz w:val="20"/>
                <w:szCs w:val="20"/>
              </w:rPr>
              <w:t>100 liter</w:t>
            </w:r>
            <w:r w:rsidR="2BFD120B" w:rsidRPr="7A623AB0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191" w:type="dxa"/>
            <w:gridSpan w:val="2"/>
          </w:tcPr>
          <w:p w14:paraId="28EFEC49" w14:textId="5C3D651C" w:rsidR="003F72B9" w:rsidRPr="001D7322" w:rsidRDefault="5FF2209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€ 106,08</w:t>
            </w:r>
          </w:p>
        </w:tc>
        <w:tc>
          <w:tcPr>
            <w:tcW w:w="2410" w:type="dxa"/>
          </w:tcPr>
          <w:p w14:paraId="17486757" w14:textId="146C6F7F" w:rsidR="003F72B9" w:rsidRPr="001D7322" w:rsidRDefault="5FF2209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Prijspeil 1-1-2019</w:t>
            </w:r>
          </w:p>
        </w:tc>
        <w:tc>
          <w:tcPr>
            <w:tcW w:w="2016" w:type="dxa"/>
          </w:tcPr>
          <w:p w14:paraId="4FB13EA2" w14:textId="2685FB57" w:rsidR="003F72B9" w:rsidRPr="001D7322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72B9" w:rsidRPr="001D7322" w14:paraId="22C8F1B5" w14:textId="77777777" w:rsidTr="7A623AB0">
        <w:tc>
          <w:tcPr>
            <w:tcW w:w="4786" w:type="dxa"/>
            <w:gridSpan w:val="3"/>
          </w:tcPr>
          <w:p w14:paraId="37C54422" w14:textId="64AB941B" w:rsidR="003F72B9" w:rsidRPr="001D7322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Aandeel brandstof</w:t>
            </w:r>
            <w:r w:rsidR="00BE5CE4" w:rsidRPr="7A623AB0">
              <w:rPr>
                <w:rFonts w:ascii="Arial" w:eastAsia="Arial" w:hAnsi="Arial" w:cs="Arial"/>
                <w:sz w:val="20"/>
                <w:szCs w:val="20"/>
              </w:rPr>
              <w:t xml:space="preserve">kosten t.o.v. </w:t>
            </w:r>
            <w:r w:rsidR="00843070" w:rsidRPr="7A623AB0">
              <w:rPr>
                <w:rFonts w:ascii="Arial" w:eastAsia="Arial" w:hAnsi="Arial" w:cs="Arial"/>
                <w:sz w:val="20"/>
                <w:szCs w:val="20"/>
              </w:rPr>
              <w:t xml:space="preserve">totale </w:t>
            </w:r>
            <w:r w:rsidR="440AD535" w:rsidRPr="7A623AB0">
              <w:rPr>
                <w:rFonts w:ascii="Arial" w:eastAsia="Arial" w:hAnsi="Arial" w:cs="Arial"/>
                <w:sz w:val="20"/>
                <w:szCs w:val="20"/>
              </w:rPr>
              <w:t>transport</w:t>
            </w:r>
            <w:r w:rsidR="00BE5CE4" w:rsidRPr="7A623AB0">
              <w:rPr>
                <w:rFonts w:ascii="Arial" w:eastAsia="Arial" w:hAnsi="Arial" w:cs="Arial"/>
                <w:sz w:val="20"/>
                <w:szCs w:val="20"/>
              </w:rPr>
              <w:t>kosten</w:t>
            </w:r>
          </w:p>
        </w:tc>
        <w:tc>
          <w:tcPr>
            <w:tcW w:w="2410" w:type="dxa"/>
            <w:vAlign w:val="center"/>
          </w:tcPr>
          <w:p w14:paraId="25D3A285" w14:textId="53B552A5" w:rsidR="003F72B9" w:rsidRPr="001D7322" w:rsidRDefault="1D6F3F9B" w:rsidP="7A623AB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  <w:r w:rsidR="001D7322" w:rsidRPr="7A623AB0"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3F72B9" w:rsidRPr="7A623AB0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6CC83B8D" w:rsidRPr="7A623AB0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016" w:type="dxa"/>
          </w:tcPr>
          <w:p w14:paraId="430E9DCF" w14:textId="77777777" w:rsidR="003F72B9" w:rsidRPr="001D7322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72B9" w:rsidRPr="001D7322" w14:paraId="021BCECF" w14:textId="77777777" w:rsidTr="7A623AB0">
        <w:tc>
          <w:tcPr>
            <w:tcW w:w="2943" w:type="dxa"/>
            <w:gridSpan w:val="2"/>
            <w:shd w:val="clear" w:color="auto" w:fill="00B050"/>
          </w:tcPr>
          <w:p w14:paraId="58A0A525" w14:textId="77777777" w:rsidR="003F72B9" w:rsidRPr="00BE5CE4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Datum brandstofprijs</w:t>
            </w:r>
          </w:p>
        </w:tc>
        <w:tc>
          <w:tcPr>
            <w:tcW w:w="1843" w:type="dxa"/>
            <w:shd w:val="clear" w:color="auto" w:fill="00B050"/>
          </w:tcPr>
          <w:p w14:paraId="25EC6F4F" w14:textId="4C6EEE1F" w:rsidR="003F72B9" w:rsidRPr="00BE5CE4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Aantal</w:t>
            </w:r>
            <w:r w:rsidR="00BE5CE4" w:rsidRPr="7A623AB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7A623AB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dagen (Ad)</w:t>
            </w:r>
          </w:p>
        </w:tc>
        <w:tc>
          <w:tcPr>
            <w:tcW w:w="2410" w:type="dxa"/>
            <w:shd w:val="clear" w:color="auto" w:fill="00B050"/>
          </w:tcPr>
          <w:p w14:paraId="7A76EEA1" w14:textId="77777777" w:rsidR="003F72B9" w:rsidRPr="00BE5CE4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Brandstofprijs (B)</w:t>
            </w:r>
          </w:p>
        </w:tc>
        <w:tc>
          <w:tcPr>
            <w:tcW w:w="2016" w:type="dxa"/>
            <w:shd w:val="clear" w:color="auto" w:fill="00B050"/>
          </w:tcPr>
          <w:p w14:paraId="3FAD9AE3" w14:textId="77777777" w:rsidR="003F72B9" w:rsidRPr="00BE5CE4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Totaal Ad*B</w:t>
            </w:r>
          </w:p>
        </w:tc>
      </w:tr>
      <w:tr w:rsidR="003F72B9" w:rsidRPr="001D7322" w14:paraId="378CD785" w14:textId="77777777" w:rsidTr="7A623AB0">
        <w:tc>
          <w:tcPr>
            <w:tcW w:w="2943" w:type="dxa"/>
            <w:gridSpan w:val="2"/>
          </w:tcPr>
          <w:p w14:paraId="7FD99497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1-3-2019</w:t>
            </w:r>
          </w:p>
        </w:tc>
        <w:tc>
          <w:tcPr>
            <w:tcW w:w="1843" w:type="dxa"/>
          </w:tcPr>
          <w:p w14:paraId="59266A4E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14:paraId="31C91013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€ 113.52</w:t>
            </w:r>
          </w:p>
        </w:tc>
        <w:tc>
          <w:tcPr>
            <w:tcW w:w="2016" w:type="dxa"/>
          </w:tcPr>
          <w:p w14:paraId="097A654C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€ 2043.36</w:t>
            </w:r>
          </w:p>
        </w:tc>
      </w:tr>
      <w:tr w:rsidR="003F72B9" w:rsidRPr="001D7322" w14:paraId="04DF301B" w14:textId="77777777" w:rsidTr="7A623AB0">
        <w:tc>
          <w:tcPr>
            <w:tcW w:w="2943" w:type="dxa"/>
            <w:gridSpan w:val="2"/>
          </w:tcPr>
          <w:p w14:paraId="3134EB06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19-3-2019</w:t>
            </w:r>
          </w:p>
        </w:tc>
        <w:tc>
          <w:tcPr>
            <w:tcW w:w="1843" w:type="dxa"/>
          </w:tcPr>
          <w:p w14:paraId="5629199F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01C8DDCE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€ 112.69</w:t>
            </w:r>
          </w:p>
        </w:tc>
        <w:tc>
          <w:tcPr>
            <w:tcW w:w="2016" w:type="dxa"/>
          </w:tcPr>
          <w:p w14:paraId="11F1D0AD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€ 1464.97</w:t>
            </w:r>
          </w:p>
        </w:tc>
      </w:tr>
      <w:tr w:rsidR="003F72B9" w:rsidRPr="001D7322" w14:paraId="4E49EF9F" w14:textId="77777777" w:rsidTr="7A623AB0">
        <w:tc>
          <w:tcPr>
            <w:tcW w:w="2943" w:type="dxa"/>
            <w:gridSpan w:val="2"/>
          </w:tcPr>
          <w:p w14:paraId="01452938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1-4-2019</w:t>
            </w:r>
          </w:p>
        </w:tc>
        <w:tc>
          <w:tcPr>
            <w:tcW w:w="1843" w:type="dxa"/>
          </w:tcPr>
          <w:p w14:paraId="554AFFAA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393F110C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€ 111.87</w:t>
            </w:r>
          </w:p>
        </w:tc>
        <w:tc>
          <w:tcPr>
            <w:tcW w:w="2016" w:type="dxa"/>
          </w:tcPr>
          <w:p w14:paraId="437DDB11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€ 1006.83</w:t>
            </w:r>
          </w:p>
        </w:tc>
      </w:tr>
      <w:tr w:rsidR="003F72B9" w:rsidRPr="001D7322" w14:paraId="57B7E871" w14:textId="77777777" w:rsidTr="7A623AB0">
        <w:tc>
          <w:tcPr>
            <w:tcW w:w="2943" w:type="dxa"/>
            <w:gridSpan w:val="2"/>
          </w:tcPr>
          <w:p w14:paraId="057A7571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10-4-2019</w:t>
            </w:r>
          </w:p>
        </w:tc>
        <w:tc>
          <w:tcPr>
            <w:tcW w:w="1843" w:type="dxa"/>
          </w:tcPr>
          <w:p w14:paraId="45F818E3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9DF9614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€ 111.04</w:t>
            </w:r>
          </w:p>
        </w:tc>
        <w:tc>
          <w:tcPr>
            <w:tcW w:w="2016" w:type="dxa"/>
          </w:tcPr>
          <w:p w14:paraId="718D6065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€ 444.16</w:t>
            </w:r>
          </w:p>
        </w:tc>
      </w:tr>
      <w:tr w:rsidR="003F72B9" w:rsidRPr="001D7322" w14:paraId="09BC3BC7" w14:textId="77777777" w:rsidTr="7A623AB0">
        <w:tc>
          <w:tcPr>
            <w:tcW w:w="2943" w:type="dxa"/>
            <w:gridSpan w:val="2"/>
          </w:tcPr>
          <w:p w14:paraId="455D2AAA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14-4-2019</w:t>
            </w:r>
          </w:p>
        </w:tc>
        <w:tc>
          <w:tcPr>
            <w:tcW w:w="1843" w:type="dxa"/>
          </w:tcPr>
          <w:p w14:paraId="223AA004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E196E47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€ 111.87</w:t>
            </w:r>
          </w:p>
        </w:tc>
        <w:tc>
          <w:tcPr>
            <w:tcW w:w="2016" w:type="dxa"/>
          </w:tcPr>
          <w:p w14:paraId="70A875CD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€ 335.61</w:t>
            </w:r>
          </w:p>
        </w:tc>
      </w:tr>
      <w:tr w:rsidR="003F72B9" w:rsidRPr="001D7322" w14:paraId="2D5E8EEA" w14:textId="77777777" w:rsidTr="7A623AB0">
        <w:tc>
          <w:tcPr>
            <w:tcW w:w="2943" w:type="dxa"/>
            <w:gridSpan w:val="2"/>
          </w:tcPr>
          <w:p w14:paraId="154DEFFA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17-4-2019</w:t>
            </w:r>
          </w:p>
        </w:tc>
        <w:tc>
          <w:tcPr>
            <w:tcW w:w="1843" w:type="dxa"/>
          </w:tcPr>
          <w:p w14:paraId="69FC0383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41FB38D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€ 112.69</w:t>
            </w:r>
          </w:p>
        </w:tc>
        <w:tc>
          <w:tcPr>
            <w:tcW w:w="2016" w:type="dxa"/>
          </w:tcPr>
          <w:p w14:paraId="4F37DE78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€ 112.69</w:t>
            </w:r>
          </w:p>
        </w:tc>
      </w:tr>
      <w:tr w:rsidR="003F72B9" w:rsidRPr="001D7322" w14:paraId="5CC7B271" w14:textId="77777777" w:rsidTr="7A623AB0">
        <w:tc>
          <w:tcPr>
            <w:tcW w:w="2943" w:type="dxa"/>
            <w:gridSpan w:val="2"/>
          </w:tcPr>
          <w:p w14:paraId="1F9D8160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18-4-2019</w:t>
            </w:r>
          </w:p>
        </w:tc>
        <w:tc>
          <w:tcPr>
            <w:tcW w:w="1843" w:type="dxa"/>
          </w:tcPr>
          <w:p w14:paraId="7878F598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372D17D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€ 113.52</w:t>
            </w:r>
          </w:p>
        </w:tc>
        <w:tc>
          <w:tcPr>
            <w:tcW w:w="2016" w:type="dxa"/>
          </w:tcPr>
          <w:p w14:paraId="76DB7941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€ 340.56</w:t>
            </w:r>
          </w:p>
        </w:tc>
      </w:tr>
      <w:tr w:rsidR="003F72B9" w:rsidRPr="001D7322" w14:paraId="046E105B" w14:textId="77777777" w:rsidTr="7A623AB0">
        <w:tc>
          <w:tcPr>
            <w:tcW w:w="2943" w:type="dxa"/>
            <w:gridSpan w:val="2"/>
          </w:tcPr>
          <w:p w14:paraId="74156E64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21-4-2019</w:t>
            </w:r>
          </w:p>
        </w:tc>
        <w:tc>
          <w:tcPr>
            <w:tcW w:w="1843" w:type="dxa"/>
          </w:tcPr>
          <w:p w14:paraId="7538EE42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419449A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€ 114.35</w:t>
            </w:r>
          </w:p>
        </w:tc>
        <w:tc>
          <w:tcPr>
            <w:tcW w:w="2016" w:type="dxa"/>
          </w:tcPr>
          <w:p w14:paraId="78698DB3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€ 457.40</w:t>
            </w:r>
          </w:p>
        </w:tc>
      </w:tr>
      <w:tr w:rsidR="003F72B9" w:rsidRPr="001D7322" w14:paraId="2E8CAA38" w14:textId="77777777" w:rsidTr="7A623AB0">
        <w:tc>
          <w:tcPr>
            <w:tcW w:w="2943" w:type="dxa"/>
            <w:gridSpan w:val="2"/>
          </w:tcPr>
          <w:p w14:paraId="0D761E25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25-4-2019</w:t>
            </w:r>
          </w:p>
        </w:tc>
        <w:tc>
          <w:tcPr>
            <w:tcW w:w="1843" w:type="dxa"/>
          </w:tcPr>
          <w:p w14:paraId="076F35EE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50749FAF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€ 115.17</w:t>
            </w:r>
          </w:p>
        </w:tc>
        <w:tc>
          <w:tcPr>
            <w:tcW w:w="2016" w:type="dxa"/>
          </w:tcPr>
          <w:p w14:paraId="251EED91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€ 691.02</w:t>
            </w:r>
          </w:p>
        </w:tc>
      </w:tr>
      <w:tr w:rsidR="003F72B9" w:rsidRPr="001D7322" w14:paraId="472A0853" w14:textId="77777777" w:rsidTr="7A623AB0">
        <w:tc>
          <w:tcPr>
            <w:tcW w:w="2943" w:type="dxa"/>
            <w:gridSpan w:val="2"/>
          </w:tcPr>
          <w:p w14:paraId="656AF850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1-5-2019</w:t>
            </w:r>
          </w:p>
        </w:tc>
        <w:tc>
          <w:tcPr>
            <w:tcW w:w="1843" w:type="dxa"/>
          </w:tcPr>
          <w:p w14:paraId="53C50A53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29F642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€ 115.17</w:t>
            </w:r>
          </w:p>
        </w:tc>
        <w:tc>
          <w:tcPr>
            <w:tcW w:w="2016" w:type="dxa"/>
          </w:tcPr>
          <w:p w14:paraId="69D90F3A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7A623AB0" w14:paraId="1BD7A8F8" w14:textId="77777777" w:rsidTr="7A623AB0">
        <w:trPr>
          <w:trHeight w:val="300"/>
        </w:trPr>
        <w:tc>
          <w:tcPr>
            <w:tcW w:w="2943" w:type="dxa"/>
            <w:gridSpan w:val="2"/>
          </w:tcPr>
          <w:p w14:paraId="36439390" w14:textId="2046FC1C" w:rsidR="7A623AB0" w:rsidRDefault="7A623AB0" w:rsidP="7A623A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567518" w14:textId="363AF735" w:rsidR="7A623AB0" w:rsidRDefault="7A623AB0" w:rsidP="7A623A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5F46BE" w14:textId="313C56B3" w:rsidR="7A623AB0" w:rsidRDefault="7A623AB0" w:rsidP="7A623A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762F98E0" w14:textId="555BAA28" w:rsidR="7A623AB0" w:rsidRDefault="7A623AB0" w:rsidP="7A623A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72B9" w:rsidRPr="001D7322" w14:paraId="229775B6" w14:textId="77777777" w:rsidTr="7A623AB0">
        <w:tc>
          <w:tcPr>
            <w:tcW w:w="2943" w:type="dxa"/>
            <w:gridSpan w:val="2"/>
            <w:shd w:val="clear" w:color="auto" w:fill="F2F2F2" w:themeFill="background1" w:themeFillShade="F2"/>
          </w:tcPr>
          <w:p w14:paraId="328E3357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546C9F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5D7C557" w14:textId="77777777" w:rsidR="003F72B9" w:rsidRPr="00403D8B" w:rsidRDefault="003F72B9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F2F2F2" w:themeFill="background1" w:themeFillShade="F2"/>
          </w:tcPr>
          <w:p w14:paraId="41BA4936" w14:textId="77777777" w:rsidR="003F72B9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€ 6896.60</w:t>
            </w:r>
          </w:p>
        </w:tc>
      </w:tr>
      <w:tr w:rsidR="001D7322" w:rsidRPr="001D7322" w14:paraId="190C1F5A" w14:textId="77777777" w:rsidTr="7A623AB0">
        <w:tc>
          <w:tcPr>
            <w:tcW w:w="4786" w:type="dxa"/>
            <w:gridSpan w:val="3"/>
          </w:tcPr>
          <w:p w14:paraId="14D62821" w14:textId="6344F8BC" w:rsidR="001D7322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 xml:space="preserve">Gemiddelde </w:t>
            </w:r>
            <w:r w:rsidR="00BE5CE4" w:rsidRPr="7A623AB0">
              <w:rPr>
                <w:rFonts w:ascii="Arial" w:eastAsia="Arial" w:hAnsi="Arial" w:cs="Arial"/>
                <w:sz w:val="20"/>
                <w:szCs w:val="20"/>
              </w:rPr>
              <w:t>referentie</w:t>
            </w:r>
            <w:r w:rsidRPr="7A623AB0">
              <w:rPr>
                <w:rFonts w:ascii="Arial" w:eastAsia="Arial" w:hAnsi="Arial" w:cs="Arial"/>
                <w:sz w:val="20"/>
                <w:szCs w:val="20"/>
              </w:rPr>
              <w:t>prijs in deze periode</w:t>
            </w:r>
          </w:p>
        </w:tc>
        <w:tc>
          <w:tcPr>
            <w:tcW w:w="2410" w:type="dxa"/>
          </w:tcPr>
          <w:p w14:paraId="76CE3EC6" w14:textId="519FD07F" w:rsidR="001D7322" w:rsidRPr="00403D8B" w:rsidRDefault="00851A9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€ 6896,60 / 61 =</w:t>
            </w:r>
          </w:p>
        </w:tc>
        <w:tc>
          <w:tcPr>
            <w:tcW w:w="2016" w:type="dxa"/>
          </w:tcPr>
          <w:p w14:paraId="614B1908" w14:textId="18509C01" w:rsidR="001D7322" w:rsidRPr="00FE534D" w:rsidRDefault="00851A9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E534D">
              <w:rPr>
                <w:rFonts w:ascii="Arial" w:eastAsia="Arial" w:hAnsi="Arial" w:cs="Arial"/>
                <w:sz w:val="20"/>
                <w:szCs w:val="20"/>
              </w:rPr>
              <w:t>€ 113,06</w:t>
            </w:r>
          </w:p>
        </w:tc>
      </w:tr>
      <w:tr w:rsidR="001D7322" w:rsidRPr="001D7322" w14:paraId="0B83FAE3" w14:textId="77777777" w:rsidTr="7A623AB0">
        <w:tc>
          <w:tcPr>
            <w:tcW w:w="4786" w:type="dxa"/>
            <w:gridSpan w:val="3"/>
          </w:tcPr>
          <w:p w14:paraId="7248FD2B" w14:textId="77777777" w:rsidR="001D7322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Brandstofstijging / -daling deze periode is</w:t>
            </w:r>
          </w:p>
        </w:tc>
        <w:tc>
          <w:tcPr>
            <w:tcW w:w="2410" w:type="dxa"/>
          </w:tcPr>
          <w:p w14:paraId="75255CB2" w14:textId="52760154" w:rsidR="001D7322" w:rsidRPr="00403D8B" w:rsidRDefault="00851A9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= (113,06 – 106,08) / 106,08 =</w:t>
            </w:r>
          </w:p>
        </w:tc>
        <w:tc>
          <w:tcPr>
            <w:tcW w:w="2016" w:type="dxa"/>
          </w:tcPr>
          <w:p w14:paraId="3561FF18" w14:textId="39984203" w:rsidR="001D7322" w:rsidRPr="00FE534D" w:rsidRDefault="00851A9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E534D">
              <w:rPr>
                <w:rFonts w:ascii="Arial" w:eastAsia="Arial" w:hAnsi="Arial" w:cs="Arial"/>
                <w:sz w:val="20"/>
                <w:szCs w:val="20"/>
              </w:rPr>
              <w:t>+ 6,58 %</w:t>
            </w:r>
          </w:p>
        </w:tc>
      </w:tr>
      <w:tr w:rsidR="001D7322" w:rsidRPr="001D7322" w14:paraId="78C7194D" w14:textId="77777777" w:rsidTr="7A623AB0">
        <w:tc>
          <w:tcPr>
            <w:tcW w:w="4786" w:type="dxa"/>
            <w:gridSpan w:val="3"/>
            <w:vMerge w:val="restart"/>
          </w:tcPr>
          <w:p w14:paraId="1BAD1C3A" w14:textId="20D635DB" w:rsidR="001D7322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Brandstof</w:t>
            </w:r>
            <w:r w:rsidR="14E95269" w:rsidRPr="7A623AB0">
              <w:rPr>
                <w:rFonts w:ascii="Arial" w:eastAsia="Arial" w:hAnsi="Arial" w:cs="Arial"/>
                <w:sz w:val="20"/>
                <w:szCs w:val="20"/>
              </w:rPr>
              <w:t>aan</w:t>
            </w:r>
            <w:r w:rsidRPr="7A623AB0">
              <w:rPr>
                <w:rFonts w:ascii="Arial" w:eastAsia="Arial" w:hAnsi="Arial" w:cs="Arial"/>
                <w:sz w:val="20"/>
                <w:szCs w:val="20"/>
              </w:rPr>
              <w:t>deel transportprijs</w:t>
            </w:r>
          </w:p>
          <w:p w14:paraId="5B209A83" w14:textId="77777777" w:rsidR="001D7322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contractueel bepaald</w:t>
            </w:r>
          </w:p>
        </w:tc>
        <w:tc>
          <w:tcPr>
            <w:tcW w:w="2410" w:type="dxa"/>
            <w:vMerge w:val="restart"/>
          </w:tcPr>
          <w:p w14:paraId="0CD46B56" w14:textId="77777777" w:rsidR="001D7322" w:rsidRPr="00403D8B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A623AB0">
              <w:rPr>
                <w:rFonts w:ascii="Arial" w:eastAsia="Arial" w:hAnsi="Arial" w:cs="Arial"/>
                <w:sz w:val="20"/>
                <w:szCs w:val="20"/>
              </w:rPr>
              <w:t>32%</w:t>
            </w:r>
          </w:p>
        </w:tc>
        <w:tc>
          <w:tcPr>
            <w:tcW w:w="2016" w:type="dxa"/>
          </w:tcPr>
          <w:p w14:paraId="4C266A41" w14:textId="77777777" w:rsidR="001D7322" w:rsidRPr="00FE534D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7322" w:rsidRPr="001D7322" w14:paraId="115C13AB" w14:textId="77777777" w:rsidTr="7A623AB0">
        <w:tc>
          <w:tcPr>
            <w:tcW w:w="4786" w:type="dxa"/>
            <w:gridSpan w:val="3"/>
            <w:vMerge/>
          </w:tcPr>
          <w:p w14:paraId="09228913" w14:textId="77777777" w:rsidR="001D7322" w:rsidRPr="00403D8B" w:rsidRDefault="001D7322" w:rsidP="00DD148E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</w:tcPr>
          <w:p w14:paraId="0CF1592D" w14:textId="77777777" w:rsidR="001D7322" w:rsidRPr="00403D8B" w:rsidRDefault="001D7322" w:rsidP="00DD148E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8"/>
                <w:szCs w:val="18"/>
                <w:highlight w:val="yellow"/>
              </w:rPr>
            </w:pPr>
          </w:p>
        </w:tc>
        <w:tc>
          <w:tcPr>
            <w:tcW w:w="2016" w:type="dxa"/>
          </w:tcPr>
          <w:p w14:paraId="21F6BA76" w14:textId="77777777" w:rsidR="001D7322" w:rsidRPr="00FE534D" w:rsidRDefault="001D7322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1A9D" w:rsidRPr="001D7322" w14:paraId="6F3A6C79" w14:textId="77777777" w:rsidTr="7A623AB0">
        <w:trPr>
          <w:trHeight w:val="594"/>
        </w:trPr>
        <w:tc>
          <w:tcPr>
            <w:tcW w:w="4786" w:type="dxa"/>
            <w:gridSpan w:val="3"/>
            <w:shd w:val="clear" w:color="auto" w:fill="B8CCE4" w:themeFill="accent1" w:themeFillTint="66"/>
          </w:tcPr>
          <w:p w14:paraId="6F59C4C7" w14:textId="4C74FD4A" w:rsidR="00851A9D" w:rsidRPr="00FE534D" w:rsidRDefault="1D48AE4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E534D">
              <w:rPr>
                <w:rFonts w:ascii="Arial" w:eastAsia="Arial" w:hAnsi="Arial" w:cs="Arial"/>
                <w:sz w:val="20"/>
                <w:szCs w:val="20"/>
              </w:rPr>
              <w:t>Brandstoft</w:t>
            </w:r>
            <w:r w:rsidR="00851A9D" w:rsidRPr="00FE534D">
              <w:rPr>
                <w:rFonts w:ascii="Arial" w:eastAsia="Arial" w:hAnsi="Arial" w:cs="Arial"/>
                <w:sz w:val="20"/>
                <w:szCs w:val="20"/>
              </w:rPr>
              <w:t>oeslag</w:t>
            </w:r>
            <w:r w:rsidR="7F3243B0" w:rsidRPr="00FE534D">
              <w:rPr>
                <w:rFonts w:ascii="Arial" w:eastAsia="Arial" w:hAnsi="Arial" w:cs="Arial"/>
                <w:sz w:val="20"/>
                <w:szCs w:val="20"/>
              </w:rPr>
              <w:t xml:space="preserve"> (+)</w:t>
            </w:r>
            <w:r w:rsidR="00851A9D" w:rsidRPr="00FE534D">
              <w:rPr>
                <w:rFonts w:ascii="Arial" w:eastAsia="Arial" w:hAnsi="Arial" w:cs="Arial"/>
                <w:sz w:val="20"/>
                <w:szCs w:val="20"/>
              </w:rPr>
              <w:t xml:space="preserve"> / korting</w:t>
            </w:r>
            <w:r w:rsidR="04DEBA60" w:rsidRPr="00FE534D">
              <w:rPr>
                <w:rFonts w:ascii="Arial" w:eastAsia="Arial" w:hAnsi="Arial" w:cs="Arial"/>
                <w:sz w:val="20"/>
                <w:szCs w:val="20"/>
              </w:rPr>
              <w:t xml:space="preserve"> (-) op</w:t>
            </w:r>
            <w:r w:rsidR="00851A9D" w:rsidRPr="00FE53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B2E9A" w:rsidRPr="00FE534D">
              <w:rPr>
                <w:rFonts w:ascii="Arial" w:eastAsia="Arial" w:hAnsi="Arial" w:cs="Arial"/>
                <w:sz w:val="20"/>
                <w:szCs w:val="20"/>
              </w:rPr>
              <w:t>uitvoerings</w:t>
            </w:r>
            <w:r w:rsidR="00851A9D" w:rsidRPr="00FE534D">
              <w:rPr>
                <w:rFonts w:ascii="Arial" w:eastAsia="Arial" w:hAnsi="Arial" w:cs="Arial"/>
                <w:sz w:val="20"/>
                <w:szCs w:val="20"/>
              </w:rPr>
              <w:t>prijs in</w:t>
            </w:r>
            <w:r w:rsidR="41E79300" w:rsidRPr="00FE53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51A9D" w:rsidRPr="00FE534D">
              <w:rPr>
                <w:rFonts w:ascii="Arial" w:eastAsia="Arial" w:hAnsi="Arial" w:cs="Arial"/>
                <w:sz w:val="20"/>
                <w:szCs w:val="20"/>
              </w:rPr>
              <w:t>deze periode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61DEE646" w14:textId="28DE31E1" w:rsidR="00851A9D" w:rsidRPr="00FE534D" w:rsidRDefault="00851A9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E534D">
              <w:rPr>
                <w:rFonts w:ascii="Arial" w:eastAsia="Arial" w:hAnsi="Arial" w:cs="Arial"/>
                <w:sz w:val="20"/>
                <w:szCs w:val="20"/>
              </w:rPr>
              <w:t>6,58% van 32% =</w:t>
            </w:r>
          </w:p>
        </w:tc>
        <w:tc>
          <w:tcPr>
            <w:tcW w:w="2016" w:type="dxa"/>
            <w:shd w:val="clear" w:color="auto" w:fill="B8CCE4" w:themeFill="accent1" w:themeFillTint="66"/>
          </w:tcPr>
          <w:p w14:paraId="3F34FF7E" w14:textId="1A5E3596" w:rsidR="00851A9D" w:rsidRPr="00FE534D" w:rsidRDefault="00851A9D" w:rsidP="7A623AB0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E534D">
              <w:rPr>
                <w:rFonts w:ascii="Arial" w:eastAsia="Arial" w:hAnsi="Arial" w:cs="Arial"/>
                <w:sz w:val="20"/>
                <w:szCs w:val="20"/>
              </w:rPr>
              <w:t>+ 2,11 %</w:t>
            </w:r>
          </w:p>
        </w:tc>
      </w:tr>
    </w:tbl>
    <w:p w14:paraId="447B787F" w14:textId="77777777" w:rsidR="001D7322" w:rsidRDefault="001D7322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FCA891C" w14:textId="77777777" w:rsidR="003F72B9" w:rsidRPr="001D7322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7A623AB0">
        <w:rPr>
          <w:rFonts w:ascii="Arial" w:eastAsia="Arial" w:hAnsi="Arial" w:cs="Arial"/>
          <w:b/>
          <w:bCs/>
          <w:sz w:val="20"/>
          <w:szCs w:val="20"/>
          <w:u w:val="single"/>
        </w:rPr>
        <w:t>Procedure</w:t>
      </w:r>
    </w:p>
    <w:p w14:paraId="5EF17213" w14:textId="02D9651B" w:rsidR="003F72B9" w:rsidRP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6845BAE0">
        <w:rPr>
          <w:rFonts w:ascii="Arial" w:eastAsia="Arial" w:hAnsi="Arial" w:cs="Arial"/>
          <w:sz w:val="20"/>
          <w:szCs w:val="20"/>
        </w:rPr>
        <w:t xml:space="preserve">De </w:t>
      </w:r>
      <w:r w:rsidR="004B649A">
        <w:rPr>
          <w:rFonts w:ascii="Arial" w:eastAsia="Arial" w:hAnsi="Arial" w:cs="Arial"/>
          <w:sz w:val="20"/>
          <w:szCs w:val="20"/>
        </w:rPr>
        <w:t>opdrachtnemer</w:t>
      </w:r>
      <w:r w:rsidRPr="6845BAE0">
        <w:rPr>
          <w:rFonts w:ascii="Arial" w:eastAsia="Arial" w:hAnsi="Arial" w:cs="Arial"/>
          <w:sz w:val="20"/>
          <w:szCs w:val="20"/>
        </w:rPr>
        <w:t xml:space="preserve"> berekent </w:t>
      </w:r>
      <w:r w:rsidR="255BB2F1" w:rsidRPr="6845BAE0">
        <w:rPr>
          <w:rFonts w:ascii="Arial" w:eastAsia="Arial" w:hAnsi="Arial" w:cs="Arial"/>
          <w:sz w:val="20"/>
          <w:szCs w:val="20"/>
        </w:rPr>
        <w:t xml:space="preserve">conform bovenstaande uitgangspunten </w:t>
      </w:r>
      <w:r w:rsidRPr="6845BAE0">
        <w:rPr>
          <w:rFonts w:ascii="Arial" w:eastAsia="Arial" w:hAnsi="Arial" w:cs="Arial"/>
          <w:sz w:val="20"/>
          <w:szCs w:val="20"/>
        </w:rPr>
        <w:t xml:space="preserve">de gemiddelde brandstofprijs </w:t>
      </w:r>
      <w:r w:rsidR="00086A9C" w:rsidRPr="6845BAE0">
        <w:rPr>
          <w:rFonts w:ascii="Arial" w:eastAsia="Arial" w:hAnsi="Arial" w:cs="Arial"/>
          <w:sz w:val="20"/>
          <w:szCs w:val="20"/>
        </w:rPr>
        <w:t>over</w:t>
      </w:r>
      <w:r w:rsidRPr="6845BAE0">
        <w:rPr>
          <w:rFonts w:ascii="Arial" w:eastAsia="Arial" w:hAnsi="Arial" w:cs="Arial"/>
          <w:sz w:val="20"/>
          <w:szCs w:val="20"/>
        </w:rPr>
        <w:t xml:space="preserve"> de betreffende</w:t>
      </w:r>
      <w:r w:rsidR="4DE13408" w:rsidRPr="6845BAE0">
        <w:rPr>
          <w:rFonts w:ascii="Arial" w:eastAsia="Arial" w:hAnsi="Arial" w:cs="Arial"/>
          <w:sz w:val="20"/>
          <w:szCs w:val="20"/>
        </w:rPr>
        <w:t xml:space="preserve"> </w:t>
      </w:r>
      <w:r w:rsidRPr="6845BAE0">
        <w:rPr>
          <w:rFonts w:ascii="Arial" w:eastAsia="Arial" w:hAnsi="Arial" w:cs="Arial"/>
          <w:sz w:val="20"/>
          <w:szCs w:val="20"/>
        </w:rPr>
        <w:t>periode, en stuurt de berekening per mail naar de</w:t>
      </w:r>
      <w:r w:rsidR="001D7322" w:rsidRPr="6845BAE0">
        <w:rPr>
          <w:rFonts w:ascii="Arial" w:eastAsia="Arial" w:hAnsi="Arial" w:cs="Arial"/>
          <w:sz w:val="20"/>
          <w:szCs w:val="20"/>
        </w:rPr>
        <w:t xml:space="preserve"> </w:t>
      </w:r>
      <w:r w:rsidRPr="6845BAE0">
        <w:rPr>
          <w:rFonts w:ascii="Arial" w:eastAsia="Arial" w:hAnsi="Arial" w:cs="Arial"/>
          <w:sz w:val="20"/>
          <w:szCs w:val="20"/>
        </w:rPr>
        <w:t>contractbeheerder. Dat wil zeggen met vermelding van:</w:t>
      </w:r>
    </w:p>
    <w:p w14:paraId="6FB23670" w14:textId="06D605EA" w:rsidR="003F72B9" w:rsidRPr="001D7322" w:rsidRDefault="003F72B9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de brandstof basisprijs</w:t>
      </w:r>
      <w:r w:rsidR="00086A9C" w:rsidRPr="7A623AB0">
        <w:rPr>
          <w:rFonts w:ascii="Arial" w:eastAsia="Arial" w:hAnsi="Arial" w:cs="Arial"/>
          <w:sz w:val="20"/>
          <w:szCs w:val="20"/>
        </w:rPr>
        <w:t>;</w:t>
      </w:r>
    </w:p>
    <w:p w14:paraId="22DF6A57" w14:textId="77777777" w:rsidR="003F72B9" w:rsidRPr="003F72B9" w:rsidRDefault="003F72B9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de berekende gemiddelde brandstofprijs in de betreffende periode;</w:t>
      </w:r>
    </w:p>
    <w:p w14:paraId="6FFF44A0" w14:textId="5BAD8632" w:rsidR="003F72B9" w:rsidRPr="003F72B9" w:rsidRDefault="003F72B9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lastRenderedPageBreak/>
        <w:t>het berekende percentage brandstofstijging / -daling in die periode</w:t>
      </w:r>
      <w:r w:rsidR="00086A9C" w:rsidRPr="7A623AB0">
        <w:rPr>
          <w:rFonts w:ascii="Arial" w:eastAsia="Arial" w:hAnsi="Arial" w:cs="Arial"/>
          <w:sz w:val="20"/>
          <w:szCs w:val="20"/>
        </w:rPr>
        <w:t>;</w:t>
      </w:r>
    </w:p>
    <w:p w14:paraId="2EF890BB" w14:textId="2B02221A" w:rsidR="003F72B9" w:rsidRPr="003F72B9" w:rsidRDefault="003F72B9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percentage brandstofdeel transportprijs contractueel bepaald</w:t>
      </w:r>
      <w:r w:rsidR="00086A9C" w:rsidRPr="7A623AB0">
        <w:rPr>
          <w:rFonts w:ascii="Arial" w:eastAsia="Arial" w:hAnsi="Arial" w:cs="Arial"/>
          <w:sz w:val="20"/>
          <w:szCs w:val="20"/>
        </w:rPr>
        <w:t>;</w:t>
      </w:r>
    </w:p>
    <w:p w14:paraId="10D53146" w14:textId="0BE3158B" w:rsidR="003F72B9" w:rsidRDefault="003F72B9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de berekende brandstoftoeslag of -korting transportprijs in de betreffende periode</w:t>
      </w:r>
      <w:r w:rsidR="00086A9C" w:rsidRPr="7A623AB0">
        <w:rPr>
          <w:rFonts w:ascii="Arial" w:eastAsia="Arial" w:hAnsi="Arial" w:cs="Arial"/>
          <w:sz w:val="20"/>
          <w:szCs w:val="20"/>
        </w:rPr>
        <w:t>.</w:t>
      </w:r>
    </w:p>
    <w:p w14:paraId="21BE1DA9" w14:textId="77777777" w:rsidR="00086A9C" w:rsidRPr="003F72B9" w:rsidRDefault="00086A9C" w:rsidP="7A623AB0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D00E03" w14:textId="7C5FA8CA" w:rsidR="003F72B9" w:rsidRP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Indien de transporteur of opdrachtgever dat wenst dient hij binnen 3</w:t>
      </w:r>
      <w:r w:rsidR="00086A9C" w:rsidRPr="7A623AB0">
        <w:rPr>
          <w:rFonts w:ascii="Arial" w:eastAsia="Arial" w:hAnsi="Arial" w:cs="Arial"/>
          <w:sz w:val="20"/>
          <w:szCs w:val="20"/>
        </w:rPr>
        <w:t>0 dagen</w:t>
      </w:r>
      <w:r w:rsidRPr="7A623AB0">
        <w:rPr>
          <w:rFonts w:ascii="Arial" w:eastAsia="Arial" w:hAnsi="Arial" w:cs="Arial"/>
          <w:sz w:val="20"/>
          <w:szCs w:val="20"/>
        </w:rPr>
        <w:t xml:space="preserve"> na het beëindigen van een</w:t>
      </w:r>
      <w:r w:rsidR="001D7322" w:rsidRPr="7A623AB0">
        <w:rPr>
          <w:rFonts w:ascii="Arial" w:eastAsia="Arial" w:hAnsi="Arial" w:cs="Arial"/>
          <w:sz w:val="20"/>
          <w:szCs w:val="20"/>
        </w:rPr>
        <w:t xml:space="preserve"> </w:t>
      </w:r>
      <w:r w:rsidRPr="7A623AB0">
        <w:rPr>
          <w:rFonts w:ascii="Arial" w:eastAsia="Arial" w:hAnsi="Arial" w:cs="Arial"/>
          <w:sz w:val="20"/>
          <w:szCs w:val="20"/>
        </w:rPr>
        <w:t xml:space="preserve">periode, een factuur in voor de brandstoftoeslag of -korting, onderbouwd </w:t>
      </w:r>
      <w:r w:rsidR="00086A9C" w:rsidRPr="7A623AB0">
        <w:rPr>
          <w:rFonts w:ascii="Arial" w:eastAsia="Arial" w:hAnsi="Arial" w:cs="Arial"/>
          <w:sz w:val="20"/>
          <w:szCs w:val="20"/>
        </w:rPr>
        <w:t>met</w:t>
      </w:r>
      <w:r w:rsidRPr="7A623AB0">
        <w:rPr>
          <w:rFonts w:ascii="Arial" w:eastAsia="Arial" w:hAnsi="Arial" w:cs="Arial"/>
          <w:sz w:val="20"/>
          <w:szCs w:val="20"/>
        </w:rPr>
        <w:t xml:space="preserve"> de volgende</w:t>
      </w:r>
      <w:r w:rsidR="001D7322" w:rsidRPr="7A623AB0">
        <w:rPr>
          <w:rFonts w:ascii="Arial" w:eastAsia="Arial" w:hAnsi="Arial" w:cs="Arial"/>
          <w:sz w:val="20"/>
          <w:szCs w:val="20"/>
        </w:rPr>
        <w:t xml:space="preserve"> </w:t>
      </w:r>
      <w:r w:rsidRPr="7A623AB0">
        <w:rPr>
          <w:rFonts w:ascii="Arial" w:eastAsia="Arial" w:hAnsi="Arial" w:cs="Arial"/>
          <w:sz w:val="20"/>
          <w:szCs w:val="20"/>
        </w:rPr>
        <w:t>specificaties:</w:t>
      </w:r>
    </w:p>
    <w:p w14:paraId="11B68327" w14:textId="1B6622B3" w:rsidR="003F72B9" w:rsidRPr="003F72B9" w:rsidRDefault="003F72B9" w:rsidP="7A623AB0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1D21E86" w14:textId="7864EC6C" w:rsidR="003F72B9" w:rsidRPr="003F72B9" w:rsidRDefault="4E4A082B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 xml:space="preserve">Een kopie van de </w:t>
      </w:r>
      <w:r w:rsidR="0EF85647" w:rsidRPr="7A623AB0">
        <w:rPr>
          <w:rFonts w:ascii="Arial" w:eastAsia="Arial" w:hAnsi="Arial" w:cs="Arial"/>
          <w:sz w:val="20"/>
          <w:szCs w:val="20"/>
        </w:rPr>
        <w:t xml:space="preserve">berekening </w:t>
      </w:r>
      <w:r w:rsidR="58446580" w:rsidRPr="7A623AB0">
        <w:rPr>
          <w:rFonts w:ascii="Arial" w:eastAsia="Arial" w:hAnsi="Arial" w:cs="Arial"/>
          <w:sz w:val="20"/>
          <w:szCs w:val="20"/>
        </w:rPr>
        <w:t xml:space="preserve">over de </w:t>
      </w:r>
      <w:r w:rsidR="00C4163B" w:rsidRPr="7A623AB0">
        <w:rPr>
          <w:rFonts w:ascii="Arial" w:eastAsia="Arial" w:hAnsi="Arial" w:cs="Arial"/>
          <w:sz w:val="20"/>
          <w:szCs w:val="20"/>
        </w:rPr>
        <w:t>periode waarop de toeslag betrekking he</w:t>
      </w:r>
      <w:r w:rsidR="48FE7E50" w:rsidRPr="7A623AB0">
        <w:rPr>
          <w:rFonts w:ascii="Arial" w:eastAsia="Arial" w:hAnsi="Arial" w:cs="Arial"/>
          <w:sz w:val="20"/>
          <w:szCs w:val="20"/>
        </w:rPr>
        <w:t>eft;</w:t>
      </w:r>
    </w:p>
    <w:p w14:paraId="14E9CCBB" w14:textId="7EDAD418" w:rsidR="003F72B9" w:rsidRDefault="003F72B9" w:rsidP="7A623AB0">
      <w:pPr>
        <w:pStyle w:val="Lijstaline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 xml:space="preserve">Lijst met </w:t>
      </w:r>
      <w:r w:rsidR="00086A9C" w:rsidRPr="7A623AB0">
        <w:rPr>
          <w:rFonts w:ascii="Arial" w:eastAsia="Arial" w:hAnsi="Arial" w:cs="Arial"/>
          <w:sz w:val="20"/>
          <w:szCs w:val="20"/>
        </w:rPr>
        <w:t>debet- en credit</w:t>
      </w:r>
      <w:r w:rsidRPr="7A623AB0">
        <w:rPr>
          <w:rFonts w:ascii="Arial" w:eastAsia="Arial" w:hAnsi="Arial" w:cs="Arial"/>
          <w:sz w:val="20"/>
          <w:szCs w:val="20"/>
        </w:rPr>
        <w:t>factu</w:t>
      </w:r>
      <w:r w:rsidR="00086A9C" w:rsidRPr="7A623AB0">
        <w:rPr>
          <w:rFonts w:ascii="Arial" w:eastAsia="Arial" w:hAnsi="Arial" w:cs="Arial"/>
          <w:sz w:val="20"/>
          <w:szCs w:val="20"/>
        </w:rPr>
        <w:t>ren</w:t>
      </w:r>
      <w:r w:rsidRPr="7A623AB0">
        <w:rPr>
          <w:rFonts w:ascii="Arial" w:eastAsia="Arial" w:hAnsi="Arial" w:cs="Arial"/>
          <w:sz w:val="20"/>
          <w:szCs w:val="20"/>
        </w:rPr>
        <w:t xml:space="preserve"> en factuurbedragen excl. BTW en totaalbedrag gefactureerd in die periode</w:t>
      </w:r>
      <w:r w:rsidR="2E884532" w:rsidRPr="7A623AB0">
        <w:rPr>
          <w:rFonts w:ascii="Arial" w:eastAsia="Arial" w:hAnsi="Arial" w:cs="Arial"/>
          <w:sz w:val="20"/>
          <w:szCs w:val="20"/>
        </w:rPr>
        <w:t>.</w:t>
      </w:r>
    </w:p>
    <w:p w14:paraId="10952D47" w14:textId="7138AEBF" w:rsidR="398A8125" w:rsidRDefault="398A8125" w:rsidP="7A623AB0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5FD170" w14:textId="77777777" w:rsidR="001D7322" w:rsidRPr="003F72B9" w:rsidRDefault="001D7322" w:rsidP="7A623AB0">
      <w:pPr>
        <w:pStyle w:val="Lijstaline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F295AC" w14:textId="384DE440" w:rsid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7A623AB0">
        <w:rPr>
          <w:rFonts w:ascii="Arial" w:eastAsia="Arial" w:hAnsi="Arial" w:cs="Arial"/>
          <w:sz w:val="20"/>
          <w:szCs w:val="20"/>
        </w:rPr>
        <w:t>De toeslag (of korting) wordt berekend door het totaalbedrag te vermenigvuldigen met het berekende</w:t>
      </w:r>
      <w:r w:rsidR="001D7322" w:rsidRPr="7A623AB0">
        <w:rPr>
          <w:rFonts w:ascii="Arial" w:eastAsia="Arial" w:hAnsi="Arial" w:cs="Arial"/>
          <w:sz w:val="20"/>
          <w:szCs w:val="20"/>
        </w:rPr>
        <w:t xml:space="preserve"> </w:t>
      </w:r>
      <w:r w:rsidRPr="7A623AB0">
        <w:rPr>
          <w:rFonts w:ascii="Arial" w:eastAsia="Arial" w:hAnsi="Arial" w:cs="Arial"/>
          <w:sz w:val="20"/>
          <w:szCs w:val="20"/>
        </w:rPr>
        <w:t>percentage zoals hierboven aangegeven.</w:t>
      </w:r>
    </w:p>
    <w:p w14:paraId="1F3A4012" w14:textId="18B8BDB2" w:rsidR="00086A9C" w:rsidRDefault="00086A9C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521043" w14:textId="14158B19" w:rsidR="00086A9C" w:rsidRPr="003F72B9" w:rsidRDefault="031DDA2A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07DD3">
        <w:rPr>
          <w:rFonts w:ascii="Arial" w:eastAsia="Arial" w:hAnsi="Arial" w:cs="Arial"/>
          <w:sz w:val="20"/>
          <w:szCs w:val="20"/>
        </w:rPr>
        <w:t xml:space="preserve">Iedere </w:t>
      </w:r>
      <w:r w:rsidR="00107DD3" w:rsidRPr="00107DD3">
        <w:rPr>
          <w:rFonts w:ascii="Arial" w:eastAsia="Arial" w:hAnsi="Arial" w:cs="Arial"/>
          <w:sz w:val="20"/>
          <w:szCs w:val="20"/>
        </w:rPr>
        <w:t>3</w:t>
      </w:r>
      <w:r w:rsidRPr="00107DD3">
        <w:rPr>
          <w:rFonts w:ascii="Arial" w:eastAsia="Arial" w:hAnsi="Arial" w:cs="Arial"/>
          <w:sz w:val="20"/>
          <w:szCs w:val="20"/>
        </w:rPr>
        <w:t xml:space="preserve"> maanden</w:t>
      </w:r>
      <w:r w:rsidRPr="7A623AB0">
        <w:rPr>
          <w:rFonts w:ascii="Arial" w:eastAsia="Arial" w:hAnsi="Arial" w:cs="Arial"/>
          <w:sz w:val="20"/>
          <w:szCs w:val="20"/>
        </w:rPr>
        <w:t xml:space="preserve"> </w:t>
      </w:r>
      <w:r w:rsidR="00086A9C" w:rsidRPr="7A623AB0">
        <w:rPr>
          <w:rFonts w:ascii="Arial" w:eastAsia="Arial" w:hAnsi="Arial" w:cs="Arial"/>
          <w:sz w:val="20"/>
          <w:szCs w:val="20"/>
        </w:rPr>
        <w:t xml:space="preserve">worden </w:t>
      </w:r>
      <w:r w:rsidR="3CBF7543" w:rsidRPr="7A623AB0">
        <w:rPr>
          <w:rFonts w:ascii="Arial" w:eastAsia="Arial" w:hAnsi="Arial" w:cs="Arial"/>
          <w:sz w:val="20"/>
          <w:szCs w:val="20"/>
        </w:rPr>
        <w:t xml:space="preserve">eventueel </w:t>
      </w:r>
      <w:r w:rsidR="00086A9C" w:rsidRPr="7A623AB0">
        <w:rPr>
          <w:rFonts w:ascii="Arial" w:eastAsia="Arial" w:hAnsi="Arial" w:cs="Arial"/>
          <w:sz w:val="20"/>
          <w:szCs w:val="20"/>
        </w:rPr>
        <w:t>te veel doorberekende brandstoftoeslagen t.g.v. gecrediteerde facturen gecrediteerd.</w:t>
      </w:r>
    </w:p>
    <w:p w14:paraId="7B64B51B" w14:textId="77777777" w:rsidR="001D7322" w:rsidRDefault="001D7322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84D3E7" w14:textId="69F56D83" w:rsidR="003F72B9" w:rsidRPr="003F72B9" w:rsidRDefault="003F72B9" w:rsidP="7A623A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3F72B9" w:rsidRPr="003F72B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A172" w14:textId="77777777" w:rsidR="00381F00" w:rsidRDefault="00381F00">
      <w:pPr>
        <w:spacing w:after="0" w:line="240" w:lineRule="auto"/>
      </w:pPr>
      <w:r>
        <w:separator/>
      </w:r>
    </w:p>
  </w:endnote>
  <w:endnote w:type="continuationSeparator" w:id="0">
    <w:p w14:paraId="6392629E" w14:textId="77777777" w:rsidR="00381F00" w:rsidRDefault="00381F00">
      <w:pPr>
        <w:spacing w:after="0" w:line="240" w:lineRule="auto"/>
      </w:pPr>
      <w:r>
        <w:continuationSeparator/>
      </w:r>
    </w:p>
  </w:endnote>
  <w:endnote w:type="continuationNotice" w:id="1">
    <w:p w14:paraId="463A1E74" w14:textId="77777777" w:rsidR="00381F00" w:rsidRDefault="00381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695"/>
      <w:gridCol w:w="345"/>
      <w:gridCol w:w="1020"/>
    </w:tblGrid>
    <w:tr w:rsidR="3382908B" w14:paraId="1CD3EF16" w14:textId="77777777" w:rsidTr="3382908B">
      <w:trPr>
        <w:trHeight w:val="300"/>
      </w:trPr>
      <w:tc>
        <w:tcPr>
          <w:tcW w:w="7695" w:type="dxa"/>
        </w:tcPr>
        <w:p w14:paraId="4F2F8900" w14:textId="27974634" w:rsidR="3382908B" w:rsidRDefault="3382908B" w:rsidP="3382908B">
          <w:pPr>
            <w:pStyle w:val="Koptekst"/>
            <w:ind w:left="-115"/>
          </w:pPr>
          <w:r>
            <w:t>Bijlage 10, Brandstofclausule Raamovereenkomst Transport Sortimentshout 2024</w:t>
          </w:r>
        </w:p>
      </w:tc>
      <w:tc>
        <w:tcPr>
          <w:tcW w:w="345" w:type="dxa"/>
        </w:tcPr>
        <w:p w14:paraId="782E9652" w14:textId="55686EFE" w:rsidR="3382908B" w:rsidRDefault="3382908B" w:rsidP="3382908B">
          <w:pPr>
            <w:pStyle w:val="Koptekst"/>
            <w:jc w:val="center"/>
          </w:pPr>
        </w:p>
      </w:tc>
      <w:tc>
        <w:tcPr>
          <w:tcW w:w="1020" w:type="dxa"/>
        </w:tcPr>
        <w:p w14:paraId="5867D4F8" w14:textId="435D89D5" w:rsidR="3382908B" w:rsidRDefault="3382908B" w:rsidP="3382908B">
          <w:pPr>
            <w:pStyle w:val="Koptekst"/>
            <w:ind w:right="-115"/>
            <w:jc w:val="right"/>
          </w:pPr>
        </w:p>
      </w:tc>
    </w:tr>
  </w:tbl>
  <w:p w14:paraId="701F5B09" w14:textId="048FA787" w:rsidR="3382908B" w:rsidRDefault="3382908B" w:rsidP="338290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4101" w14:textId="77777777" w:rsidR="00381F00" w:rsidRDefault="00381F00">
      <w:pPr>
        <w:spacing w:after="0" w:line="240" w:lineRule="auto"/>
      </w:pPr>
      <w:r>
        <w:separator/>
      </w:r>
    </w:p>
  </w:footnote>
  <w:footnote w:type="continuationSeparator" w:id="0">
    <w:p w14:paraId="7F00A5BF" w14:textId="77777777" w:rsidR="00381F00" w:rsidRDefault="00381F00">
      <w:pPr>
        <w:spacing w:after="0" w:line="240" w:lineRule="auto"/>
      </w:pPr>
      <w:r>
        <w:continuationSeparator/>
      </w:r>
    </w:p>
  </w:footnote>
  <w:footnote w:type="continuationNotice" w:id="1">
    <w:p w14:paraId="73C71BAC" w14:textId="77777777" w:rsidR="00381F00" w:rsidRDefault="00381F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82908B" w14:paraId="695BF063" w14:textId="77777777" w:rsidTr="3382908B">
      <w:trPr>
        <w:trHeight w:val="300"/>
      </w:trPr>
      <w:tc>
        <w:tcPr>
          <w:tcW w:w="3020" w:type="dxa"/>
        </w:tcPr>
        <w:p w14:paraId="306B3D96" w14:textId="0826B1A3" w:rsidR="3382908B" w:rsidRDefault="3382908B" w:rsidP="3382908B">
          <w:pPr>
            <w:pStyle w:val="Koptekst"/>
            <w:ind w:left="-115"/>
          </w:pPr>
        </w:p>
      </w:tc>
      <w:tc>
        <w:tcPr>
          <w:tcW w:w="3020" w:type="dxa"/>
        </w:tcPr>
        <w:p w14:paraId="33A73F09" w14:textId="0F9CB608" w:rsidR="3382908B" w:rsidRDefault="3382908B" w:rsidP="3382908B">
          <w:pPr>
            <w:pStyle w:val="Koptekst"/>
            <w:jc w:val="center"/>
          </w:pPr>
        </w:p>
      </w:tc>
      <w:tc>
        <w:tcPr>
          <w:tcW w:w="3020" w:type="dxa"/>
        </w:tcPr>
        <w:p w14:paraId="3E0752FB" w14:textId="070257EC" w:rsidR="3382908B" w:rsidRDefault="3382908B" w:rsidP="3382908B">
          <w:pPr>
            <w:pStyle w:val="Koptekst"/>
            <w:ind w:right="-115"/>
            <w:jc w:val="right"/>
          </w:pPr>
        </w:p>
      </w:tc>
    </w:tr>
  </w:tbl>
  <w:p w14:paraId="03CE9EB6" w14:textId="3A3434D0" w:rsidR="3382908B" w:rsidRDefault="3382908B" w:rsidP="338290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45A8"/>
    <w:multiLevelType w:val="hybridMultilevel"/>
    <w:tmpl w:val="C960D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4618"/>
    <w:multiLevelType w:val="hybridMultilevel"/>
    <w:tmpl w:val="E34EDE64"/>
    <w:lvl w:ilvl="0" w:tplc="3670B50A">
      <w:start w:val="3"/>
      <w:numFmt w:val="bullet"/>
      <w:lvlText w:val="•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875132">
    <w:abstractNumId w:val="1"/>
  </w:num>
  <w:num w:numId="2" w16cid:durableId="110900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B9"/>
    <w:rsid w:val="00086A9C"/>
    <w:rsid w:val="000B1A66"/>
    <w:rsid w:val="000C50F3"/>
    <w:rsid w:val="000D6033"/>
    <w:rsid w:val="000E1E76"/>
    <w:rsid w:val="000F25EB"/>
    <w:rsid w:val="00107DD3"/>
    <w:rsid w:val="001176E2"/>
    <w:rsid w:val="00120E9D"/>
    <w:rsid w:val="00131A1E"/>
    <w:rsid w:val="00135BC7"/>
    <w:rsid w:val="00150A52"/>
    <w:rsid w:val="00163126"/>
    <w:rsid w:val="001706D6"/>
    <w:rsid w:val="001A1ABA"/>
    <w:rsid w:val="001A2753"/>
    <w:rsid w:val="001B2043"/>
    <w:rsid w:val="001B4917"/>
    <w:rsid w:val="001D3A08"/>
    <w:rsid w:val="001D7322"/>
    <w:rsid w:val="001E50E5"/>
    <w:rsid w:val="0022790D"/>
    <w:rsid w:val="00230F18"/>
    <w:rsid w:val="00233510"/>
    <w:rsid w:val="00291E96"/>
    <w:rsid w:val="002C1308"/>
    <w:rsid w:val="002D78BC"/>
    <w:rsid w:val="002E0079"/>
    <w:rsid w:val="002E0A2B"/>
    <w:rsid w:val="002E1FC3"/>
    <w:rsid w:val="002F4C6F"/>
    <w:rsid w:val="00336ACD"/>
    <w:rsid w:val="00373961"/>
    <w:rsid w:val="00381F00"/>
    <w:rsid w:val="003B245F"/>
    <w:rsid w:val="003D11F9"/>
    <w:rsid w:val="003E2A5E"/>
    <w:rsid w:val="003F72B9"/>
    <w:rsid w:val="00403D8B"/>
    <w:rsid w:val="0042205C"/>
    <w:rsid w:val="00466369"/>
    <w:rsid w:val="004B06A5"/>
    <w:rsid w:val="004B4759"/>
    <w:rsid w:val="004B649A"/>
    <w:rsid w:val="005076CE"/>
    <w:rsid w:val="00540D86"/>
    <w:rsid w:val="00571234"/>
    <w:rsid w:val="005830BD"/>
    <w:rsid w:val="005A1827"/>
    <w:rsid w:val="00620F73"/>
    <w:rsid w:val="00641033"/>
    <w:rsid w:val="00641511"/>
    <w:rsid w:val="00651780"/>
    <w:rsid w:val="00653B3D"/>
    <w:rsid w:val="0065616E"/>
    <w:rsid w:val="00693CA5"/>
    <w:rsid w:val="006A377C"/>
    <w:rsid w:val="006B0436"/>
    <w:rsid w:val="006F4C26"/>
    <w:rsid w:val="00701B26"/>
    <w:rsid w:val="007258C7"/>
    <w:rsid w:val="00735982"/>
    <w:rsid w:val="00740967"/>
    <w:rsid w:val="007A7F18"/>
    <w:rsid w:val="007B32BF"/>
    <w:rsid w:val="007C3C80"/>
    <w:rsid w:val="007F5340"/>
    <w:rsid w:val="00843070"/>
    <w:rsid w:val="00851A9D"/>
    <w:rsid w:val="008600DC"/>
    <w:rsid w:val="00893905"/>
    <w:rsid w:val="008B5A65"/>
    <w:rsid w:val="008D3706"/>
    <w:rsid w:val="009141F5"/>
    <w:rsid w:val="00916826"/>
    <w:rsid w:val="009229E1"/>
    <w:rsid w:val="009557B0"/>
    <w:rsid w:val="00987246"/>
    <w:rsid w:val="009911BD"/>
    <w:rsid w:val="009F4021"/>
    <w:rsid w:val="00A26608"/>
    <w:rsid w:val="00A26F29"/>
    <w:rsid w:val="00A34F7E"/>
    <w:rsid w:val="00A466DB"/>
    <w:rsid w:val="00A71474"/>
    <w:rsid w:val="00A77DB0"/>
    <w:rsid w:val="00A85C5D"/>
    <w:rsid w:val="00A85C84"/>
    <w:rsid w:val="00AB4599"/>
    <w:rsid w:val="00AC2C6F"/>
    <w:rsid w:val="00B3426F"/>
    <w:rsid w:val="00B46BE0"/>
    <w:rsid w:val="00B609CC"/>
    <w:rsid w:val="00B97A62"/>
    <w:rsid w:val="00BA6C6A"/>
    <w:rsid w:val="00BB4D01"/>
    <w:rsid w:val="00BC2DB7"/>
    <w:rsid w:val="00BE5C82"/>
    <w:rsid w:val="00BE5CE4"/>
    <w:rsid w:val="00C13328"/>
    <w:rsid w:val="00C2511E"/>
    <w:rsid w:val="00C4163B"/>
    <w:rsid w:val="00C646A1"/>
    <w:rsid w:val="00C71B74"/>
    <w:rsid w:val="00C7270D"/>
    <w:rsid w:val="00C940C9"/>
    <w:rsid w:val="00CB113A"/>
    <w:rsid w:val="00CF1125"/>
    <w:rsid w:val="00CF49DC"/>
    <w:rsid w:val="00D43AD0"/>
    <w:rsid w:val="00D65376"/>
    <w:rsid w:val="00D83368"/>
    <w:rsid w:val="00DB2E9A"/>
    <w:rsid w:val="00DB34FB"/>
    <w:rsid w:val="00DD148E"/>
    <w:rsid w:val="00DF45AF"/>
    <w:rsid w:val="00E034C1"/>
    <w:rsid w:val="00E16258"/>
    <w:rsid w:val="00E400CA"/>
    <w:rsid w:val="00E52D8B"/>
    <w:rsid w:val="00E74331"/>
    <w:rsid w:val="00EA2F36"/>
    <w:rsid w:val="00ED6D30"/>
    <w:rsid w:val="00F45C9E"/>
    <w:rsid w:val="00F76C5B"/>
    <w:rsid w:val="00FA4B74"/>
    <w:rsid w:val="00FE534D"/>
    <w:rsid w:val="0175AC95"/>
    <w:rsid w:val="031DDA2A"/>
    <w:rsid w:val="04DEBA60"/>
    <w:rsid w:val="09D70EA8"/>
    <w:rsid w:val="0DB4A03B"/>
    <w:rsid w:val="0DF1A959"/>
    <w:rsid w:val="0EF85647"/>
    <w:rsid w:val="1267FE8C"/>
    <w:rsid w:val="14E95269"/>
    <w:rsid w:val="19D69AC6"/>
    <w:rsid w:val="1B8DB5BA"/>
    <w:rsid w:val="1D2CC0BA"/>
    <w:rsid w:val="1D48AE4D"/>
    <w:rsid w:val="1D6F3F9B"/>
    <w:rsid w:val="210AA866"/>
    <w:rsid w:val="21D614E8"/>
    <w:rsid w:val="22447CA9"/>
    <w:rsid w:val="235D47CE"/>
    <w:rsid w:val="252E4A38"/>
    <w:rsid w:val="255BB2F1"/>
    <w:rsid w:val="289A1303"/>
    <w:rsid w:val="2944B122"/>
    <w:rsid w:val="2BFD120B"/>
    <w:rsid w:val="2E884532"/>
    <w:rsid w:val="3067B69A"/>
    <w:rsid w:val="30E73AE8"/>
    <w:rsid w:val="31F69DA8"/>
    <w:rsid w:val="3304D9CB"/>
    <w:rsid w:val="3382908B"/>
    <w:rsid w:val="34A0AA2C"/>
    <w:rsid w:val="35F9A442"/>
    <w:rsid w:val="398A8125"/>
    <w:rsid w:val="3CBF7543"/>
    <w:rsid w:val="3DFBFA0E"/>
    <w:rsid w:val="3F0C4C45"/>
    <w:rsid w:val="3FA2A522"/>
    <w:rsid w:val="40C33638"/>
    <w:rsid w:val="41E79300"/>
    <w:rsid w:val="425F0699"/>
    <w:rsid w:val="440AD535"/>
    <w:rsid w:val="4499C999"/>
    <w:rsid w:val="45D9064F"/>
    <w:rsid w:val="47194F5F"/>
    <w:rsid w:val="482DC540"/>
    <w:rsid w:val="48FE7E50"/>
    <w:rsid w:val="4A0B7623"/>
    <w:rsid w:val="4DE13408"/>
    <w:rsid w:val="4E4A082B"/>
    <w:rsid w:val="4F8A693E"/>
    <w:rsid w:val="54EEB8C1"/>
    <w:rsid w:val="5823361C"/>
    <w:rsid w:val="58446580"/>
    <w:rsid w:val="5A18832E"/>
    <w:rsid w:val="5BC5FE70"/>
    <w:rsid w:val="5E384281"/>
    <w:rsid w:val="5E794F43"/>
    <w:rsid w:val="5EE91814"/>
    <w:rsid w:val="5FD412E2"/>
    <w:rsid w:val="5FF22092"/>
    <w:rsid w:val="63271615"/>
    <w:rsid w:val="681E7F8A"/>
    <w:rsid w:val="6845BAE0"/>
    <w:rsid w:val="698EF99C"/>
    <w:rsid w:val="69915E6B"/>
    <w:rsid w:val="6A15ACB0"/>
    <w:rsid w:val="6B0B4C2E"/>
    <w:rsid w:val="6CC83B8D"/>
    <w:rsid w:val="6D9922A9"/>
    <w:rsid w:val="7213F36C"/>
    <w:rsid w:val="7656B916"/>
    <w:rsid w:val="781FBDA7"/>
    <w:rsid w:val="7A623AB0"/>
    <w:rsid w:val="7CF32ECA"/>
    <w:rsid w:val="7F3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94B"/>
  <w15:docId w15:val="{F9202E71-609F-45A3-AC9C-43DF6B57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F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F72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72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72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72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72B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72B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D732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307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070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76C5B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A26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ln.nl/brandstofmonito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64165025569419C8D69E340EC8D35" ma:contentTypeVersion="4" ma:contentTypeDescription="Een nieuw document maken." ma:contentTypeScope="" ma:versionID="982d7baa605159e3bfcf559641925a9d">
  <xsd:schema xmlns:xsd="http://www.w3.org/2001/XMLSchema" xmlns:xs="http://www.w3.org/2001/XMLSchema" xmlns:p="http://schemas.microsoft.com/office/2006/metadata/properties" xmlns:ns2="b3b754a1-418f-41b0-8b73-3407619c16dc" targetNamespace="http://schemas.microsoft.com/office/2006/metadata/properties" ma:root="true" ma:fieldsID="9a17734c52935b18512b924d6acf4221" ns2:_="">
    <xsd:import namespace="b3b754a1-418f-41b0-8b73-3407619c1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4a1-418f-41b0-8b73-3407619c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DB61-A9CE-4669-9ED0-C2F61CAA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754a1-418f-41b0-8b73-3407619c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5589C-BBE0-4BBB-9A85-27F4840CC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70AF6-EF96-49F2-BC2B-CF17E1EE9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912CF8-123D-4B51-8D42-C79B64CE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Links>
    <vt:vector size="6" baseType="variant">
      <vt:variant>
        <vt:i4>5570590</vt:i4>
      </vt:variant>
      <vt:variant>
        <vt:i4>0</vt:i4>
      </vt:variant>
      <vt:variant>
        <vt:i4>0</vt:i4>
      </vt:variant>
      <vt:variant>
        <vt:i4>5</vt:i4>
      </vt:variant>
      <vt:variant>
        <vt:lpwstr>https://www.tln.nl/brandstofmonitor/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OverbeekProcurement</dc:creator>
  <cp:keywords/>
  <cp:lastModifiedBy>Riphagen, Herman</cp:lastModifiedBy>
  <cp:revision>71</cp:revision>
  <dcterms:created xsi:type="dcterms:W3CDTF">2023-12-04T22:49:00Z</dcterms:created>
  <dcterms:modified xsi:type="dcterms:W3CDTF">2025-11-19T13:24:00Z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0x0101003CE64165025569419C8D69E340EC8D35</vt:lpwstr>
  </property>
</Properties>
</file>