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CE59" w14:textId="3B66F205" w:rsidR="00DE7320" w:rsidRDefault="00DE7320" w:rsidP="002C7441">
      <w:pPr>
        <w:spacing w:line="260" w:lineRule="exact"/>
        <w:jc w:val="both"/>
        <w:rPr>
          <w:rFonts w:ascii="Aptos" w:eastAsia="Times New Roman" w:hAnsi="Aptos" w:cs="Times New Roman"/>
          <w:color w:val="637077"/>
          <w:sz w:val="28"/>
          <w:szCs w:val="28"/>
        </w:rPr>
      </w:pPr>
      <w:r w:rsidRPr="00C911A3">
        <w:rPr>
          <w:rFonts w:ascii="Aptos" w:eastAsia="Times New Roman" w:hAnsi="Aptos" w:cs="Times New Roman"/>
          <w:color w:val="637077"/>
          <w:sz w:val="28"/>
          <w:szCs w:val="28"/>
        </w:rPr>
        <w:t xml:space="preserve">Nota van </w:t>
      </w:r>
      <w:r>
        <w:rPr>
          <w:rFonts w:ascii="Aptos" w:eastAsia="Times New Roman" w:hAnsi="Aptos" w:cs="Times New Roman"/>
          <w:color w:val="637077"/>
          <w:sz w:val="28"/>
          <w:szCs w:val="28"/>
        </w:rPr>
        <w:t>i</w:t>
      </w:r>
      <w:r w:rsidRPr="00C911A3">
        <w:rPr>
          <w:rFonts w:ascii="Aptos" w:eastAsia="Times New Roman" w:hAnsi="Aptos" w:cs="Times New Roman"/>
          <w:color w:val="637077"/>
          <w:sz w:val="28"/>
          <w:szCs w:val="28"/>
        </w:rPr>
        <w:t xml:space="preserve">nlichtingen </w:t>
      </w:r>
      <w:r w:rsidR="00670887">
        <w:rPr>
          <w:rFonts w:ascii="Aptos" w:eastAsia="Times New Roman" w:hAnsi="Aptos" w:cs="Times New Roman"/>
          <w:color w:val="637077"/>
          <w:sz w:val="28"/>
          <w:szCs w:val="28"/>
        </w:rPr>
        <w:t>2</w:t>
      </w:r>
      <w:r>
        <w:rPr>
          <w:rFonts w:ascii="Aptos" w:eastAsia="Times New Roman" w:hAnsi="Aptos" w:cs="Times New Roman"/>
          <w:color w:val="637077"/>
          <w:sz w:val="28"/>
          <w:szCs w:val="28"/>
        </w:rPr>
        <w:t xml:space="preserve"> </w:t>
      </w:r>
      <w:r w:rsidRPr="00C911A3">
        <w:rPr>
          <w:rFonts w:ascii="Aptos" w:eastAsia="Times New Roman" w:hAnsi="Aptos" w:cs="Times New Roman"/>
          <w:color w:val="637077"/>
          <w:sz w:val="28"/>
          <w:szCs w:val="28"/>
        </w:rPr>
        <w:t xml:space="preserve">– </w:t>
      </w:r>
      <w:r w:rsidR="00CB2EF3">
        <w:rPr>
          <w:rFonts w:ascii="Aptos" w:eastAsia="Times New Roman" w:hAnsi="Aptos" w:cs="Times New Roman"/>
          <w:color w:val="637077"/>
          <w:sz w:val="28"/>
          <w:szCs w:val="28"/>
        </w:rPr>
        <w:t>Leermiddelen</w:t>
      </w:r>
      <w:r w:rsidRPr="00C911A3">
        <w:rPr>
          <w:rFonts w:ascii="Aptos" w:eastAsia="Times New Roman" w:hAnsi="Aptos" w:cs="Times New Roman"/>
          <w:color w:val="637077"/>
          <w:sz w:val="28"/>
          <w:szCs w:val="28"/>
        </w:rPr>
        <w:t xml:space="preserve"> – </w:t>
      </w:r>
      <w:r w:rsidR="00CB2EF3">
        <w:rPr>
          <w:rFonts w:ascii="Aptos" w:eastAsia="Times New Roman" w:hAnsi="Aptos" w:cs="Times New Roman"/>
          <w:color w:val="637077"/>
          <w:sz w:val="28"/>
          <w:szCs w:val="28"/>
        </w:rPr>
        <w:t>Simant</w:t>
      </w:r>
    </w:p>
    <w:p w14:paraId="5D05142E" w14:textId="7A869E17" w:rsidR="00DE7320" w:rsidRPr="00447099" w:rsidRDefault="009F0125" w:rsidP="002C7441">
      <w:pPr>
        <w:spacing w:line="260" w:lineRule="exact"/>
        <w:jc w:val="both"/>
        <w:rPr>
          <w:rFonts w:ascii="Aptos" w:eastAsia="Times New Roman" w:hAnsi="Aptos" w:cs="Times New Roman"/>
          <w:color w:val="637077"/>
          <w:sz w:val="18"/>
          <w:szCs w:val="18"/>
        </w:rPr>
      </w:pPr>
      <w:r>
        <w:rPr>
          <w:rFonts w:ascii="Aptos" w:eastAsia="Times New Roman" w:hAnsi="Aptos" w:cs="Times New Roman"/>
          <w:color w:val="637077"/>
          <w:sz w:val="18"/>
          <w:szCs w:val="18"/>
        </w:rPr>
        <w:t>19-</w:t>
      </w:r>
      <w:r w:rsidR="00076D69">
        <w:rPr>
          <w:rFonts w:ascii="Aptos" w:eastAsia="Times New Roman" w:hAnsi="Aptos" w:cs="Times New Roman"/>
          <w:color w:val="637077"/>
          <w:sz w:val="18"/>
          <w:szCs w:val="18"/>
        </w:rPr>
        <w:t>12-2025</w:t>
      </w:r>
    </w:p>
    <w:p w14:paraId="26E41F79" w14:textId="77777777" w:rsidR="00DE7320" w:rsidRPr="00B725B5" w:rsidRDefault="00DE7320" w:rsidP="00DE7320">
      <w:pPr>
        <w:spacing w:line="260" w:lineRule="exact"/>
        <w:jc w:val="both"/>
        <w:rPr>
          <w:rFonts w:ascii="Aptos" w:hAnsi="Aptos"/>
          <w:sz w:val="18"/>
          <w:szCs w:val="18"/>
        </w:rPr>
      </w:pPr>
      <w:r>
        <w:rPr>
          <w:rFonts w:ascii="Aptos" w:hAnsi="Aptos"/>
          <w:sz w:val="18"/>
          <w:szCs w:val="18"/>
        </w:rPr>
        <w:t>Begin nota van inlichtingen</w:t>
      </w:r>
      <w:r w:rsidRPr="00B725B5">
        <w:rPr>
          <w:rFonts w:ascii="Aptos" w:hAnsi="Aptos"/>
          <w:sz w:val="18"/>
          <w:szCs w:val="18"/>
        </w:rPr>
        <w:t>:</w:t>
      </w:r>
    </w:p>
    <w:tbl>
      <w:tblPr>
        <w:tblStyle w:val="Tabel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95"/>
        <w:gridCol w:w="31"/>
        <w:gridCol w:w="1012"/>
        <w:gridCol w:w="984"/>
        <w:gridCol w:w="6123"/>
        <w:gridCol w:w="5303"/>
      </w:tblGrid>
      <w:tr w:rsidR="00EB11C0" w:rsidRPr="00B11EDC" w14:paraId="30617F25" w14:textId="59C1C914" w:rsidTr="00EB11C0">
        <w:trPr>
          <w:trHeight w:val="244"/>
        </w:trPr>
        <w:tc>
          <w:tcPr>
            <w:tcW w:w="177" w:type="pct"/>
            <w:shd w:val="clear" w:color="auto" w:fill="C0C5CC"/>
          </w:tcPr>
          <w:p w14:paraId="5DB16FC1" w14:textId="56ABEE4C" w:rsidR="00EB11C0" w:rsidRPr="00393288" w:rsidRDefault="00EB11C0" w:rsidP="00FF070D">
            <w:pPr>
              <w:jc w:val="both"/>
              <w:rPr>
                <w:rFonts w:ascii="Aptos" w:eastAsia="Times New Roman" w:hAnsi="Aptos" w:cs="Tahoma"/>
                <w:b/>
                <w:color w:val="2B4155"/>
                <w:sz w:val="20"/>
                <w:szCs w:val="20"/>
              </w:rPr>
            </w:pPr>
            <w:r w:rsidRPr="00393288">
              <w:rPr>
                <w:rFonts w:ascii="Aptos" w:eastAsia="Verdana" w:hAnsi="Aptos" w:cs="Verdana"/>
                <w:b/>
                <w:bCs/>
                <w:color w:val="2B4155"/>
                <w:sz w:val="20"/>
                <w:szCs w:val="20"/>
              </w:rPr>
              <w:t>Nr.</w:t>
            </w:r>
          </w:p>
        </w:tc>
        <w:tc>
          <w:tcPr>
            <w:tcW w:w="373" w:type="pct"/>
            <w:gridSpan w:val="2"/>
          </w:tcPr>
          <w:p w14:paraId="4B42A8DE" w14:textId="1E14E1C1" w:rsidR="00EB11C0" w:rsidRPr="00393288" w:rsidRDefault="00EB11C0" w:rsidP="00FF070D">
            <w:pPr>
              <w:jc w:val="both"/>
              <w:rPr>
                <w:rFonts w:ascii="Aptos" w:eastAsia="Times New Roman" w:hAnsi="Aptos" w:cs="Tahoma"/>
                <w:b/>
                <w:color w:val="2B4155"/>
                <w:sz w:val="20"/>
                <w:szCs w:val="20"/>
              </w:rPr>
            </w:pPr>
            <w:r w:rsidRPr="00393288">
              <w:rPr>
                <w:rFonts w:ascii="Aptos" w:eastAsia="Verdana" w:hAnsi="Aptos" w:cs="Verdana"/>
                <w:b/>
                <w:bCs/>
                <w:color w:val="2B4155"/>
                <w:sz w:val="20"/>
                <w:szCs w:val="20"/>
              </w:rPr>
              <w:t>Pag.</w:t>
            </w:r>
          </w:p>
        </w:tc>
        <w:tc>
          <w:tcPr>
            <w:tcW w:w="353" w:type="pct"/>
          </w:tcPr>
          <w:p w14:paraId="7F626316" w14:textId="136B6455" w:rsidR="00EB11C0" w:rsidRPr="00393288" w:rsidRDefault="00EB11C0" w:rsidP="00FF070D">
            <w:pPr>
              <w:jc w:val="both"/>
              <w:rPr>
                <w:rFonts w:ascii="Aptos" w:eastAsia="Times New Roman" w:hAnsi="Aptos" w:cs="Tahoma"/>
                <w:b/>
                <w:color w:val="2B4155"/>
                <w:sz w:val="20"/>
                <w:szCs w:val="20"/>
              </w:rPr>
            </w:pPr>
            <w:r w:rsidRPr="00393288">
              <w:rPr>
                <w:rFonts w:ascii="Aptos" w:eastAsia="Verdana" w:hAnsi="Aptos" w:cs="Verdana"/>
                <w:b/>
                <w:bCs/>
                <w:color w:val="2B4155"/>
                <w:sz w:val="20"/>
                <w:szCs w:val="20"/>
              </w:rPr>
              <w:t>Par.</w:t>
            </w:r>
          </w:p>
        </w:tc>
        <w:tc>
          <w:tcPr>
            <w:tcW w:w="2195" w:type="pct"/>
          </w:tcPr>
          <w:p w14:paraId="1E876400" w14:textId="508F0D2F" w:rsidR="00EB11C0" w:rsidRPr="00393288" w:rsidRDefault="00EB11C0" w:rsidP="00FF070D">
            <w:pPr>
              <w:jc w:val="both"/>
              <w:rPr>
                <w:rFonts w:ascii="Aptos" w:eastAsia="Verdana" w:hAnsi="Aptos" w:cs="Verdana"/>
                <w:b/>
                <w:bCs/>
                <w:color w:val="2B4155"/>
                <w:sz w:val="20"/>
                <w:szCs w:val="20"/>
              </w:rPr>
            </w:pPr>
            <w:r w:rsidRPr="00393288">
              <w:rPr>
                <w:rFonts w:ascii="Aptos" w:eastAsia="Verdana" w:hAnsi="Aptos" w:cs="Verdana"/>
                <w:b/>
                <w:bCs/>
                <w:color w:val="2B4155"/>
                <w:sz w:val="20"/>
                <w:szCs w:val="20"/>
              </w:rPr>
              <w:t>Vraag</w:t>
            </w:r>
          </w:p>
        </w:tc>
        <w:tc>
          <w:tcPr>
            <w:tcW w:w="1902" w:type="pct"/>
            <w:shd w:val="clear" w:color="auto" w:fill="F1F1F1"/>
          </w:tcPr>
          <w:p w14:paraId="00D336F5" w14:textId="1BEAA799" w:rsidR="00EB11C0" w:rsidRPr="00393288" w:rsidRDefault="00EB11C0" w:rsidP="00FF070D">
            <w:pPr>
              <w:jc w:val="both"/>
              <w:rPr>
                <w:rFonts w:ascii="Aptos" w:eastAsia="Times New Roman" w:hAnsi="Aptos" w:cs="Tahoma"/>
                <w:b/>
                <w:color w:val="2B4155"/>
                <w:sz w:val="20"/>
                <w:szCs w:val="20"/>
              </w:rPr>
            </w:pPr>
            <w:r w:rsidRPr="00393288">
              <w:rPr>
                <w:rFonts w:ascii="Aptos" w:eastAsia="Verdana" w:hAnsi="Aptos" w:cs="Verdana"/>
                <w:b/>
                <w:bCs/>
                <w:color w:val="2B4155"/>
                <w:sz w:val="20"/>
                <w:szCs w:val="20"/>
              </w:rPr>
              <w:t>Antwoord</w:t>
            </w:r>
          </w:p>
        </w:tc>
      </w:tr>
      <w:tr w:rsidR="00EB11C0" w:rsidRPr="00DA15B4" w14:paraId="6108FEF0" w14:textId="3CFE705C" w:rsidTr="00EB11C0">
        <w:trPr>
          <w:trHeight w:val="244"/>
        </w:trPr>
        <w:tc>
          <w:tcPr>
            <w:tcW w:w="177" w:type="pct"/>
            <w:shd w:val="clear" w:color="auto" w:fill="2B4155"/>
          </w:tcPr>
          <w:p w14:paraId="4C72C67C" w14:textId="77777777" w:rsidR="00EB11C0" w:rsidRPr="00393288" w:rsidRDefault="00EB11C0" w:rsidP="00FF070D">
            <w:pPr>
              <w:jc w:val="both"/>
              <w:rPr>
                <w:rFonts w:ascii="Aptos" w:eastAsia="Times New Roman" w:hAnsi="Aptos" w:cs="Tahoma"/>
                <w:b/>
                <w:color w:val="FFFFFF" w:themeColor="background1"/>
                <w:sz w:val="20"/>
                <w:szCs w:val="20"/>
              </w:rPr>
            </w:pPr>
            <w:r w:rsidRPr="00393288">
              <w:rPr>
                <w:rFonts w:ascii="Aptos" w:eastAsia="Times New Roman" w:hAnsi="Aptos" w:cs="Tahoma"/>
                <w:b/>
                <w:color w:val="FFFFFF" w:themeColor="background1"/>
                <w:sz w:val="20"/>
                <w:szCs w:val="20"/>
              </w:rPr>
              <w:t xml:space="preserve">               </w:t>
            </w:r>
          </w:p>
        </w:tc>
        <w:tc>
          <w:tcPr>
            <w:tcW w:w="373" w:type="pct"/>
            <w:gridSpan w:val="2"/>
            <w:shd w:val="clear" w:color="auto" w:fill="2B4155"/>
          </w:tcPr>
          <w:p w14:paraId="6A356D98" w14:textId="77777777" w:rsidR="00EB11C0" w:rsidRPr="00393288" w:rsidRDefault="00EB11C0" w:rsidP="00FF070D">
            <w:pPr>
              <w:jc w:val="both"/>
              <w:rPr>
                <w:rFonts w:ascii="Aptos" w:eastAsia="Times New Roman" w:hAnsi="Aptos" w:cs="Tahoma"/>
                <w:b/>
                <w:color w:val="FFFFFF" w:themeColor="background1"/>
                <w:sz w:val="20"/>
                <w:szCs w:val="20"/>
              </w:rPr>
            </w:pPr>
          </w:p>
        </w:tc>
        <w:tc>
          <w:tcPr>
            <w:tcW w:w="353" w:type="pct"/>
            <w:shd w:val="clear" w:color="auto" w:fill="2B4155"/>
          </w:tcPr>
          <w:p w14:paraId="1EBA454D" w14:textId="77777777" w:rsidR="00EB11C0" w:rsidRPr="00393288" w:rsidRDefault="00EB11C0" w:rsidP="00FF070D">
            <w:pPr>
              <w:jc w:val="both"/>
              <w:rPr>
                <w:rFonts w:ascii="Aptos" w:eastAsia="Times New Roman" w:hAnsi="Aptos" w:cs="Tahoma"/>
                <w:b/>
                <w:color w:val="FFFFFF" w:themeColor="background1"/>
                <w:sz w:val="20"/>
                <w:szCs w:val="20"/>
              </w:rPr>
            </w:pPr>
          </w:p>
        </w:tc>
        <w:tc>
          <w:tcPr>
            <w:tcW w:w="4097" w:type="pct"/>
            <w:gridSpan w:val="2"/>
            <w:shd w:val="clear" w:color="auto" w:fill="2B4155"/>
          </w:tcPr>
          <w:p w14:paraId="2EFC0CA3" w14:textId="49EDE6F0" w:rsidR="00EB11C0" w:rsidRPr="00393288" w:rsidRDefault="00EB11C0" w:rsidP="00FF070D">
            <w:pPr>
              <w:jc w:val="both"/>
              <w:rPr>
                <w:rFonts w:ascii="Aptos" w:eastAsia="Times New Roman" w:hAnsi="Aptos" w:cs="Tahoma"/>
                <w:b/>
                <w:color w:val="FFFFFF" w:themeColor="background1"/>
                <w:sz w:val="20"/>
                <w:szCs w:val="20"/>
              </w:rPr>
            </w:pPr>
            <w:r w:rsidRPr="00393288">
              <w:rPr>
                <w:rFonts w:ascii="Aptos" w:eastAsia="Times New Roman" w:hAnsi="Aptos" w:cs="Tahoma"/>
                <w:b/>
                <w:color w:val="FFFFFF" w:themeColor="background1"/>
                <w:sz w:val="20"/>
                <w:szCs w:val="20"/>
              </w:rPr>
              <w:t>Aanbestedingsleidraad</w:t>
            </w:r>
          </w:p>
        </w:tc>
      </w:tr>
      <w:tr w:rsidR="00EB11C0" w:rsidRPr="00DE7320" w14:paraId="5C221A1A" w14:textId="1EF5DDFA" w:rsidTr="00EB11C0">
        <w:trPr>
          <w:trHeight w:val="244"/>
        </w:trPr>
        <w:tc>
          <w:tcPr>
            <w:tcW w:w="177" w:type="pct"/>
            <w:shd w:val="clear" w:color="auto" w:fill="C0C5CC"/>
          </w:tcPr>
          <w:p w14:paraId="527AED92" w14:textId="4B9D1FE0" w:rsidR="00EB11C0" w:rsidRPr="00393288" w:rsidRDefault="00EB11C0" w:rsidP="00FF070D">
            <w:pPr>
              <w:pStyle w:val="Lijstalinea"/>
              <w:numPr>
                <w:ilvl w:val="0"/>
                <w:numId w:val="1"/>
              </w:numPr>
              <w:jc w:val="both"/>
              <w:rPr>
                <w:rFonts w:ascii="Aptos" w:eastAsia="Times New Roman" w:hAnsi="Aptos" w:cs="Tahoma"/>
                <w:bCs/>
                <w:sz w:val="20"/>
                <w:szCs w:val="20"/>
              </w:rPr>
            </w:pPr>
          </w:p>
        </w:tc>
        <w:tc>
          <w:tcPr>
            <w:tcW w:w="373" w:type="pct"/>
            <w:gridSpan w:val="2"/>
          </w:tcPr>
          <w:p w14:paraId="1BD936C7" w14:textId="7CAC7378" w:rsidR="00EB11C0" w:rsidRPr="00393288" w:rsidRDefault="00EB11C0" w:rsidP="00FF070D">
            <w:pPr>
              <w:jc w:val="both"/>
              <w:rPr>
                <w:rFonts w:ascii="Aptos" w:eastAsia="Times New Roman" w:hAnsi="Aptos" w:cs="Tahoma"/>
                <w:bCs/>
                <w:sz w:val="20"/>
                <w:szCs w:val="20"/>
              </w:rPr>
            </w:pPr>
            <w:proofErr w:type="spellStart"/>
            <w:r w:rsidRPr="00393288">
              <w:rPr>
                <w:rFonts w:ascii="Aptos" w:eastAsia="Times New Roman" w:hAnsi="Aptos" w:cs="Tahoma"/>
                <w:bCs/>
                <w:sz w:val="20"/>
                <w:szCs w:val="20"/>
              </w:rPr>
              <w:t>NvI</w:t>
            </w:r>
            <w:proofErr w:type="spellEnd"/>
            <w:r>
              <w:rPr>
                <w:rFonts w:ascii="Aptos" w:eastAsia="Times New Roman" w:hAnsi="Aptos" w:cs="Tahoma"/>
                <w:bCs/>
                <w:sz w:val="20"/>
                <w:szCs w:val="20"/>
              </w:rPr>
              <w:t xml:space="preserve"> </w:t>
            </w:r>
            <w:r w:rsidRPr="00393288">
              <w:rPr>
                <w:rFonts w:ascii="Aptos" w:eastAsia="Times New Roman" w:hAnsi="Aptos" w:cs="Tahoma"/>
                <w:bCs/>
                <w:sz w:val="20"/>
                <w:szCs w:val="20"/>
              </w:rPr>
              <w:t>1 vraag/ antwoord 7</w:t>
            </w:r>
          </w:p>
        </w:tc>
        <w:tc>
          <w:tcPr>
            <w:tcW w:w="353" w:type="pct"/>
          </w:tcPr>
          <w:p w14:paraId="7C1FB45C" w14:textId="71BB3F54" w:rsidR="00EB11C0" w:rsidRPr="00393288" w:rsidRDefault="00EB11C0" w:rsidP="00FF070D">
            <w:pPr>
              <w:jc w:val="both"/>
              <w:rPr>
                <w:rFonts w:ascii="Aptos" w:eastAsia="Times New Roman" w:hAnsi="Aptos" w:cs="Tahoma"/>
                <w:bCs/>
                <w:sz w:val="20"/>
                <w:szCs w:val="20"/>
              </w:rPr>
            </w:pPr>
          </w:p>
        </w:tc>
        <w:tc>
          <w:tcPr>
            <w:tcW w:w="2195" w:type="pct"/>
          </w:tcPr>
          <w:p w14:paraId="724C3072" w14:textId="77777777"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In de Nota van Inlichtingen geeft u aan dat de minimale kortingen van 15% op leer-/werkboeken en 11% op LiFo en digitaal lesmateriaal marktconform zijn, mede gebaseerd op ervaringen uit andere all-in-one aanbestedingen. Wij constateren echter dat in recente landelijke gunningen binnen het VO zulke minimumkortingen niet (meer) worden gehanteerd, en dat inschrijvers daar juist de ruimte krijgen om marktconforme kortingen zelf te bepalen.</w:t>
            </w:r>
          </w:p>
          <w:p w14:paraId="6FEB738E" w14:textId="77777777" w:rsidR="00EB11C0" w:rsidRPr="00393288" w:rsidRDefault="00EB11C0" w:rsidP="00FF070D">
            <w:pPr>
              <w:jc w:val="both"/>
              <w:rPr>
                <w:rFonts w:ascii="Aptos" w:eastAsia="Times New Roman" w:hAnsi="Aptos" w:cs="Tahoma"/>
                <w:bCs/>
                <w:sz w:val="20"/>
                <w:szCs w:val="20"/>
              </w:rPr>
            </w:pPr>
          </w:p>
          <w:p w14:paraId="36BD0F63" w14:textId="77777777"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Bent u bereid om de minimale kortingen van 15% en 11% te laten vervallen en aan de markt over te laten welke korting zij marktconform achten, zodat inschrijvers een aanbod kunnen doen dat aansluit bij de daadwerkelijke marktwerking en hun kostprijsstructuur?</w:t>
            </w:r>
          </w:p>
          <w:p w14:paraId="0E042C19" w14:textId="77777777" w:rsidR="00EB11C0" w:rsidRPr="00393288" w:rsidRDefault="00EB11C0" w:rsidP="00FF070D">
            <w:pPr>
              <w:jc w:val="both"/>
              <w:rPr>
                <w:rFonts w:ascii="Aptos" w:eastAsia="Times New Roman" w:hAnsi="Aptos" w:cs="Tahoma"/>
                <w:bCs/>
                <w:sz w:val="20"/>
                <w:szCs w:val="20"/>
              </w:rPr>
            </w:pPr>
          </w:p>
          <w:p w14:paraId="1F517693" w14:textId="511C7A78"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Indien nee, kunt u dan aangeven op welke actuele marktdata of benchmark de genoemde minimale kortingen gebaseerd zijn, zodat inschrijvers beter kunnen begrijpen hoe deze percentages tot stand zijn gekomen?</w:t>
            </w:r>
          </w:p>
        </w:tc>
        <w:tc>
          <w:tcPr>
            <w:tcW w:w="1902" w:type="pct"/>
            <w:shd w:val="clear" w:color="auto" w:fill="F1F1F1"/>
          </w:tcPr>
          <w:p w14:paraId="48286513" w14:textId="7645F3D7" w:rsidR="00EB11C0" w:rsidRDefault="00EB11C0" w:rsidP="00EE627B">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Opdrachtgever is niet bereid om de kortingspercentages vrij te geven, maar wel bereid om deze te verlagen naar:</w:t>
            </w:r>
          </w:p>
          <w:p w14:paraId="54C73245" w14:textId="05AE0DE1" w:rsidR="00EB11C0" w:rsidRDefault="00EB11C0" w:rsidP="00EE627B">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LiFo minimaal 10%</w:t>
            </w:r>
          </w:p>
          <w:p w14:paraId="0A0261AA" w14:textId="6CF27CBC" w:rsidR="00EB11C0" w:rsidRDefault="00EB11C0" w:rsidP="00EE627B">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Folio minimaal 13%</w:t>
            </w:r>
          </w:p>
          <w:p w14:paraId="5D32DD75" w14:textId="77777777" w:rsidR="00EB11C0" w:rsidRDefault="00EB11C0" w:rsidP="00EE627B">
            <w:pPr>
              <w:rPr>
                <w:rFonts w:ascii="Aptos" w:eastAsia="Times New Roman" w:hAnsi="Aptos" w:cs="Tahoma"/>
                <w:bCs/>
                <w:color w:val="4472C4" w:themeColor="accent1"/>
                <w:sz w:val="20"/>
                <w:szCs w:val="20"/>
              </w:rPr>
            </w:pPr>
          </w:p>
          <w:p w14:paraId="1D6AD185" w14:textId="0024F8D9" w:rsidR="00EB11C0" w:rsidRDefault="00EB11C0" w:rsidP="00EE627B">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 xml:space="preserve">Bij deze </w:t>
            </w:r>
            <w:proofErr w:type="spellStart"/>
            <w:r>
              <w:rPr>
                <w:rFonts w:ascii="Aptos" w:eastAsia="Times New Roman" w:hAnsi="Aptos" w:cs="Tahoma"/>
                <w:bCs/>
                <w:color w:val="4472C4" w:themeColor="accent1"/>
                <w:sz w:val="20"/>
                <w:szCs w:val="20"/>
              </w:rPr>
              <w:t>NvI</w:t>
            </w:r>
            <w:proofErr w:type="spellEnd"/>
            <w:r>
              <w:rPr>
                <w:rFonts w:ascii="Aptos" w:eastAsia="Times New Roman" w:hAnsi="Aptos" w:cs="Tahoma"/>
                <w:bCs/>
                <w:color w:val="4472C4" w:themeColor="accent1"/>
                <w:sz w:val="20"/>
                <w:szCs w:val="20"/>
              </w:rPr>
              <w:t xml:space="preserve"> is het aangepaste prijzenblad opgenomen.</w:t>
            </w:r>
          </w:p>
          <w:p w14:paraId="012AA34E" w14:textId="77777777" w:rsidR="00EB11C0" w:rsidRDefault="00EB11C0" w:rsidP="00EE627B">
            <w:pPr>
              <w:rPr>
                <w:rFonts w:ascii="Aptos" w:eastAsia="Times New Roman" w:hAnsi="Aptos" w:cs="Tahoma"/>
                <w:bCs/>
                <w:color w:val="4472C4" w:themeColor="accent1"/>
                <w:sz w:val="20"/>
                <w:szCs w:val="20"/>
              </w:rPr>
            </w:pPr>
          </w:p>
          <w:p w14:paraId="77CA9BC4" w14:textId="77777777" w:rsidR="00EB11C0" w:rsidRDefault="00EB11C0" w:rsidP="00EE627B">
            <w:pPr>
              <w:rPr>
                <w:rFonts w:ascii="Aptos" w:eastAsia="Times New Roman" w:hAnsi="Aptos" w:cs="Tahoma"/>
                <w:bCs/>
                <w:color w:val="4472C4" w:themeColor="accent1"/>
                <w:sz w:val="20"/>
                <w:szCs w:val="20"/>
              </w:rPr>
            </w:pPr>
          </w:p>
          <w:p w14:paraId="1157A3ED" w14:textId="22A2C2C0" w:rsidR="00EB11C0" w:rsidRPr="00395DA3" w:rsidRDefault="00EB11C0" w:rsidP="0054168C">
            <w:pPr>
              <w:rPr>
                <w:rFonts w:ascii="Aptos" w:eastAsia="Times New Roman" w:hAnsi="Aptos" w:cs="Tahoma"/>
                <w:bCs/>
                <w:color w:val="EE0000"/>
                <w:sz w:val="20"/>
                <w:szCs w:val="20"/>
              </w:rPr>
            </w:pPr>
          </w:p>
        </w:tc>
      </w:tr>
      <w:tr w:rsidR="00EB11C0" w:rsidRPr="00DE7320" w14:paraId="5A19247B" w14:textId="243C015C" w:rsidTr="00EB11C0">
        <w:trPr>
          <w:trHeight w:val="244"/>
        </w:trPr>
        <w:tc>
          <w:tcPr>
            <w:tcW w:w="177" w:type="pct"/>
            <w:shd w:val="clear" w:color="auto" w:fill="C0C5CC"/>
          </w:tcPr>
          <w:p w14:paraId="72C7AAE0" w14:textId="43E0CD1F" w:rsidR="00EB11C0" w:rsidRPr="00393288" w:rsidRDefault="00EB11C0" w:rsidP="00FF070D">
            <w:pPr>
              <w:pStyle w:val="Lijstalinea"/>
              <w:numPr>
                <w:ilvl w:val="0"/>
                <w:numId w:val="1"/>
              </w:numPr>
              <w:jc w:val="both"/>
              <w:rPr>
                <w:rFonts w:ascii="Aptos" w:eastAsia="Times New Roman" w:hAnsi="Aptos" w:cs="Tahoma"/>
                <w:bCs/>
                <w:sz w:val="20"/>
                <w:szCs w:val="20"/>
              </w:rPr>
            </w:pPr>
          </w:p>
        </w:tc>
        <w:tc>
          <w:tcPr>
            <w:tcW w:w="373" w:type="pct"/>
            <w:gridSpan w:val="2"/>
          </w:tcPr>
          <w:p w14:paraId="68081912" w14:textId="5ACAB517" w:rsidR="00EB11C0" w:rsidRPr="00393288" w:rsidRDefault="00EB11C0" w:rsidP="00FF070D">
            <w:pPr>
              <w:jc w:val="both"/>
              <w:rPr>
                <w:rFonts w:ascii="Aptos" w:eastAsia="Times New Roman" w:hAnsi="Aptos" w:cs="Tahoma"/>
                <w:bCs/>
                <w:sz w:val="20"/>
                <w:szCs w:val="20"/>
              </w:rPr>
            </w:pPr>
            <w:proofErr w:type="spellStart"/>
            <w:r w:rsidRPr="00393288">
              <w:rPr>
                <w:rFonts w:ascii="Aptos" w:eastAsia="Times New Roman" w:hAnsi="Aptos" w:cs="Tahoma"/>
                <w:bCs/>
                <w:sz w:val="20"/>
                <w:szCs w:val="20"/>
              </w:rPr>
              <w:t>NvI</w:t>
            </w:r>
            <w:proofErr w:type="spellEnd"/>
            <w:r>
              <w:rPr>
                <w:rFonts w:ascii="Aptos" w:eastAsia="Times New Roman" w:hAnsi="Aptos" w:cs="Tahoma"/>
                <w:bCs/>
                <w:sz w:val="20"/>
                <w:szCs w:val="20"/>
              </w:rPr>
              <w:t xml:space="preserve"> </w:t>
            </w:r>
            <w:r w:rsidRPr="00393288">
              <w:rPr>
                <w:rFonts w:ascii="Aptos" w:eastAsia="Times New Roman" w:hAnsi="Aptos" w:cs="Tahoma"/>
                <w:bCs/>
                <w:sz w:val="20"/>
                <w:szCs w:val="20"/>
              </w:rPr>
              <w:t>1 vraag/ antwoord 23</w:t>
            </w:r>
          </w:p>
        </w:tc>
        <w:tc>
          <w:tcPr>
            <w:tcW w:w="353" w:type="pct"/>
          </w:tcPr>
          <w:p w14:paraId="42C1D9CB" w14:textId="747CB3DB" w:rsidR="00EB11C0" w:rsidRPr="00393288" w:rsidRDefault="00EB11C0" w:rsidP="00FF070D">
            <w:pPr>
              <w:jc w:val="both"/>
              <w:rPr>
                <w:rFonts w:ascii="Aptos" w:eastAsia="Times New Roman" w:hAnsi="Aptos" w:cs="Tahoma"/>
                <w:bCs/>
                <w:sz w:val="20"/>
                <w:szCs w:val="20"/>
              </w:rPr>
            </w:pPr>
          </w:p>
        </w:tc>
        <w:tc>
          <w:tcPr>
            <w:tcW w:w="2195" w:type="pct"/>
          </w:tcPr>
          <w:p w14:paraId="57B0BD09" w14:textId="1213A713"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 xml:space="preserve">U geeft aan dat het om een DEMO-account gaat en dat er geen koppeling gemaakt hoeft te worden. </w:t>
            </w:r>
          </w:p>
          <w:p w14:paraId="5CD1137F" w14:textId="416E31E4"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Ons systeem maakt uitsluitend gebruik van SSO via Kennisnet accounts en is enkel beschikbaar in de productieomgeving. Een demoaccount verlenen betekent daardoor dat gebruikers in de live omgeving kunnen bestellen, wat automatisch kan leiden tot daadwerkelijke bestellingen, leveringen en facturatie. Een alternatief zou zijn dat wij bepaalde functionaliteiten (zoals bestellen) tijdelijk uitschakelen om dit risico te voorkomen. Dit heeft echter als nadeel dat u dan niet kunt ervaren hoe het systeem in de praktijk werkt, waaronder het volledige bestelproces en de daarbij behorende workflow.</w:t>
            </w:r>
          </w:p>
          <w:p w14:paraId="5BE5DBA2" w14:textId="77777777"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lastRenderedPageBreak/>
              <w:t>Wij stellen daarom het volgende voor:</w:t>
            </w:r>
          </w:p>
          <w:p w14:paraId="39A2E9F0" w14:textId="069928D2" w:rsidR="00EB11C0" w:rsidRPr="00393288" w:rsidRDefault="00EB11C0" w:rsidP="00FF070D">
            <w:pPr>
              <w:pStyle w:val="Lijstalinea"/>
              <w:numPr>
                <w:ilvl w:val="0"/>
                <w:numId w:val="2"/>
              </w:numPr>
              <w:jc w:val="both"/>
              <w:rPr>
                <w:rFonts w:ascii="Aptos" w:eastAsia="Times New Roman" w:hAnsi="Aptos" w:cs="Tahoma"/>
                <w:bCs/>
                <w:sz w:val="20"/>
                <w:szCs w:val="20"/>
              </w:rPr>
            </w:pPr>
            <w:r w:rsidRPr="00393288">
              <w:rPr>
                <w:rFonts w:ascii="Aptos" w:eastAsia="Times New Roman" w:hAnsi="Aptos" w:cs="Tahoma"/>
                <w:bCs/>
                <w:sz w:val="20"/>
                <w:szCs w:val="20"/>
              </w:rPr>
              <w:t>Een begeleide demo tijdens de fase van voorlopige gunning, als onderdeel van de kwaliteitsbeoordeling.</w:t>
            </w:r>
          </w:p>
          <w:p w14:paraId="39F57AF9" w14:textId="1F642F0B" w:rsidR="00EB11C0" w:rsidRPr="00393288" w:rsidRDefault="00EB11C0" w:rsidP="00FF070D">
            <w:pPr>
              <w:pStyle w:val="Lijstalinea"/>
              <w:numPr>
                <w:ilvl w:val="0"/>
                <w:numId w:val="2"/>
              </w:numPr>
              <w:jc w:val="both"/>
              <w:rPr>
                <w:rFonts w:ascii="Aptos" w:eastAsia="Times New Roman" w:hAnsi="Aptos" w:cs="Tahoma"/>
                <w:bCs/>
                <w:sz w:val="20"/>
                <w:szCs w:val="20"/>
              </w:rPr>
            </w:pPr>
            <w:r w:rsidRPr="00393288">
              <w:rPr>
                <w:rFonts w:ascii="Aptos" w:eastAsia="Times New Roman" w:hAnsi="Aptos" w:cs="Tahoma"/>
                <w:bCs/>
                <w:sz w:val="20"/>
                <w:szCs w:val="20"/>
              </w:rPr>
              <w:t>Een daaropvolgend kijk-/testmoment waarbij uw medewerkers het systeem kunnen verkennen onder begeleiding van onze medewerker, die meekijkt en indien nodig handelingen blokkeert, zodat geen definitieve bestellingen kunnen worden geplaatst.</w:t>
            </w:r>
          </w:p>
          <w:p w14:paraId="197B73AF" w14:textId="77777777"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Vraag:</w:t>
            </w:r>
          </w:p>
          <w:p w14:paraId="72669D4F" w14:textId="010139E7"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Kan de aanbestedende dienst bevestigen dat deze werkwijze als gelijkwaardig wordt beschouwd aan het beschikbaar stellen van een demo-account, en dat hiervoor niet vereist is dat wij essentiële functionaliteiten (zoals bestellen) uitschakelen?</w:t>
            </w:r>
          </w:p>
          <w:p w14:paraId="482C6140" w14:textId="7D0BE462"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Indien dit niet wordt geaccepteerd, kunt u dan aangeven welke alternatieve vorm van toegang of demonstratie u passend acht, rekening houdend met bovengenoemde SSO- en productiebeperkingen?</w:t>
            </w:r>
          </w:p>
        </w:tc>
        <w:tc>
          <w:tcPr>
            <w:tcW w:w="1902" w:type="pct"/>
            <w:shd w:val="clear" w:color="auto" w:fill="F1F1F1"/>
          </w:tcPr>
          <w:p w14:paraId="4FCEE294" w14:textId="66BFD9ED" w:rsidR="00EB11C0" w:rsidRDefault="00EB11C0" w:rsidP="00B10B62">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lastRenderedPageBreak/>
              <w:t>Niet akkoord met de voorgestelde alternatieve werkwijze.</w:t>
            </w:r>
          </w:p>
          <w:p w14:paraId="162EF9A3" w14:textId="77777777" w:rsidR="00EB11C0" w:rsidRDefault="00EB11C0" w:rsidP="00B10B62">
            <w:pPr>
              <w:rPr>
                <w:rFonts w:ascii="Aptos" w:eastAsia="Times New Roman" w:hAnsi="Aptos" w:cs="Tahoma"/>
                <w:bCs/>
                <w:color w:val="4472C4" w:themeColor="accent1"/>
                <w:sz w:val="20"/>
                <w:szCs w:val="20"/>
              </w:rPr>
            </w:pPr>
          </w:p>
          <w:p w14:paraId="0B6094FB" w14:textId="5043893B" w:rsidR="00EB11C0" w:rsidRPr="00471102" w:rsidRDefault="00EB11C0" w:rsidP="00B10B62">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We zijn ons bewust van een klein risico op eventueel bestellen. We gaan uit van de professionaliteit van onze medewerkers en van de medewerkers van inschrijver.</w:t>
            </w:r>
          </w:p>
          <w:p w14:paraId="14C61B40" w14:textId="77777777" w:rsidR="00EB11C0" w:rsidRDefault="00EB11C0" w:rsidP="00B10B62">
            <w:pPr>
              <w:rPr>
                <w:rFonts w:ascii="Aptos" w:eastAsia="Times New Roman" w:hAnsi="Aptos" w:cs="Tahoma"/>
                <w:bCs/>
                <w:sz w:val="20"/>
                <w:szCs w:val="20"/>
              </w:rPr>
            </w:pPr>
          </w:p>
          <w:p w14:paraId="1BD59639" w14:textId="4B363306" w:rsidR="00EB11C0" w:rsidRPr="00B522B2" w:rsidRDefault="00EB11C0" w:rsidP="00FF070D">
            <w:pPr>
              <w:jc w:val="both"/>
              <w:rPr>
                <w:rFonts w:ascii="Aptos" w:eastAsia="Times New Roman" w:hAnsi="Aptos" w:cs="Tahoma"/>
                <w:bCs/>
                <w:strike/>
                <w:sz w:val="20"/>
                <w:szCs w:val="20"/>
              </w:rPr>
            </w:pPr>
          </w:p>
        </w:tc>
      </w:tr>
      <w:tr w:rsidR="00EB11C0" w:rsidRPr="00DE7320" w14:paraId="09C2AD7B" w14:textId="41CAA6A4" w:rsidTr="00EB11C0">
        <w:trPr>
          <w:trHeight w:val="244"/>
        </w:trPr>
        <w:tc>
          <w:tcPr>
            <w:tcW w:w="177" w:type="pct"/>
            <w:shd w:val="clear" w:color="auto" w:fill="C0C5CC"/>
          </w:tcPr>
          <w:p w14:paraId="6DF7D232" w14:textId="090D1455" w:rsidR="00EB11C0" w:rsidRPr="00393288" w:rsidRDefault="00EB11C0" w:rsidP="00FF070D">
            <w:pPr>
              <w:pStyle w:val="Lijstalinea"/>
              <w:numPr>
                <w:ilvl w:val="0"/>
                <w:numId w:val="1"/>
              </w:numPr>
              <w:jc w:val="both"/>
              <w:rPr>
                <w:rFonts w:ascii="Aptos" w:eastAsia="Times New Roman" w:hAnsi="Aptos" w:cs="Tahoma"/>
                <w:bCs/>
                <w:sz w:val="20"/>
                <w:szCs w:val="20"/>
              </w:rPr>
            </w:pPr>
          </w:p>
        </w:tc>
        <w:tc>
          <w:tcPr>
            <w:tcW w:w="373" w:type="pct"/>
            <w:gridSpan w:val="2"/>
          </w:tcPr>
          <w:p w14:paraId="240E402D" w14:textId="1D4E079D" w:rsidR="00EB11C0" w:rsidRPr="00393288" w:rsidRDefault="00EB11C0" w:rsidP="00FF070D">
            <w:pPr>
              <w:jc w:val="both"/>
              <w:rPr>
                <w:rFonts w:ascii="Aptos" w:eastAsia="Times New Roman" w:hAnsi="Aptos" w:cs="Tahoma"/>
                <w:bCs/>
                <w:sz w:val="20"/>
                <w:szCs w:val="20"/>
              </w:rPr>
            </w:pPr>
            <w:proofErr w:type="spellStart"/>
            <w:r w:rsidRPr="00393288">
              <w:rPr>
                <w:rFonts w:ascii="Aptos" w:eastAsia="Times New Roman" w:hAnsi="Aptos" w:cs="Tahoma"/>
                <w:bCs/>
                <w:sz w:val="20"/>
                <w:szCs w:val="20"/>
              </w:rPr>
              <w:t>NvI</w:t>
            </w:r>
            <w:proofErr w:type="spellEnd"/>
            <w:r>
              <w:rPr>
                <w:rFonts w:ascii="Aptos" w:eastAsia="Times New Roman" w:hAnsi="Aptos" w:cs="Tahoma"/>
                <w:bCs/>
                <w:sz w:val="20"/>
                <w:szCs w:val="20"/>
              </w:rPr>
              <w:t xml:space="preserve"> </w:t>
            </w:r>
            <w:r w:rsidRPr="00393288">
              <w:rPr>
                <w:rFonts w:ascii="Aptos" w:eastAsia="Times New Roman" w:hAnsi="Aptos" w:cs="Tahoma"/>
                <w:bCs/>
                <w:sz w:val="20"/>
                <w:szCs w:val="20"/>
              </w:rPr>
              <w:t>1 vraag/ antwoord 30</w:t>
            </w:r>
          </w:p>
        </w:tc>
        <w:tc>
          <w:tcPr>
            <w:tcW w:w="353" w:type="pct"/>
          </w:tcPr>
          <w:p w14:paraId="7374180C" w14:textId="79F3F930" w:rsidR="00EB11C0" w:rsidRPr="00393288" w:rsidRDefault="00EB11C0" w:rsidP="00FF070D">
            <w:pPr>
              <w:jc w:val="both"/>
              <w:rPr>
                <w:rFonts w:ascii="Aptos" w:eastAsia="Times New Roman" w:hAnsi="Aptos" w:cs="Tahoma"/>
                <w:bCs/>
                <w:sz w:val="20"/>
                <w:szCs w:val="20"/>
              </w:rPr>
            </w:pPr>
          </w:p>
        </w:tc>
        <w:tc>
          <w:tcPr>
            <w:tcW w:w="2195" w:type="pct"/>
          </w:tcPr>
          <w:p w14:paraId="5A605BB5" w14:textId="1D6A785A"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In uw antwoord geeft u aan dat, ook wanneer een school (ILF/GLF) kiest voor een eigen extern bestel- en beheerportal, inzicht en managementinformatie beschikbaar blijven voor de diensten die op dat moment door opdrachtnemer worden geleverd, waaronder logistieke gegevens voor uitlevering.</w:t>
            </w:r>
          </w:p>
          <w:p w14:paraId="654D42B3" w14:textId="3A7A4253"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Kunt u nader toelichten hoe u dit concreet voor zich ziet in de situatie van Gefaciliteerd Leermiddelen Fonds?</w:t>
            </w:r>
          </w:p>
          <w:p w14:paraId="3056C3BB" w14:textId="37680221"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Meer specifiek ontvangen wij graag duidelijkheid over de volgende punten:</w:t>
            </w:r>
          </w:p>
          <w:p w14:paraId="0B9FB3A1" w14:textId="619C9E65" w:rsidR="00EB11C0" w:rsidRPr="00393288" w:rsidRDefault="00EB11C0" w:rsidP="00FF070D">
            <w:pPr>
              <w:pStyle w:val="Lijstalinea"/>
              <w:numPr>
                <w:ilvl w:val="0"/>
                <w:numId w:val="4"/>
              </w:numPr>
              <w:jc w:val="both"/>
              <w:rPr>
                <w:rFonts w:ascii="Aptos" w:eastAsia="Times New Roman" w:hAnsi="Aptos" w:cs="Tahoma"/>
                <w:bCs/>
                <w:sz w:val="20"/>
                <w:szCs w:val="20"/>
              </w:rPr>
            </w:pPr>
            <w:r w:rsidRPr="00393288">
              <w:rPr>
                <w:rFonts w:ascii="Aptos" w:eastAsia="Times New Roman" w:hAnsi="Aptos" w:cs="Tahoma"/>
                <w:bCs/>
                <w:sz w:val="20"/>
                <w:szCs w:val="20"/>
              </w:rPr>
              <w:t xml:space="preserve">Verwacht u dat opdrachtnemer technisch koppelt met een extern bestelportaal (bijvoorbeeld </w:t>
            </w:r>
            <w:proofErr w:type="spellStart"/>
            <w:r w:rsidRPr="00393288">
              <w:rPr>
                <w:rFonts w:ascii="Aptos" w:eastAsia="Times New Roman" w:hAnsi="Aptos" w:cs="Tahoma"/>
                <w:bCs/>
                <w:sz w:val="20"/>
                <w:szCs w:val="20"/>
              </w:rPr>
              <w:t>Learnav</w:t>
            </w:r>
            <w:proofErr w:type="spellEnd"/>
            <w:r w:rsidRPr="00393288">
              <w:rPr>
                <w:rFonts w:ascii="Aptos" w:eastAsia="Times New Roman" w:hAnsi="Aptos" w:cs="Tahoma"/>
                <w:bCs/>
                <w:sz w:val="20"/>
                <w:szCs w:val="20"/>
              </w:rPr>
              <w:t xml:space="preserve"> of een vergelijkbaar systeem), waarbij bestellingen beveiligd door de school worden geplaatst?</w:t>
            </w:r>
          </w:p>
          <w:p w14:paraId="08BAE109" w14:textId="77777777" w:rsidR="00EB11C0" w:rsidRPr="00393288" w:rsidRDefault="00EB11C0" w:rsidP="00FF070D">
            <w:pPr>
              <w:jc w:val="both"/>
              <w:rPr>
                <w:rFonts w:ascii="Aptos" w:eastAsia="Times New Roman" w:hAnsi="Aptos" w:cs="Tahoma"/>
                <w:bCs/>
                <w:sz w:val="20"/>
                <w:szCs w:val="20"/>
              </w:rPr>
            </w:pPr>
          </w:p>
          <w:p w14:paraId="0457DCEE" w14:textId="45245FEE" w:rsidR="00EB11C0" w:rsidRPr="00393288" w:rsidRDefault="00EB11C0" w:rsidP="00FF070D">
            <w:pPr>
              <w:pStyle w:val="Lijstalinea"/>
              <w:numPr>
                <w:ilvl w:val="0"/>
                <w:numId w:val="4"/>
              </w:numPr>
              <w:jc w:val="both"/>
              <w:rPr>
                <w:rFonts w:ascii="Aptos" w:eastAsia="Times New Roman" w:hAnsi="Aptos" w:cs="Tahoma"/>
                <w:bCs/>
                <w:sz w:val="20"/>
                <w:szCs w:val="20"/>
              </w:rPr>
            </w:pPr>
            <w:r w:rsidRPr="00393288">
              <w:rPr>
                <w:rFonts w:ascii="Aptos" w:eastAsia="Times New Roman" w:hAnsi="Aptos" w:cs="Tahoma"/>
                <w:bCs/>
                <w:sz w:val="20"/>
                <w:szCs w:val="20"/>
              </w:rPr>
              <w:t>Of is het uitgangspunt dat orders op (geanonimiseerd) leerlingniveau vanuit een extern systeem worden aangeleverd bij opdrachtnemer, die deze vervolgens verwerkt voor logistiek, uitlevering en facturatie?</w:t>
            </w:r>
          </w:p>
          <w:p w14:paraId="39C354F4" w14:textId="77777777" w:rsidR="00EB11C0" w:rsidRPr="00393288" w:rsidRDefault="00EB11C0" w:rsidP="00FF070D">
            <w:pPr>
              <w:jc w:val="both"/>
              <w:rPr>
                <w:rFonts w:ascii="Aptos" w:eastAsia="Times New Roman" w:hAnsi="Aptos" w:cs="Tahoma"/>
                <w:bCs/>
                <w:sz w:val="20"/>
                <w:szCs w:val="20"/>
              </w:rPr>
            </w:pPr>
          </w:p>
          <w:p w14:paraId="159EDADA" w14:textId="4A9FE4AF" w:rsidR="00EB11C0" w:rsidRPr="00393288" w:rsidRDefault="00EB11C0" w:rsidP="00FF070D">
            <w:pPr>
              <w:pStyle w:val="Lijstalinea"/>
              <w:numPr>
                <w:ilvl w:val="0"/>
                <w:numId w:val="4"/>
              </w:numPr>
              <w:jc w:val="both"/>
              <w:rPr>
                <w:rFonts w:ascii="Aptos" w:eastAsia="Times New Roman" w:hAnsi="Aptos" w:cs="Tahoma"/>
                <w:bCs/>
                <w:sz w:val="20"/>
                <w:szCs w:val="20"/>
              </w:rPr>
            </w:pPr>
            <w:r w:rsidRPr="00393288">
              <w:rPr>
                <w:rFonts w:ascii="Aptos" w:eastAsia="Times New Roman" w:hAnsi="Aptos" w:cs="Tahoma"/>
                <w:bCs/>
                <w:sz w:val="20"/>
                <w:szCs w:val="20"/>
              </w:rPr>
              <w:lastRenderedPageBreak/>
              <w:t>Welke verantwoordelijkheden blijven in dat scenario expliciet bij opdrachtnemer liggen?</w:t>
            </w:r>
          </w:p>
          <w:p w14:paraId="0A3E983E" w14:textId="77777777" w:rsidR="00EB11C0" w:rsidRPr="00393288" w:rsidRDefault="00EB11C0" w:rsidP="00FF070D">
            <w:pPr>
              <w:jc w:val="both"/>
              <w:rPr>
                <w:rFonts w:ascii="Aptos" w:eastAsia="Times New Roman" w:hAnsi="Aptos" w:cs="Tahoma"/>
                <w:bCs/>
                <w:sz w:val="20"/>
                <w:szCs w:val="20"/>
              </w:rPr>
            </w:pPr>
          </w:p>
          <w:p w14:paraId="4ECAEE40" w14:textId="6F44D0A0" w:rsidR="00EB11C0" w:rsidRPr="00393288" w:rsidRDefault="00EB11C0" w:rsidP="00FF070D">
            <w:pPr>
              <w:pStyle w:val="Lijstalinea"/>
              <w:numPr>
                <w:ilvl w:val="0"/>
                <w:numId w:val="4"/>
              </w:numPr>
              <w:jc w:val="both"/>
              <w:rPr>
                <w:rFonts w:ascii="Aptos" w:eastAsia="Times New Roman" w:hAnsi="Aptos" w:cs="Tahoma"/>
                <w:bCs/>
                <w:sz w:val="20"/>
                <w:szCs w:val="20"/>
              </w:rPr>
            </w:pPr>
            <w:r w:rsidRPr="00393288">
              <w:rPr>
                <w:rFonts w:ascii="Aptos" w:eastAsia="Times New Roman" w:hAnsi="Aptos" w:cs="Tahoma"/>
                <w:bCs/>
                <w:sz w:val="20"/>
                <w:szCs w:val="20"/>
              </w:rPr>
              <w:t>Welke eisen uit het bestek blijven volgens u onverkort van toepassing in dit scenario, en welke (indien van toepassing) niet?</w:t>
            </w:r>
          </w:p>
        </w:tc>
        <w:tc>
          <w:tcPr>
            <w:tcW w:w="1902" w:type="pct"/>
            <w:shd w:val="clear" w:color="auto" w:fill="F1F1F1"/>
          </w:tcPr>
          <w:p w14:paraId="7B6F6E0C" w14:textId="5469E782" w:rsidR="00EB11C0" w:rsidRDefault="00EB11C0" w:rsidP="005B7044">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lastRenderedPageBreak/>
              <w:t>Dit geldt voor een ILF en niet voor een GLF.</w:t>
            </w:r>
          </w:p>
          <w:p w14:paraId="67044083" w14:textId="77777777" w:rsidR="00EB11C0" w:rsidRDefault="00EB11C0" w:rsidP="005B7044">
            <w:pPr>
              <w:rPr>
                <w:rFonts w:ascii="Aptos" w:eastAsia="Times New Roman" w:hAnsi="Aptos" w:cs="Tahoma"/>
                <w:bCs/>
                <w:color w:val="4472C4" w:themeColor="accent1"/>
                <w:sz w:val="20"/>
                <w:szCs w:val="20"/>
              </w:rPr>
            </w:pPr>
          </w:p>
          <w:p w14:paraId="2047376A" w14:textId="239A06D1" w:rsidR="00EB11C0" w:rsidRPr="00625B53" w:rsidRDefault="00EB11C0" w:rsidP="005B7044">
            <w:pPr>
              <w:rPr>
                <w:rFonts w:ascii="Aptos" w:eastAsia="Times New Roman" w:hAnsi="Aptos" w:cs="Tahoma"/>
                <w:bCs/>
                <w:color w:val="4472C4" w:themeColor="accent1"/>
                <w:sz w:val="20"/>
                <w:szCs w:val="20"/>
              </w:rPr>
            </w:pPr>
            <w:r w:rsidRPr="00625B53">
              <w:rPr>
                <w:rFonts w:ascii="Aptos" w:eastAsia="Times New Roman" w:hAnsi="Aptos" w:cs="Tahoma"/>
                <w:bCs/>
                <w:color w:val="4472C4" w:themeColor="accent1"/>
                <w:sz w:val="20"/>
                <w:szCs w:val="20"/>
              </w:rPr>
              <w:t>Alleen bij een ILF kan gekozen worden voor een eigen onafhankelijk bestel- en beheerportaal. Bij een ILF moeten alle gegevens transparant en beschikbaar zijn.</w:t>
            </w:r>
          </w:p>
          <w:p w14:paraId="686DE8AD" w14:textId="6725AF1A" w:rsidR="00EB11C0" w:rsidRPr="007550E7" w:rsidRDefault="00EB11C0" w:rsidP="00BD5A77">
            <w:pPr>
              <w:rPr>
                <w:rFonts w:ascii="Aptos" w:eastAsia="Times New Roman" w:hAnsi="Aptos" w:cs="Tahoma"/>
                <w:bCs/>
                <w:color w:val="4472C4"/>
                <w:sz w:val="20"/>
                <w:szCs w:val="20"/>
              </w:rPr>
            </w:pPr>
          </w:p>
          <w:p w14:paraId="0C3D2374" w14:textId="45C8B5B5" w:rsidR="00EB11C0" w:rsidRPr="007550E7" w:rsidRDefault="00EB11C0" w:rsidP="00BD5A77">
            <w:pPr>
              <w:rPr>
                <w:rFonts w:ascii="Aptos" w:eastAsia="Times New Roman" w:hAnsi="Aptos" w:cs="Tahoma"/>
                <w:bCs/>
                <w:color w:val="4472C4"/>
                <w:sz w:val="20"/>
                <w:szCs w:val="20"/>
              </w:rPr>
            </w:pPr>
            <w:r w:rsidRPr="007550E7">
              <w:rPr>
                <w:rFonts w:ascii="Aptos" w:eastAsia="Times New Roman" w:hAnsi="Aptos" w:cs="Tahoma"/>
                <w:bCs/>
                <w:color w:val="4472C4"/>
                <w:sz w:val="20"/>
                <w:szCs w:val="20"/>
              </w:rPr>
              <w:t>Hiervan is geen sprake bij een GLF.</w:t>
            </w:r>
          </w:p>
          <w:p w14:paraId="2AE11265" w14:textId="457DD71A" w:rsidR="00EB11C0" w:rsidRPr="00625B53" w:rsidRDefault="00EB11C0" w:rsidP="005B7044">
            <w:pPr>
              <w:rPr>
                <w:rFonts w:ascii="Aptos" w:eastAsia="Times New Roman" w:hAnsi="Aptos" w:cs="Tahoma"/>
                <w:bCs/>
                <w:color w:val="4472C4" w:themeColor="accent1"/>
                <w:sz w:val="20"/>
                <w:szCs w:val="20"/>
              </w:rPr>
            </w:pPr>
            <w:r w:rsidRPr="007550E7">
              <w:rPr>
                <w:rFonts w:ascii="Aptos" w:eastAsia="Times New Roman" w:hAnsi="Aptos" w:cs="Tahoma"/>
                <w:bCs/>
                <w:color w:val="4472C4"/>
                <w:sz w:val="20"/>
                <w:szCs w:val="20"/>
              </w:rPr>
              <w:t>Bij een GLF ligt alle zorg bij opdrachtnemer zoals beschreven in PvE en aanbestedingsleidraad</w:t>
            </w:r>
            <w:r w:rsidRPr="00625B53">
              <w:rPr>
                <w:rFonts w:ascii="Aptos" w:eastAsia="Times New Roman" w:hAnsi="Aptos" w:cs="Tahoma"/>
                <w:bCs/>
                <w:color w:val="4472C4" w:themeColor="accent1"/>
                <w:sz w:val="20"/>
                <w:szCs w:val="20"/>
              </w:rPr>
              <w:t>.</w:t>
            </w:r>
          </w:p>
          <w:p w14:paraId="5E05433C" w14:textId="5E356B53" w:rsidR="00EB11C0" w:rsidRPr="007550E7" w:rsidRDefault="00EB11C0" w:rsidP="005B7044">
            <w:pPr>
              <w:rPr>
                <w:rFonts w:ascii="Aptos" w:eastAsia="Times New Roman" w:hAnsi="Aptos" w:cs="Tahoma"/>
                <w:bCs/>
                <w:color w:val="4472C4"/>
                <w:sz w:val="20"/>
                <w:szCs w:val="20"/>
              </w:rPr>
            </w:pPr>
          </w:p>
          <w:p w14:paraId="64BFADA3" w14:textId="08936B1F" w:rsidR="00EB11C0" w:rsidRPr="007550E7" w:rsidRDefault="00EB11C0" w:rsidP="00AE1142">
            <w:pPr>
              <w:pStyle w:val="Lijstalinea"/>
              <w:numPr>
                <w:ilvl w:val="0"/>
                <w:numId w:val="15"/>
              </w:numPr>
              <w:rPr>
                <w:rFonts w:ascii="Aptos" w:eastAsia="Times New Roman" w:hAnsi="Aptos" w:cs="Tahoma"/>
                <w:bCs/>
                <w:color w:val="4472C4"/>
                <w:sz w:val="20"/>
                <w:szCs w:val="20"/>
              </w:rPr>
            </w:pPr>
            <w:r w:rsidRPr="007550E7">
              <w:rPr>
                <w:rFonts w:ascii="Aptos" w:eastAsia="Times New Roman" w:hAnsi="Aptos" w:cs="Tahoma"/>
                <w:bCs/>
                <w:color w:val="4472C4"/>
                <w:sz w:val="20"/>
                <w:szCs w:val="20"/>
              </w:rPr>
              <w:t>ILF: Bij een extern bestelportaal verwachten wij een CSV van de bestelling bij opdrachtnemer te kunnen uploaden.</w:t>
            </w:r>
          </w:p>
          <w:p w14:paraId="1675DAA1" w14:textId="073ED8C1" w:rsidR="00EB11C0" w:rsidRPr="007550E7" w:rsidRDefault="00EB11C0" w:rsidP="002B798C">
            <w:pPr>
              <w:pStyle w:val="Lijstalinea"/>
              <w:numPr>
                <w:ilvl w:val="0"/>
                <w:numId w:val="15"/>
              </w:numPr>
              <w:rPr>
                <w:rFonts w:ascii="Aptos" w:eastAsia="Times New Roman" w:hAnsi="Aptos" w:cs="Tahoma"/>
                <w:bCs/>
                <w:color w:val="4472C4"/>
                <w:sz w:val="20"/>
                <w:szCs w:val="20"/>
              </w:rPr>
            </w:pPr>
            <w:r w:rsidRPr="007550E7">
              <w:rPr>
                <w:rFonts w:ascii="Aptos" w:eastAsia="Times New Roman" w:hAnsi="Aptos" w:cs="Tahoma"/>
                <w:bCs/>
                <w:color w:val="4472C4"/>
                <w:sz w:val="20"/>
                <w:szCs w:val="20"/>
              </w:rPr>
              <w:t xml:space="preserve">ILF: Bij een ILF wordt een bulkbestelling geplaatst en vindt er geen </w:t>
            </w:r>
            <w:proofErr w:type="spellStart"/>
            <w:r w:rsidRPr="007550E7">
              <w:rPr>
                <w:rFonts w:ascii="Aptos" w:eastAsia="Times New Roman" w:hAnsi="Aptos" w:cs="Tahoma"/>
                <w:bCs/>
                <w:color w:val="4472C4"/>
                <w:sz w:val="20"/>
                <w:szCs w:val="20"/>
              </w:rPr>
              <w:t>fijndistributie</w:t>
            </w:r>
            <w:proofErr w:type="spellEnd"/>
            <w:r w:rsidRPr="007550E7">
              <w:rPr>
                <w:rFonts w:ascii="Aptos" w:eastAsia="Times New Roman" w:hAnsi="Aptos" w:cs="Tahoma"/>
                <w:bCs/>
                <w:color w:val="4472C4"/>
                <w:sz w:val="20"/>
                <w:szCs w:val="20"/>
              </w:rPr>
              <w:t xml:space="preserve"> plaats.</w:t>
            </w:r>
          </w:p>
          <w:p w14:paraId="29C168C4" w14:textId="39386887" w:rsidR="00EB11C0" w:rsidRPr="007550E7" w:rsidRDefault="00EB11C0" w:rsidP="002B798C">
            <w:pPr>
              <w:pStyle w:val="Lijstalinea"/>
              <w:numPr>
                <w:ilvl w:val="0"/>
                <w:numId w:val="15"/>
              </w:numPr>
              <w:rPr>
                <w:rFonts w:ascii="Aptos" w:eastAsia="Times New Roman" w:hAnsi="Aptos" w:cs="Tahoma"/>
                <w:bCs/>
                <w:color w:val="4472C4"/>
                <w:sz w:val="20"/>
                <w:szCs w:val="20"/>
              </w:rPr>
            </w:pPr>
            <w:r w:rsidRPr="007550E7">
              <w:rPr>
                <w:rFonts w:ascii="Aptos" w:eastAsia="Times New Roman" w:hAnsi="Aptos" w:cs="Tahoma"/>
                <w:bCs/>
                <w:color w:val="4472C4"/>
                <w:sz w:val="20"/>
                <w:szCs w:val="20"/>
              </w:rPr>
              <w:t>ILF: Alle voorwaarden voor ILF gelden zoals opgenomen in het PvE.</w:t>
            </w:r>
          </w:p>
          <w:p w14:paraId="50E912AE" w14:textId="159BC9FF" w:rsidR="00EB11C0" w:rsidRPr="007550E7" w:rsidRDefault="00EB11C0" w:rsidP="004952E1">
            <w:pPr>
              <w:pStyle w:val="Lijstalinea"/>
              <w:ind w:left="360"/>
              <w:rPr>
                <w:rFonts w:ascii="Aptos" w:eastAsia="Times New Roman" w:hAnsi="Aptos" w:cs="Tahoma"/>
                <w:bCs/>
                <w:color w:val="4472C4"/>
                <w:sz w:val="20"/>
                <w:szCs w:val="20"/>
              </w:rPr>
            </w:pPr>
            <w:r w:rsidRPr="007550E7">
              <w:rPr>
                <w:rFonts w:ascii="Aptos" w:eastAsia="Times New Roman" w:hAnsi="Aptos" w:cs="Tahoma"/>
                <w:bCs/>
                <w:color w:val="4472C4"/>
                <w:sz w:val="20"/>
                <w:szCs w:val="20"/>
              </w:rPr>
              <w:t>GLF: Alle voorwaarden voor GLF gelden zoals opgenomen in het PvE.</w:t>
            </w:r>
          </w:p>
          <w:p w14:paraId="392B71C9" w14:textId="0738A837" w:rsidR="00EB11C0" w:rsidRPr="007550E7" w:rsidRDefault="00EB11C0" w:rsidP="004952E1">
            <w:pPr>
              <w:pStyle w:val="Lijstalinea"/>
              <w:ind w:left="360"/>
              <w:rPr>
                <w:rFonts w:ascii="Aptos" w:eastAsia="Times New Roman" w:hAnsi="Aptos" w:cs="Tahoma"/>
                <w:bCs/>
                <w:color w:val="4472C4"/>
                <w:sz w:val="20"/>
                <w:szCs w:val="20"/>
              </w:rPr>
            </w:pPr>
            <w:r w:rsidRPr="007550E7">
              <w:rPr>
                <w:rFonts w:ascii="Aptos" w:eastAsia="Times New Roman" w:hAnsi="Aptos" w:cs="Tahoma"/>
                <w:bCs/>
                <w:color w:val="4472C4"/>
                <w:sz w:val="20"/>
                <w:szCs w:val="20"/>
              </w:rPr>
              <w:lastRenderedPageBreak/>
              <w:t>Met GLF werken we uitsluitend in het portaal van opdrachtnemer.</w:t>
            </w:r>
          </w:p>
          <w:p w14:paraId="69D1D7A1" w14:textId="01F29D73" w:rsidR="00EB11C0" w:rsidRPr="007550E7" w:rsidRDefault="00EB11C0" w:rsidP="004914E5">
            <w:pPr>
              <w:pStyle w:val="Lijstalinea"/>
              <w:numPr>
                <w:ilvl w:val="0"/>
                <w:numId w:val="15"/>
              </w:numPr>
              <w:rPr>
                <w:rFonts w:ascii="Aptos" w:eastAsia="Times New Roman" w:hAnsi="Aptos" w:cs="Tahoma"/>
                <w:bCs/>
                <w:color w:val="4472C4"/>
                <w:sz w:val="20"/>
                <w:szCs w:val="20"/>
              </w:rPr>
            </w:pPr>
            <w:r w:rsidRPr="007550E7">
              <w:rPr>
                <w:rFonts w:ascii="Aptos" w:eastAsia="Times New Roman" w:hAnsi="Aptos" w:cs="Tahoma"/>
                <w:bCs/>
                <w:color w:val="4472C4"/>
                <w:sz w:val="20"/>
                <w:szCs w:val="20"/>
              </w:rPr>
              <w:t>Alle eisen.</w:t>
            </w:r>
          </w:p>
          <w:p w14:paraId="41D824A1" w14:textId="77777777" w:rsidR="00EB11C0" w:rsidRPr="007550E7" w:rsidRDefault="00EB11C0" w:rsidP="00BD5A77">
            <w:pPr>
              <w:rPr>
                <w:rFonts w:ascii="Aptos" w:eastAsia="Times New Roman" w:hAnsi="Aptos" w:cs="Tahoma"/>
                <w:bCs/>
                <w:color w:val="4472C4"/>
                <w:sz w:val="20"/>
                <w:szCs w:val="20"/>
              </w:rPr>
            </w:pPr>
          </w:p>
          <w:p w14:paraId="29406906" w14:textId="77777777" w:rsidR="00EB11C0" w:rsidRPr="00ED09A4" w:rsidRDefault="00EB11C0" w:rsidP="00BD5A77">
            <w:pPr>
              <w:rPr>
                <w:rFonts w:ascii="Aptos" w:eastAsia="Times New Roman" w:hAnsi="Aptos" w:cs="Tahoma"/>
                <w:bCs/>
                <w:color w:val="0070C0"/>
                <w:sz w:val="20"/>
                <w:szCs w:val="20"/>
              </w:rPr>
            </w:pPr>
          </w:p>
          <w:p w14:paraId="08C09E56" w14:textId="6F1818CB" w:rsidR="00EB11C0" w:rsidRPr="002F2F91" w:rsidRDefault="00EB11C0" w:rsidP="005B7044">
            <w:pPr>
              <w:rPr>
                <w:rFonts w:ascii="Aptos" w:eastAsia="Times New Roman" w:hAnsi="Aptos" w:cs="Tahoma"/>
                <w:bCs/>
                <w:color w:val="4472C4" w:themeColor="accent1"/>
                <w:sz w:val="20"/>
                <w:szCs w:val="20"/>
              </w:rPr>
            </w:pPr>
          </w:p>
        </w:tc>
      </w:tr>
      <w:tr w:rsidR="00EB11C0" w:rsidRPr="00DA15B4" w14:paraId="33944B50" w14:textId="0137BB64" w:rsidTr="00EB11C0">
        <w:trPr>
          <w:trHeight w:val="244"/>
        </w:trPr>
        <w:tc>
          <w:tcPr>
            <w:tcW w:w="188" w:type="pct"/>
            <w:gridSpan w:val="2"/>
            <w:shd w:val="clear" w:color="auto" w:fill="2B4155"/>
          </w:tcPr>
          <w:p w14:paraId="11B3BC2D" w14:textId="77777777" w:rsidR="00EB11C0" w:rsidRPr="00393288" w:rsidRDefault="00EB11C0" w:rsidP="00FF070D">
            <w:pPr>
              <w:jc w:val="both"/>
              <w:rPr>
                <w:rFonts w:ascii="Aptos" w:eastAsia="Times New Roman" w:hAnsi="Aptos" w:cs="Tahoma"/>
                <w:b/>
                <w:color w:val="FFFFFF" w:themeColor="background1"/>
                <w:sz w:val="20"/>
                <w:szCs w:val="20"/>
              </w:rPr>
            </w:pPr>
          </w:p>
        </w:tc>
        <w:tc>
          <w:tcPr>
            <w:tcW w:w="363" w:type="pct"/>
            <w:shd w:val="clear" w:color="auto" w:fill="2B4155"/>
          </w:tcPr>
          <w:p w14:paraId="3746CA6A" w14:textId="77777777" w:rsidR="00EB11C0" w:rsidRPr="00393288" w:rsidRDefault="00EB11C0" w:rsidP="00FF070D">
            <w:pPr>
              <w:jc w:val="both"/>
              <w:rPr>
                <w:rFonts w:ascii="Aptos" w:eastAsia="Times New Roman" w:hAnsi="Aptos" w:cs="Tahoma"/>
                <w:b/>
                <w:color w:val="FFFFFF" w:themeColor="background1"/>
                <w:sz w:val="20"/>
                <w:szCs w:val="20"/>
              </w:rPr>
            </w:pPr>
          </w:p>
        </w:tc>
        <w:tc>
          <w:tcPr>
            <w:tcW w:w="353" w:type="pct"/>
            <w:shd w:val="clear" w:color="auto" w:fill="2B4155"/>
          </w:tcPr>
          <w:p w14:paraId="430850A6" w14:textId="2730AEEF" w:rsidR="00EB11C0" w:rsidRPr="00393288" w:rsidRDefault="00EB11C0" w:rsidP="00FF070D">
            <w:pPr>
              <w:jc w:val="both"/>
              <w:rPr>
                <w:rFonts w:ascii="Aptos" w:eastAsia="Times New Roman" w:hAnsi="Aptos" w:cs="Tahoma"/>
                <w:b/>
                <w:color w:val="FFFFFF" w:themeColor="background1"/>
                <w:sz w:val="20"/>
                <w:szCs w:val="20"/>
              </w:rPr>
            </w:pPr>
          </w:p>
        </w:tc>
        <w:tc>
          <w:tcPr>
            <w:tcW w:w="4097" w:type="pct"/>
            <w:gridSpan w:val="2"/>
            <w:shd w:val="clear" w:color="auto" w:fill="2B4155"/>
          </w:tcPr>
          <w:p w14:paraId="68522CF9" w14:textId="336C5993" w:rsidR="00EB11C0" w:rsidRPr="00393288" w:rsidRDefault="00EB11C0" w:rsidP="00FF070D">
            <w:pPr>
              <w:jc w:val="both"/>
              <w:rPr>
                <w:rFonts w:ascii="Aptos" w:eastAsia="Times New Roman" w:hAnsi="Aptos" w:cs="Tahoma"/>
                <w:b/>
                <w:color w:val="FFFFFF" w:themeColor="background1"/>
                <w:sz w:val="20"/>
                <w:szCs w:val="20"/>
              </w:rPr>
            </w:pPr>
            <w:r w:rsidRPr="00393288">
              <w:rPr>
                <w:rFonts w:ascii="Aptos" w:eastAsia="Times New Roman" w:hAnsi="Aptos" w:cs="Tahoma"/>
                <w:b/>
                <w:color w:val="FFFFFF" w:themeColor="background1"/>
                <w:sz w:val="20"/>
                <w:szCs w:val="20"/>
              </w:rPr>
              <w:t>Bijlage 1. Programma van Eisen</w:t>
            </w:r>
          </w:p>
        </w:tc>
      </w:tr>
      <w:tr w:rsidR="00EB11C0" w:rsidRPr="00DE7320" w14:paraId="02E17060" w14:textId="1194F4B7" w:rsidTr="00EB11C0">
        <w:trPr>
          <w:trHeight w:val="244"/>
        </w:trPr>
        <w:tc>
          <w:tcPr>
            <w:tcW w:w="177" w:type="pct"/>
            <w:shd w:val="clear" w:color="auto" w:fill="C0C5CC"/>
          </w:tcPr>
          <w:p w14:paraId="4D09F649" w14:textId="66322162" w:rsidR="00EB11C0" w:rsidRPr="00393288" w:rsidRDefault="00EB11C0" w:rsidP="00FF070D">
            <w:pPr>
              <w:pStyle w:val="Lijstalinea"/>
              <w:numPr>
                <w:ilvl w:val="0"/>
                <w:numId w:val="1"/>
              </w:numPr>
              <w:jc w:val="both"/>
              <w:rPr>
                <w:rFonts w:ascii="Aptos" w:eastAsia="Times New Roman" w:hAnsi="Aptos" w:cs="Tahoma"/>
                <w:bCs/>
                <w:sz w:val="20"/>
                <w:szCs w:val="20"/>
              </w:rPr>
            </w:pPr>
          </w:p>
        </w:tc>
        <w:tc>
          <w:tcPr>
            <w:tcW w:w="373" w:type="pct"/>
            <w:gridSpan w:val="2"/>
          </w:tcPr>
          <w:p w14:paraId="3628E387" w14:textId="2FE2DB70" w:rsidR="00EB11C0" w:rsidRPr="00393288" w:rsidRDefault="00EB11C0" w:rsidP="00FF070D">
            <w:pPr>
              <w:jc w:val="both"/>
              <w:rPr>
                <w:rFonts w:ascii="Aptos" w:eastAsia="Times New Roman" w:hAnsi="Aptos" w:cs="Tahoma"/>
                <w:bCs/>
                <w:sz w:val="20"/>
                <w:szCs w:val="20"/>
              </w:rPr>
            </w:pPr>
            <w:proofErr w:type="spellStart"/>
            <w:r w:rsidRPr="00393288">
              <w:rPr>
                <w:rFonts w:ascii="Aptos" w:eastAsia="Times New Roman" w:hAnsi="Aptos" w:cs="Tahoma"/>
                <w:bCs/>
                <w:sz w:val="20"/>
                <w:szCs w:val="20"/>
              </w:rPr>
              <w:t>NvI</w:t>
            </w:r>
            <w:proofErr w:type="spellEnd"/>
            <w:r>
              <w:rPr>
                <w:rFonts w:ascii="Aptos" w:eastAsia="Times New Roman" w:hAnsi="Aptos" w:cs="Tahoma"/>
                <w:bCs/>
                <w:sz w:val="20"/>
                <w:szCs w:val="20"/>
              </w:rPr>
              <w:t xml:space="preserve"> </w:t>
            </w:r>
            <w:r w:rsidRPr="00393288">
              <w:rPr>
                <w:rFonts w:ascii="Aptos" w:eastAsia="Times New Roman" w:hAnsi="Aptos" w:cs="Tahoma"/>
                <w:bCs/>
                <w:sz w:val="20"/>
                <w:szCs w:val="20"/>
              </w:rPr>
              <w:t>1 vraag/ antwoord 47</w:t>
            </w:r>
          </w:p>
        </w:tc>
        <w:tc>
          <w:tcPr>
            <w:tcW w:w="353" w:type="pct"/>
          </w:tcPr>
          <w:p w14:paraId="0BB09395" w14:textId="5B8B5043" w:rsidR="00EB11C0" w:rsidRPr="00393288" w:rsidRDefault="00EB11C0" w:rsidP="00FF070D">
            <w:pPr>
              <w:jc w:val="both"/>
              <w:rPr>
                <w:rFonts w:ascii="Aptos" w:eastAsia="Times New Roman" w:hAnsi="Aptos" w:cs="Tahoma"/>
                <w:bCs/>
                <w:sz w:val="20"/>
                <w:szCs w:val="20"/>
              </w:rPr>
            </w:pPr>
            <w:r>
              <w:rPr>
                <w:rFonts w:ascii="Aptos" w:eastAsia="Times New Roman" w:hAnsi="Aptos" w:cs="Tahoma"/>
                <w:bCs/>
                <w:sz w:val="20"/>
                <w:szCs w:val="20"/>
              </w:rPr>
              <w:t>E</w:t>
            </w:r>
            <w:r w:rsidRPr="00393288">
              <w:rPr>
                <w:rFonts w:ascii="Aptos" w:eastAsia="Times New Roman" w:hAnsi="Aptos" w:cs="Tahoma"/>
                <w:bCs/>
                <w:sz w:val="20"/>
                <w:szCs w:val="20"/>
              </w:rPr>
              <w:t xml:space="preserve">is 51 PvE (par. 5.5.2, pag. 14 </w:t>
            </w:r>
            <w:proofErr w:type="spellStart"/>
            <w:r w:rsidRPr="00393288">
              <w:rPr>
                <w:rFonts w:ascii="Aptos" w:eastAsia="Times New Roman" w:hAnsi="Aptos" w:cs="Tahoma"/>
                <w:bCs/>
                <w:sz w:val="20"/>
                <w:szCs w:val="20"/>
              </w:rPr>
              <w:t>aanb</w:t>
            </w:r>
            <w:proofErr w:type="spellEnd"/>
            <w:r w:rsidRPr="00393288">
              <w:rPr>
                <w:rFonts w:ascii="Aptos" w:eastAsia="Times New Roman" w:hAnsi="Aptos" w:cs="Tahoma"/>
                <w:bCs/>
                <w:sz w:val="20"/>
                <w:szCs w:val="20"/>
              </w:rPr>
              <w:t>. leidraad)</w:t>
            </w:r>
          </w:p>
        </w:tc>
        <w:tc>
          <w:tcPr>
            <w:tcW w:w="2195" w:type="pct"/>
          </w:tcPr>
          <w:p w14:paraId="7FFBE69D" w14:textId="37F4A9E1"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Kunt u onderbouwen waarom een minimumkorting van 11% (</w:t>
            </w:r>
            <w:proofErr w:type="spellStart"/>
            <w:r w:rsidRPr="00393288">
              <w:rPr>
                <w:rFonts w:ascii="Aptos" w:eastAsia="Times New Roman" w:hAnsi="Aptos" w:cs="Tahoma"/>
                <w:bCs/>
                <w:sz w:val="20"/>
                <w:szCs w:val="20"/>
              </w:rPr>
              <w:t>lifo</w:t>
            </w:r>
            <w:proofErr w:type="spellEnd"/>
            <w:r w:rsidRPr="00393288">
              <w:rPr>
                <w:rFonts w:ascii="Aptos" w:eastAsia="Times New Roman" w:hAnsi="Aptos" w:cs="Tahoma"/>
                <w:bCs/>
                <w:sz w:val="20"/>
                <w:szCs w:val="20"/>
              </w:rPr>
              <w:t>) en 15% (folio) proportioneel en noodzakelijk is voor de uitvoering van de opdracht? Volgens de Aanbestedingswet moeten minimumeisen objectief, proportioneel en marktrelevant zijn. Wij verzoeken u toe te lichten op basis waarvan deze specifieke percentages zijn vastgesteld.</w:t>
            </w:r>
          </w:p>
        </w:tc>
        <w:tc>
          <w:tcPr>
            <w:tcW w:w="1902" w:type="pct"/>
            <w:shd w:val="clear" w:color="auto" w:fill="F1F1F1"/>
          </w:tcPr>
          <w:p w14:paraId="77103F99" w14:textId="7A9A9C4D" w:rsidR="00EB11C0" w:rsidRPr="00E127A9" w:rsidRDefault="00EB11C0" w:rsidP="00FF070D">
            <w:pPr>
              <w:jc w:val="both"/>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Zie antwoord op vraag 1.</w:t>
            </w:r>
          </w:p>
        </w:tc>
      </w:tr>
      <w:tr w:rsidR="00EB11C0" w:rsidRPr="00DE7320" w14:paraId="643CCA58" w14:textId="03F0F1C4" w:rsidTr="00EB11C0">
        <w:trPr>
          <w:trHeight w:val="244"/>
        </w:trPr>
        <w:tc>
          <w:tcPr>
            <w:tcW w:w="177" w:type="pct"/>
            <w:shd w:val="clear" w:color="auto" w:fill="C0C5CC"/>
          </w:tcPr>
          <w:p w14:paraId="512151D7" w14:textId="55BD3046" w:rsidR="00EB11C0" w:rsidRPr="00393288" w:rsidRDefault="00EB11C0" w:rsidP="00FF070D">
            <w:pPr>
              <w:pStyle w:val="Lijstalinea"/>
              <w:numPr>
                <w:ilvl w:val="0"/>
                <w:numId w:val="1"/>
              </w:numPr>
              <w:jc w:val="both"/>
              <w:rPr>
                <w:rFonts w:ascii="Aptos" w:eastAsia="Times New Roman" w:hAnsi="Aptos" w:cs="Tahoma"/>
                <w:bCs/>
                <w:sz w:val="20"/>
                <w:szCs w:val="20"/>
              </w:rPr>
            </w:pPr>
          </w:p>
        </w:tc>
        <w:tc>
          <w:tcPr>
            <w:tcW w:w="373" w:type="pct"/>
            <w:gridSpan w:val="2"/>
          </w:tcPr>
          <w:p w14:paraId="23855342" w14:textId="5562A85E" w:rsidR="00EB11C0" w:rsidRPr="00393288" w:rsidRDefault="00EB11C0" w:rsidP="00FF070D">
            <w:pPr>
              <w:jc w:val="both"/>
              <w:rPr>
                <w:rFonts w:ascii="Aptos" w:eastAsia="Times New Roman" w:hAnsi="Aptos" w:cs="Tahoma"/>
                <w:bCs/>
                <w:sz w:val="20"/>
                <w:szCs w:val="20"/>
              </w:rPr>
            </w:pPr>
            <w:proofErr w:type="spellStart"/>
            <w:r w:rsidRPr="00393288">
              <w:rPr>
                <w:rFonts w:ascii="Aptos" w:eastAsia="Times New Roman" w:hAnsi="Aptos" w:cs="Tahoma"/>
                <w:bCs/>
                <w:sz w:val="20"/>
                <w:szCs w:val="20"/>
              </w:rPr>
              <w:t>NvI</w:t>
            </w:r>
            <w:proofErr w:type="spellEnd"/>
            <w:r>
              <w:rPr>
                <w:rFonts w:ascii="Aptos" w:eastAsia="Times New Roman" w:hAnsi="Aptos" w:cs="Tahoma"/>
                <w:bCs/>
                <w:sz w:val="20"/>
                <w:szCs w:val="20"/>
              </w:rPr>
              <w:t xml:space="preserve"> </w:t>
            </w:r>
            <w:r w:rsidRPr="00393288">
              <w:rPr>
                <w:rFonts w:ascii="Aptos" w:eastAsia="Times New Roman" w:hAnsi="Aptos" w:cs="Tahoma"/>
                <w:bCs/>
                <w:sz w:val="20"/>
                <w:szCs w:val="20"/>
              </w:rPr>
              <w:t>1 vraag/ antwoord 47</w:t>
            </w:r>
          </w:p>
        </w:tc>
        <w:tc>
          <w:tcPr>
            <w:tcW w:w="353" w:type="pct"/>
          </w:tcPr>
          <w:p w14:paraId="5DB517B8" w14:textId="11CF9046" w:rsidR="00EB11C0" w:rsidRPr="00393288" w:rsidRDefault="00EB11C0" w:rsidP="00FF070D">
            <w:pPr>
              <w:jc w:val="both"/>
              <w:rPr>
                <w:rFonts w:ascii="Aptos" w:eastAsia="Times New Roman" w:hAnsi="Aptos" w:cs="Tahoma"/>
                <w:bCs/>
                <w:sz w:val="20"/>
                <w:szCs w:val="20"/>
              </w:rPr>
            </w:pPr>
            <w:r>
              <w:rPr>
                <w:rFonts w:ascii="Aptos" w:eastAsia="Times New Roman" w:hAnsi="Aptos" w:cs="Tahoma"/>
                <w:bCs/>
                <w:sz w:val="20"/>
                <w:szCs w:val="20"/>
              </w:rPr>
              <w:t>E</w:t>
            </w:r>
            <w:r w:rsidRPr="00393288">
              <w:rPr>
                <w:rFonts w:ascii="Aptos" w:eastAsia="Times New Roman" w:hAnsi="Aptos" w:cs="Tahoma"/>
                <w:bCs/>
                <w:sz w:val="20"/>
                <w:szCs w:val="20"/>
              </w:rPr>
              <w:t xml:space="preserve">is 51 PvE (par. 5.5.2, pag. 14 </w:t>
            </w:r>
            <w:proofErr w:type="spellStart"/>
            <w:r w:rsidRPr="00393288">
              <w:rPr>
                <w:rFonts w:ascii="Aptos" w:eastAsia="Times New Roman" w:hAnsi="Aptos" w:cs="Tahoma"/>
                <w:bCs/>
                <w:sz w:val="20"/>
                <w:szCs w:val="20"/>
              </w:rPr>
              <w:t>aanb</w:t>
            </w:r>
            <w:proofErr w:type="spellEnd"/>
            <w:r w:rsidRPr="00393288">
              <w:rPr>
                <w:rFonts w:ascii="Aptos" w:eastAsia="Times New Roman" w:hAnsi="Aptos" w:cs="Tahoma"/>
                <w:bCs/>
                <w:sz w:val="20"/>
                <w:szCs w:val="20"/>
              </w:rPr>
              <w:t>. leidraad)</w:t>
            </w:r>
          </w:p>
        </w:tc>
        <w:tc>
          <w:tcPr>
            <w:tcW w:w="2195" w:type="pct"/>
          </w:tcPr>
          <w:p w14:paraId="349C3673" w14:textId="08D7D840" w:rsidR="00EB11C0" w:rsidRPr="00393288" w:rsidRDefault="00EB11C0" w:rsidP="00FF070D">
            <w:pPr>
              <w:jc w:val="both"/>
              <w:rPr>
                <w:rFonts w:ascii="Aptos" w:eastAsia="Times New Roman" w:hAnsi="Aptos" w:cs="Tahoma"/>
                <w:bCs/>
                <w:sz w:val="20"/>
                <w:szCs w:val="20"/>
              </w:rPr>
            </w:pPr>
            <w:r w:rsidRPr="00393288">
              <w:rPr>
                <w:rFonts w:ascii="Aptos" w:eastAsia="Times New Roman" w:hAnsi="Aptos" w:cs="Tahoma"/>
                <w:bCs/>
                <w:sz w:val="20"/>
                <w:szCs w:val="20"/>
              </w:rPr>
              <w:t>Kunt u bevestigen dat deze minimumkortingspercentages geen onbedoelde beperking van de mededinging veroorzaken? Een vaste ondergrens kan bepaalde marktpartijen uitsluiten, terwijl het doel van aanbesteding juist brede toegang is. Is onderzocht of deze eisen aansluiten bij het prijsniveau dat in de markt gangbaar en haalbaar is?</w:t>
            </w:r>
          </w:p>
        </w:tc>
        <w:tc>
          <w:tcPr>
            <w:tcW w:w="1902" w:type="pct"/>
            <w:shd w:val="clear" w:color="auto" w:fill="F1F1F1"/>
          </w:tcPr>
          <w:p w14:paraId="4E18F475" w14:textId="5F91B763" w:rsidR="00EB11C0" w:rsidRPr="00F97078" w:rsidRDefault="00EB11C0" w:rsidP="00645910">
            <w:pPr>
              <w:rPr>
                <w:rFonts w:ascii="Aptos" w:eastAsia="Times New Roman" w:hAnsi="Aptos" w:cs="Tahoma"/>
                <w:bCs/>
                <w:color w:val="4472C4" w:themeColor="accent1"/>
                <w:sz w:val="20"/>
                <w:szCs w:val="20"/>
              </w:rPr>
            </w:pPr>
            <w:r>
              <w:rPr>
                <w:rFonts w:ascii="Aptos" w:eastAsia="Times New Roman" w:hAnsi="Aptos" w:cs="Tahoma"/>
                <w:bCs/>
                <w:color w:val="4472C4" w:themeColor="accent1"/>
                <w:sz w:val="20"/>
                <w:szCs w:val="20"/>
              </w:rPr>
              <w:t xml:space="preserve">Zie antwoord op vraag 1. </w:t>
            </w:r>
          </w:p>
          <w:p w14:paraId="676EF289" w14:textId="77777777" w:rsidR="00EB11C0" w:rsidRDefault="00EB11C0" w:rsidP="00645910">
            <w:pPr>
              <w:rPr>
                <w:rFonts w:ascii="Aptos" w:eastAsia="Times New Roman" w:hAnsi="Aptos" w:cs="Tahoma"/>
                <w:bCs/>
                <w:color w:val="EE0000"/>
                <w:sz w:val="20"/>
                <w:szCs w:val="20"/>
              </w:rPr>
            </w:pPr>
          </w:p>
          <w:p w14:paraId="398B88BE" w14:textId="4E5C4E73" w:rsidR="00EB11C0" w:rsidRPr="00393288" w:rsidRDefault="00EB11C0" w:rsidP="00ED09A4">
            <w:pPr>
              <w:rPr>
                <w:rFonts w:ascii="Aptos" w:eastAsia="Times New Roman" w:hAnsi="Aptos" w:cs="Tahoma"/>
                <w:bCs/>
                <w:sz w:val="20"/>
                <w:szCs w:val="20"/>
              </w:rPr>
            </w:pPr>
          </w:p>
        </w:tc>
      </w:tr>
      <w:tr w:rsidR="00EB11C0" w:rsidRPr="00DE7320" w14:paraId="27C49A5D" w14:textId="77777777" w:rsidTr="00EB11C0">
        <w:trPr>
          <w:trHeight w:val="244"/>
        </w:trPr>
        <w:tc>
          <w:tcPr>
            <w:tcW w:w="177" w:type="pct"/>
            <w:shd w:val="clear" w:color="auto" w:fill="C0C5CC"/>
          </w:tcPr>
          <w:p w14:paraId="02C17280" w14:textId="77777777" w:rsidR="00EB11C0" w:rsidRPr="00393288" w:rsidRDefault="00EB11C0" w:rsidP="00326521">
            <w:pPr>
              <w:pStyle w:val="Lijstalinea"/>
              <w:numPr>
                <w:ilvl w:val="0"/>
                <w:numId w:val="1"/>
              </w:numPr>
              <w:jc w:val="both"/>
              <w:rPr>
                <w:rFonts w:ascii="Aptos" w:eastAsia="Times New Roman" w:hAnsi="Aptos" w:cs="Tahoma"/>
                <w:bCs/>
                <w:sz w:val="20"/>
                <w:szCs w:val="20"/>
              </w:rPr>
            </w:pPr>
          </w:p>
        </w:tc>
        <w:tc>
          <w:tcPr>
            <w:tcW w:w="373" w:type="pct"/>
            <w:gridSpan w:val="2"/>
          </w:tcPr>
          <w:p w14:paraId="52524DD9" w14:textId="292F3125" w:rsidR="00EB11C0" w:rsidRPr="00393288" w:rsidRDefault="00EB11C0" w:rsidP="00326521">
            <w:pPr>
              <w:jc w:val="both"/>
              <w:rPr>
                <w:rFonts w:ascii="Aptos" w:eastAsia="Times New Roman" w:hAnsi="Aptos" w:cs="Tahoma"/>
                <w:bCs/>
                <w:sz w:val="20"/>
                <w:szCs w:val="20"/>
              </w:rPr>
            </w:pPr>
            <w:proofErr w:type="spellStart"/>
            <w:r w:rsidRPr="00393288">
              <w:rPr>
                <w:rFonts w:ascii="Aptos" w:eastAsia="Times New Roman" w:hAnsi="Aptos" w:cs="Tahoma"/>
                <w:bCs/>
                <w:sz w:val="20"/>
                <w:szCs w:val="20"/>
              </w:rPr>
              <w:t>NvI</w:t>
            </w:r>
            <w:proofErr w:type="spellEnd"/>
            <w:r>
              <w:rPr>
                <w:rFonts w:ascii="Aptos" w:eastAsia="Times New Roman" w:hAnsi="Aptos" w:cs="Tahoma"/>
                <w:bCs/>
                <w:sz w:val="20"/>
                <w:szCs w:val="20"/>
              </w:rPr>
              <w:t xml:space="preserve"> </w:t>
            </w:r>
            <w:r w:rsidRPr="00393288">
              <w:rPr>
                <w:rFonts w:ascii="Aptos" w:eastAsia="Times New Roman" w:hAnsi="Aptos" w:cs="Tahoma"/>
                <w:bCs/>
                <w:sz w:val="20"/>
                <w:szCs w:val="20"/>
              </w:rPr>
              <w:t xml:space="preserve">1 vraag/ antwoord 49 </w:t>
            </w:r>
          </w:p>
        </w:tc>
        <w:tc>
          <w:tcPr>
            <w:tcW w:w="353" w:type="pct"/>
          </w:tcPr>
          <w:p w14:paraId="3A816443" w14:textId="77777777" w:rsidR="00EB11C0" w:rsidRDefault="00EB11C0" w:rsidP="00326521">
            <w:pPr>
              <w:jc w:val="both"/>
              <w:rPr>
                <w:rFonts w:ascii="Aptos" w:eastAsia="Times New Roman" w:hAnsi="Aptos" w:cs="Tahoma"/>
                <w:bCs/>
                <w:sz w:val="20"/>
                <w:szCs w:val="20"/>
              </w:rPr>
            </w:pPr>
          </w:p>
        </w:tc>
        <w:tc>
          <w:tcPr>
            <w:tcW w:w="2195" w:type="pct"/>
          </w:tcPr>
          <w:p w14:paraId="127D1942" w14:textId="77777777" w:rsidR="00EB11C0" w:rsidRPr="00393288" w:rsidRDefault="00EB11C0" w:rsidP="00326521">
            <w:pPr>
              <w:jc w:val="both"/>
              <w:rPr>
                <w:rFonts w:ascii="Aptos" w:eastAsia="Times New Roman" w:hAnsi="Aptos" w:cs="Tahoma"/>
                <w:bCs/>
                <w:sz w:val="20"/>
                <w:szCs w:val="20"/>
              </w:rPr>
            </w:pPr>
            <w:r w:rsidRPr="00393288">
              <w:rPr>
                <w:rFonts w:ascii="Aptos" w:eastAsia="Times New Roman" w:hAnsi="Aptos" w:cs="Tahoma"/>
                <w:bCs/>
                <w:sz w:val="20"/>
                <w:szCs w:val="20"/>
              </w:rPr>
              <w:t xml:space="preserve">Wij begrijpen dat u op dit moment niet akkoord gaat met het betalen van een voorschot en dat u jaarlijks een besluit wilt kunnen nemen. </w:t>
            </w:r>
          </w:p>
          <w:p w14:paraId="643EB105" w14:textId="77777777" w:rsidR="00EB11C0" w:rsidRPr="00393288" w:rsidRDefault="00EB11C0" w:rsidP="00326521">
            <w:pPr>
              <w:jc w:val="both"/>
              <w:rPr>
                <w:rFonts w:ascii="Aptos" w:eastAsia="Times New Roman" w:hAnsi="Aptos" w:cs="Tahoma"/>
                <w:bCs/>
                <w:sz w:val="20"/>
                <w:szCs w:val="20"/>
              </w:rPr>
            </w:pPr>
            <w:r w:rsidRPr="00393288">
              <w:rPr>
                <w:rFonts w:ascii="Aptos" w:eastAsia="Times New Roman" w:hAnsi="Aptos" w:cs="Tahoma"/>
                <w:bCs/>
                <w:sz w:val="20"/>
                <w:szCs w:val="20"/>
              </w:rPr>
              <w:t>Voor opdrachtnemer is vooruitbetaling essentieel om de continuïteit, leveringszekerheid en financiële stabiliteit van de dienstverlening te kunnen waarborgen. Dit is niet alleen in het belang van opdrachtnemer, maar nadrukkelijk ook in het belang van opdrachtgever en de aangesloten scholen, omdat hiermee risico’s in de keten worden beperkt.</w:t>
            </w:r>
          </w:p>
          <w:p w14:paraId="541A07EC" w14:textId="77777777" w:rsidR="00EB11C0" w:rsidRPr="00393288" w:rsidRDefault="00EB11C0" w:rsidP="00326521">
            <w:pPr>
              <w:jc w:val="both"/>
              <w:rPr>
                <w:rFonts w:ascii="Aptos" w:eastAsia="Times New Roman" w:hAnsi="Aptos" w:cs="Tahoma"/>
                <w:bCs/>
                <w:sz w:val="20"/>
                <w:szCs w:val="20"/>
              </w:rPr>
            </w:pPr>
          </w:p>
          <w:p w14:paraId="05AED349" w14:textId="77777777" w:rsidR="00EB11C0" w:rsidRPr="00393288" w:rsidRDefault="00EB11C0" w:rsidP="00326521">
            <w:pPr>
              <w:jc w:val="both"/>
              <w:rPr>
                <w:rFonts w:ascii="Aptos" w:eastAsia="Times New Roman" w:hAnsi="Aptos" w:cs="Tahoma"/>
                <w:bCs/>
                <w:sz w:val="20"/>
                <w:szCs w:val="20"/>
              </w:rPr>
            </w:pPr>
            <w:r w:rsidRPr="00393288">
              <w:rPr>
                <w:rFonts w:ascii="Aptos" w:eastAsia="Times New Roman" w:hAnsi="Aptos" w:cs="Tahoma"/>
                <w:bCs/>
                <w:sz w:val="20"/>
                <w:szCs w:val="20"/>
              </w:rPr>
              <w:t>Daarnaast wijzen wij erop dat vooruitbetaling een breed geaccepteerde en door publieke partijen en leveranciers onderschreven werkwijze is binnen het Convenant Robuuste Keten, dat wordt gesteund door het Ministerie van OCW. In dit kader toetst SIVON-leveranciers streng op financiële betrouwbaarheid. Indien een leverancier door SIVON positief wordt beoordeeld, adviseert SIVON-scholen expliciet om vooruitbetaling toe te passen als onderdeel van robuuste ketenafspraken.</w:t>
            </w:r>
          </w:p>
          <w:p w14:paraId="1EEC563D" w14:textId="77777777" w:rsidR="00EB11C0" w:rsidRPr="00393288" w:rsidRDefault="00EB11C0" w:rsidP="00326521">
            <w:pPr>
              <w:jc w:val="both"/>
              <w:rPr>
                <w:rFonts w:ascii="Aptos" w:eastAsia="Times New Roman" w:hAnsi="Aptos" w:cs="Tahoma"/>
                <w:bCs/>
                <w:sz w:val="20"/>
                <w:szCs w:val="20"/>
              </w:rPr>
            </w:pPr>
          </w:p>
          <w:p w14:paraId="6BB516E8" w14:textId="77777777" w:rsidR="00EB11C0" w:rsidRPr="00393288" w:rsidRDefault="00EB11C0" w:rsidP="00326521">
            <w:pPr>
              <w:jc w:val="both"/>
              <w:rPr>
                <w:rFonts w:ascii="Aptos" w:eastAsia="Times New Roman" w:hAnsi="Aptos" w:cs="Tahoma"/>
                <w:bCs/>
                <w:sz w:val="20"/>
                <w:szCs w:val="20"/>
              </w:rPr>
            </w:pPr>
            <w:r w:rsidRPr="00393288">
              <w:rPr>
                <w:rFonts w:ascii="Aptos" w:eastAsia="Times New Roman" w:hAnsi="Aptos" w:cs="Tahoma"/>
                <w:bCs/>
                <w:sz w:val="20"/>
                <w:szCs w:val="20"/>
              </w:rPr>
              <w:t>Wij willen daarbij benadrukken dat het ontbreken van een contractueel vastgelegde vooruitbetaling van minimaal 50% leidt tot een aanzienlijke mate van voorfinanciering door inschrijvers.</w:t>
            </w:r>
          </w:p>
          <w:p w14:paraId="1D3CBDB1" w14:textId="77777777" w:rsidR="00EB11C0" w:rsidRPr="00393288" w:rsidRDefault="00EB11C0" w:rsidP="00326521">
            <w:pPr>
              <w:jc w:val="both"/>
              <w:rPr>
                <w:rFonts w:ascii="Aptos" w:eastAsia="Times New Roman" w:hAnsi="Aptos" w:cs="Tahoma"/>
                <w:bCs/>
                <w:sz w:val="20"/>
                <w:szCs w:val="20"/>
              </w:rPr>
            </w:pPr>
            <w:r w:rsidRPr="00393288">
              <w:rPr>
                <w:rFonts w:ascii="Aptos" w:eastAsia="Times New Roman" w:hAnsi="Aptos" w:cs="Tahoma"/>
                <w:bCs/>
                <w:sz w:val="20"/>
                <w:szCs w:val="20"/>
              </w:rPr>
              <w:t>Wij vragen u daarom:</w:t>
            </w:r>
          </w:p>
          <w:p w14:paraId="3E45E912" w14:textId="77777777" w:rsidR="00EB11C0" w:rsidRPr="00393288" w:rsidRDefault="00EB11C0" w:rsidP="00326521">
            <w:pPr>
              <w:pStyle w:val="Lijstalinea"/>
              <w:numPr>
                <w:ilvl w:val="0"/>
                <w:numId w:val="6"/>
              </w:numPr>
              <w:jc w:val="both"/>
              <w:rPr>
                <w:rFonts w:ascii="Aptos" w:eastAsia="Times New Roman" w:hAnsi="Aptos" w:cs="Tahoma"/>
                <w:bCs/>
                <w:sz w:val="20"/>
                <w:szCs w:val="20"/>
              </w:rPr>
            </w:pPr>
            <w:r w:rsidRPr="00393288">
              <w:rPr>
                <w:rFonts w:ascii="Aptos" w:eastAsia="Times New Roman" w:hAnsi="Aptos" w:cs="Tahoma"/>
                <w:bCs/>
                <w:sz w:val="20"/>
                <w:szCs w:val="20"/>
              </w:rPr>
              <w:t>Hoe uw standpunt zich verhoudt tot de uitgangspunten en aanbevelingen van het Convenant Robuuste Keten;</w:t>
            </w:r>
          </w:p>
          <w:p w14:paraId="1B0B331B" w14:textId="77777777" w:rsidR="00EB11C0" w:rsidRPr="00393288" w:rsidRDefault="00EB11C0" w:rsidP="00326521">
            <w:pPr>
              <w:jc w:val="both"/>
              <w:rPr>
                <w:rFonts w:ascii="Aptos" w:eastAsia="Times New Roman" w:hAnsi="Aptos" w:cs="Tahoma"/>
                <w:bCs/>
                <w:sz w:val="20"/>
                <w:szCs w:val="20"/>
              </w:rPr>
            </w:pPr>
          </w:p>
          <w:p w14:paraId="17B444F0" w14:textId="77777777" w:rsidR="00EB11C0" w:rsidRPr="00393288" w:rsidRDefault="00EB11C0" w:rsidP="00326521">
            <w:pPr>
              <w:pStyle w:val="Lijstalinea"/>
              <w:numPr>
                <w:ilvl w:val="0"/>
                <w:numId w:val="6"/>
              </w:numPr>
              <w:jc w:val="both"/>
              <w:rPr>
                <w:rFonts w:ascii="Aptos" w:eastAsia="Times New Roman" w:hAnsi="Aptos" w:cs="Tahoma"/>
                <w:bCs/>
                <w:sz w:val="20"/>
                <w:szCs w:val="20"/>
              </w:rPr>
            </w:pPr>
            <w:r w:rsidRPr="00393288">
              <w:rPr>
                <w:rFonts w:ascii="Aptos" w:eastAsia="Times New Roman" w:hAnsi="Aptos" w:cs="Tahoma"/>
                <w:bCs/>
                <w:sz w:val="20"/>
                <w:szCs w:val="20"/>
              </w:rPr>
              <w:t>Of u bereid bent vooruitbetaling alsnog als uitgangspunt te hanteren, eventueel in combinatie met jaarlijkse evaluatie- en bijsturingsmomenten;</w:t>
            </w:r>
          </w:p>
          <w:p w14:paraId="79C57284" w14:textId="77777777" w:rsidR="00EB11C0" w:rsidRPr="00393288" w:rsidRDefault="00EB11C0" w:rsidP="00326521">
            <w:pPr>
              <w:jc w:val="both"/>
              <w:rPr>
                <w:rFonts w:ascii="Aptos" w:eastAsia="Times New Roman" w:hAnsi="Aptos" w:cs="Tahoma"/>
                <w:bCs/>
                <w:sz w:val="20"/>
                <w:szCs w:val="20"/>
              </w:rPr>
            </w:pPr>
          </w:p>
          <w:p w14:paraId="26C72F29" w14:textId="77777777" w:rsidR="00EB11C0" w:rsidRPr="00393288" w:rsidRDefault="00EB11C0" w:rsidP="00326521">
            <w:pPr>
              <w:pStyle w:val="Lijstalinea"/>
              <w:numPr>
                <w:ilvl w:val="0"/>
                <w:numId w:val="6"/>
              </w:numPr>
              <w:jc w:val="both"/>
              <w:rPr>
                <w:rFonts w:ascii="Aptos" w:eastAsia="Times New Roman" w:hAnsi="Aptos" w:cs="Tahoma"/>
                <w:bCs/>
                <w:sz w:val="20"/>
                <w:szCs w:val="20"/>
              </w:rPr>
            </w:pPr>
            <w:r w:rsidRPr="00393288">
              <w:rPr>
                <w:rFonts w:ascii="Aptos" w:eastAsia="Times New Roman" w:hAnsi="Aptos" w:cs="Tahoma"/>
                <w:bCs/>
                <w:sz w:val="20"/>
                <w:szCs w:val="20"/>
              </w:rPr>
              <w:t>En op welke wijze u zonder vooruitbetaling borgt dat de financiële en operationele risico’s in de keten – ook voor scholen – afdoende worden afgedekt.</w:t>
            </w:r>
          </w:p>
          <w:p w14:paraId="4268FF74" w14:textId="77777777" w:rsidR="00EB11C0" w:rsidRPr="00393288" w:rsidRDefault="00EB11C0" w:rsidP="00326521">
            <w:pPr>
              <w:jc w:val="both"/>
              <w:rPr>
                <w:rFonts w:ascii="Aptos" w:eastAsia="Times New Roman" w:hAnsi="Aptos" w:cs="Tahoma"/>
                <w:bCs/>
                <w:sz w:val="20"/>
                <w:szCs w:val="20"/>
              </w:rPr>
            </w:pPr>
          </w:p>
          <w:p w14:paraId="10F03470" w14:textId="511CCA86" w:rsidR="00EB11C0" w:rsidRPr="00393288" w:rsidRDefault="00EB11C0" w:rsidP="00326521">
            <w:pPr>
              <w:jc w:val="both"/>
              <w:rPr>
                <w:rFonts w:ascii="Aptos" w:eastAsia="Times New Roman" w:hAnsi="Aptos" w:cs="Tahoma"/>
                <w:bCs/>
                <w:sz w:val="20"/>
                <w:szCs w:val="20"/>
              </w:rPr>
            </w:pPr>
            <w:r w:rsidRPr="00393288">
              <w:rPr>
                <w:rFonts w:ascii="Aptos" w:eastAsia="Times New Roman" w:hAnsi="Aptos" w:cs="Tahoma"/>
                <w:bCs/>
                <w:sz w:val="20"/>
                <w:szCs w:val="20"/>
              </w:rPr>
              <w:t>Met deze toelichting kan beter worden beoordeeld hoe een stabiele, financieel robuuste en toekomstbestendige samenwerking voor alle partijen kan worden gerealiseerd.</w:t>
            </w:r>
          </w:p>
        </w:tc>
        <w:tc>
          <w:tcPr>
            <w:tcW w:w="1902" w:type="pct"/>
            <w:shd w:val="clear" w:color="auto" w:fill="F1F1F1"/>
          </w:tcPr>
          <w:p w14:paraId="6A1854D9" w14:textId="342F10CC" w:rsidR="00EB11C0" w:rsidRPr="002868A1" w:rsidRDefault="007550E7" w:rsidP="007550E7">
            <w:pPr>
              <w:pStyle w:val="Default"/>
              <w:rPr>
                <w:rFonts w:eastAsia="Times New Roman" w:cs="Tahoma"/>
                <w:bCs/>
                <w:color w:val="4472C4" w:themeColor="accent1"/>
                <w:sz w:val="20"/>
                <w:szCs w:val="20"/>
              </w:rPr>
            </w:pPr>
            <w:r w:rsidRPr="007550E7">
              <w:rPr>
                <w:rFonts w:eastAsia="Times New Roman" w:cs="Tahoma"/>
                <w:bCs/>
                <w:color w:val="4472C4" w:themeColor="accent1"/>
                <w:sz w:val="20"/>
                <w:szCs w:val="20"/>
              </w:rPr>
              <w:lastRenderedPageBreak/>
              <w:t>Opdrachtgever is niet bereid om een vooruitbetaling als uitgangspunt te nemen. Simant sluit een voorschot niet uit, maar wil hier jaarlijks (2x per jaar overleg) passende afspraken over maken met opdrachtnemer waarbij detailinformatie over de gemaakte afspraken vooraf afgestemd is en opvolging inzichtelijk is.</w:t>
            </w:r>
          </w:p>
        </w:tc>
      </w:tr>
    </w:tbl>
    <w:p w14:paraId="483BDBD5" w14:textId="77777777" w:rsidR="00B11EDC" w:rsidRDefault="00B11EDC" w:rsidP="00B11EDC">
      <w:pPr>
        <w:spacing w:line="260" w:lineRule="exact"/>
        <w:rPr>
          <w:rFonts w:ascii="Aptos" w:hAnsi="Aptos"/>
          <w:sz w:val="18"/>
          <w:szCs w:val="18"/>
        </w:rPr>
      </w:pPr>
      <w:r>
        <w:rPr>
          <w:rFonts w:ascii="Aptos" w:hAnsi="Aptos"/>
          <w:sz w:val="18"/>
          <w:szCs w:val="18"/>
        </w:rPr>
        <w:t>Bijlage:</w:t>
      </w:r>
    </w:p>
    <w:p w14:paraId="3B6D43CF" w14:textId="3A809A0E" w:rsidR="00B11EDC" w:rsidRDefault="00142C62" w:rsidP="00B11EDC">
      <w:pPr>
        <w:spacing w:line="260" w:lineRule="exact"/>
        <w:rPr>
          <w:rFonts w:ascii="Aptos" w:hAnsi="Aptos"/>
          <w:sz w:val="18"/>
          <w:szCs w:val="18"/>
        </w:rPr>
      </w:pPr>
      <w:r>
        <w:rPr>
          <w:rFonts w:ascii="Aptos" w:hAnsi="Aptos"/>
          <w:sz w:val="18"/>
          <w:szCs w:val="18"/>
        </w:rPr>
        <w:t xml:space="preserve">Bijlage 4 Prijzenblad </w:t>
      </w:r>
      <w:r w:rsidR="00741BD4">
        <w:rPr>
          <w:rFonts w:ascii="Aptos" w:hAnsi="Aptos"/>
          <w:sz w:val="18"/>
          <w:szCs w:val="18"/>
        </w:rPr>
        <w:t xml:space="preserve">Leermiddelen </w:t>
      </w:r>
      <w:r>
        <w:rPr>
          <w:rFonts w:ascii="Aptos" w:hAnsi="Aptos"/>
          <w:sz w:val="18"/>
          <w:szCs w:val="18"/>
        </w:rPr>
        <w:t xml:space="preserve">bij </w:t>
      </w:r>
      <w:proofErr w:type="spellStart"/>
      <w:r>
        <w:rPr>
          <w:rFonts w:ascii="Aptos" w:hAnsi="Aptos"/>
          <w:sz w:val="18"/>
          <w:szCs w:val="18"/>
        </w:rPr>
        <w:t>NvI</w:t>
      </w:r>
      <w:proofErr w:type="spellEnd"/>
      <w:r>
        <w:rPr>
          <w:rFonts w:ascii="Aptos" w:hAnsi="Aptos"/>
          <w:sz w:val="18"/>
          <w:szCs w:val="18"/>
        </w:rPr>
        <w:t xml:space="preserve"> 2</w:t>
      </w:r>
    </w:p>
    <w:p w14:paraId="69CF3656" w14:textId="77777777" w:rsidR="00B11EDC" w:rsidRPr="00B725B5" w:rsidRDefault="00B11EDC" w:rsidP="00B11EDC">
      <w:pPr>
        <w:spacing w:line="260" w:lineRule="exact"/>
        <w:rPr>
          <w:rFonts w:ascii="Aptos" w:hAnsi="Aptos"/>
          <w:sz w:val="18"/>
          <w:szCs w:val="18"/>
        </w:rPr>
      </w:pPr>
      <w:r>
        <w:rPr>
          <w:rFonts w:ascii="Aptos" w:hAnsi="Aptos"/>
          <w:sz w:val="18"/>
          <w:szCs w:val="18"/>
        </w:rPr>
        <w:t xml:space="preserve">Einde nota van inlichtingen:  </w:t>
      </w:r>
    </w:p>
    <w:p w14:paraId="3E91CA2B" w14:textId="77777777" w:rsidR="00B11EDC" w:rsidRPr="00FB096E" w:rsidRDefault="00B11EDC" w:rsidP="03813965">
      <w:pPr>
        <w:rPr>
          <w:rFonts w:ascii="Aptos" w:eastAsia="Times New Roman" w:hAnsi="Aptos" w:cs="Tahoma"/>
          <w:b/>
          <w:color w:val="2B4155"/>
          <w:sz w:val="16"/>
          <w:szCs w:val="16"/>
        </w:rPr>
      </w:pPr>
    </w:p>
    <w:sectPr w:rsidR="00B11EDC" w:rsidRPr="00FB096E" w:rsidSect="00F862E5">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1ED9" w14:textId="77777777" w:rsidR="00623F82" w:rsidRDefault="00623F82" w:rsidP="00FB096E">
      <w:pPr>
        <w:spacing w:after="0" w:line="240" w:lineRule="auto"/>
      </w:pPr>
      <w:r>
        <w:separator/>
      </w:r>
    </w:p>
  </w:endnote>
  <w:endnote w:type="continuationSeparator" w:id="0">
    <w:p w14:paraId="3DF45154" w14:textId="77777777" w:rsidR="00623F82" w:rsidRDefault="00623F82" w:rsidP="00FB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601"/>
    </w:tblGrid>
    <w:tr w:rsidR="00DA15B4" w:rsidRPr="00AB503C" w14:paraId="0EADAB36" w14:textId="77777777" w:rsidTr="00DE7320">
      <w:trPr>
        <w:trHeight w:hRule="exact" w:val="510"/>
      </w:trPr>
      <w:tc>
        <w:tcPr>
          <w:tcW w:w="14601" w:type="dxa"/>
          <w:vAlign w:val="center"/>
        </w:tcPr>
        <w:p w14:paraId="023A391C" w14:textId="235059F4" w:rsidR="00DA15B4" w:rsidRPr="00AB503C" w:rsidRDefault="00DA15B4" w:rsidP="00DA15B4">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Pr="00AB503C">
            <w:rPr>
              <w:rFonts w:ascii="Aptos" w:hAnsi="Aptos"/>
            </w:rPr>
            <w:fldChar w:fldCharType="begin"/>
          </w:r>
          <w:r w:rsidRPr="00AB503C">
            <w:rPr>
              <w:rFonts w:ascii="Aptos" w:hAnsi="Aptos"/>
            </w:rPr>
            <w:instrText>SECTIONPAGES  \* Arabic  \* MERGEFORMAT</w:instrText>
          </w:r>
          <w:r w:rsidRPr="00AB503C">
            <w:rPr>
              <w:rFonts w:ascii="Aptos" w:hAnsi="Aptos"/>
            </w:rPr>
            <w:fldChar w:fldCharType="separate"/>
          </w:r>
          <w:r w:rsidR="007550E7">
            <w:rPr>
              <w:rFonts w:ascii="Aptos" w:hAnsi="Aptos"/>
              <w:noProof/>
            </w:rPr>
            <w:t>4</w:t>
          </w:r>
          <w:r w:rsidRPr="00AB503C">
            <w:rPr>
              <w:rFonts w:ascii="Aptos" w:hAnsi="Aptos"/>
              <w:noProof/>
            </w:rPr>
            <w:fldChar w:fldCharType="end"/>
          </w:r>
        </w:p>
      </w:tc>
    </w:tr>
  </w:tbl>
  <w:p w14:paraId="55DD2350" w14:textId="1732160F" w:rsidR="00FC2E82" w:rsidRDefault="00F862E5">
    <w:pPr>
      <w:pStyle w:val="Voettekst"/>
    </w:pPr>
    <w:r>
      <w:rPr>
        <w:noProof/>
      </w:rPr>
      <w:drawing>
        <wp:anchor distT="0" distB="0" distL="114300" distR="114300" simplePos="0" relativeHeight="251658243" behindDoc="1" locked="1" layoutInCell="1" allowOverlap="1" wp14:anchorId="7784F14C" wp14:editId="71C727A0">
          <wp:simplePos x="0" y="0"/>
          <wp:positionH relativeFrom="page">
            <wp:posOffset>8565515</wp:posOffset>
          </wp:positionH>
          <wp:positionV relativeFrom="page">
            <wp:align>bottom</wp:align>
          </wp:positionV>
          <wp:extent cx="1691640" cy="2681605"/>
          <wp:effectExtent l="0" t="0" r="3810" b="4445"/>
          <wp:wrapNone/>
          <wp:docPr id="1188713101" name="Graphic 1188713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C2E82">
      <w:rPr>
        <w:noProof/>
      </w:rPr>
      <w:drawing>
        <wp:anchor distT="0" distB="0" distL="114300" distR="114300" simplePos="0" relativeHeight="251658242" behindDoc="1" locked="1" layoutInCell="1" allowOverlap="1" wp14:anchorId="50EFF089" wp14:editId="5B671B62">
          <wp:simplePos x="0" y="0"/>
          <wp:positionH relativeFrom="page">
            <wp:posOffset>5864860</wp:posOffset>
          </wp:positionH>
          <wp:positionV relativeFrom="page">
            <wp:posOffset>8312785</wp:posOffset>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C2E82">
      <w:rPr>
        <w:noProof/>
      </w:rPr>
      <mc:AlternateContent>
        <mc:Choice Requires="wps">
          <w:drawing>
            <wp:anchor distT="0" distB="0" distL="114300" distR="114300" simplePos="0" relativeHeight="251658241" behindDoc="1" locked="1" layoutInCell="1" allowOverlap="1" wp14:anchorId="61B49B6F" wp14:editId="3D2BDE50">
              <wp:simplePos x="0" y="0"/>
              <wp:positionH relativeFrom="page">
                <wp:align>left</wp:align>
              </wp:positionH>
              <wp:positionV relativeFrom="page">
                <wp:align>bottom</wp:align>
              </wp:positionV>
              <wp:extent cx="10696575" cy="826770"/>
              <wp:effectExtent l="0" t="0" r="9525" b="0"/>
              <wp:wrapNone/>
              <wp:docPr id="1341790051" name="Rechthoek 3"/>
              <wp:cNvGraphicFramePr/>
              <a:graphic xmlns:a="http://schemas.openxmlformats.org/drawingml/2006/main">
                <a:graphicData uri="http://schemas.microsoft.com/office/word/2010/wordprocessingShape">
                  <wps:wsp>
                    <wps:cNvSpPr/>
                    <wps:spPr>
                      <a:xfrm>
                        <a:off x="0" y="0"/>
                        <a:ext cx="1069657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8E9D72" w14:textId="77777777" w:rsidR="00FC2E82" w:rsidRPr="00BF6DFC" w:rsidRDefault="00FC2E82" w:rsidP="00FC2E8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49B6F" id="Rechthoek 3" o:spid="_x0000_s1026" style="position:absolute;margin-left:0;margin-top:0;width:842.2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" fillcolor="#2b4155" stroked="f" strokeweight="1pt">
              <v:textbox>
                <w:txbxContent>
                  <w:p w14:paraId="0D8E9D72" w14:textId="77777777" w:rsidR="00FC2E82" w:rsidRPr="00BF6DFC" w:rsidRDefault="00FC2E82" w:rsidP="00FC2E82"/>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4DC5" w14:textId="77777777" w:rsidR="00623F82" w:rsidRDefault="00623F82" w:rsidP="00FB096E">
      <w:pPr>
        <w:spacing w:after="0" w:line="240" w:lineRule="auto"/>
      </w:pPr>
      <w:r>
        <w:separator/>
      </w:r>
    </w:p>
  </w:footnote>
  <w:footnote w:type="continuationSeparator" w:id="0">
    <w:p w14:paraId="3F8016CE" w14:textId="77777777" w:rsidR="00623F82" w:rsidRDefault="00623F82" w:rsidP="00FB0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5643" w14:textId="5665CC00" w:rsidR="00FB096E" w:rsidRDefault="00FB096E">
    <w:pPr>
      <w:pStyle w:val="Koptekst"/>
    </w:pPr>
    <w:r>
      <w:rPr>
        <w:noProof/>
      </w:rPr>
      <w:drawing>
        <wp:anchor distT="0" distB="0" distL="114300" distR="114300" simplePos="0" relativeHeight="251658240" behindDoc="1" locked="1" layoutInCell="1" allowOverlap="1" wp14:anchorId="1A4FFFA8" wp14:editId="6003B4CB">
          <wp:simplePos x="0" y="0"/>
          <wp:positionH relativeFrom="page">
            <wp:align>left</wp:align>
          </wp:positionH>
          <wp:positionV relativeFrom="page">
            <wp:posOffset>-219075</wp:posOffset>
          </wp:positionV>
          <wp:extent cx="10696575" cy="2308225"/>
          <wp:effectExtent l="0" t="0" r="952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01569" cy="23092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12B"/>
    <w:multiLevelType w:val="hybridMultilevel"/>
    <w:tmpl w:val="E95274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E627E0"/>
    <w:multiLevelType w:val="hybridMultilevel"/>
    <w:tmpl w:val="367A64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5376B5"/>
    <w:multiLevelType w:val="hybridMultilevel"/>
    <w:tmpl w:val="4DA2A7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331EA9"/>
    <w:multiLevelType w:val="hybridMultilevel"/>
    <w:tmpl w:val="E11C754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352AC3"/>
    <w:multiLevelType w:val="hybridMultilevel"/>
    <w:tmpl w:val="7B2CE0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012774"/>
    <w:multiLevelType w:val="hybridMultilevel"/>
    <w:tmpl w:val="F26CD8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1C2A1D"/>
    <w:multiLevelType w:val="hybridMultilevel"/>
    <w:tmpl w:val="D3748908"/>
    <w:lvl w:ilvl="0" w:tplc="CADE5044">
      <w:start w:val="2"/>
      <w:numFmt w:val="bullet"/>
      <w:lvlText w:val="-"/>
      <w:lvlJc w:val="left"/>
      <w:pPr>
        <w:ind w:left="720" w:hanging="360"/>
      </w:pPr>
      <w:rPr>
        <w:rFonts w:ascii="Aptos" w:eastAsia="Times New Roman" w:hAnsi="Aptos"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6E5254"/>
    <w:multiLevelType w:val="hybridMultilevel"/>
    <w:tmpl w:val="B81EEE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4B25535"/>
    <w:multiLevelType w:val="hybridMultilevel"/>
    <w:tmpl w:val="4E74303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AD5995"/>
    <w:multiLevelType w:val="hybridMultilevel"/>
    <w:tmpl w:val="8E2CAE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0029DE"/>
    <w:multiLevelType w:val="hybridMultilevel"/>
    <w:tmpl w:val="B45A54C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312ED4"/>
    <w:multiLevelType w:val="hybridMultilevel"/>
    <w:tmpl w:val="5B6EE290"/>
    <w:lvl w:ilvl="0" w:tplc="A1E432A6">
      <w:start w:val="2"/>
      <w:numFmt w:val="bullet"/>
      <w:lvlText w:val="-"/>
      <w:lvlJc w:val="left"/>
      <w:pPr>
        <w:ind w:left="720" w:hanging="360"/>
      </w:pPr>
      <w:rPr>
        <w:rFonts w:ascii="Aptos" w:eastAsia="Times New Roman" w:hAnsi="Aptos"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DB5D86"/>
    <w:multiLevelType w:val="hybridMultilevel"/>
    <w:tmpl w:val="DA9E7BE0"/>
    <w:lvl w:ilvl="0" w:tplc="D5BE8EE8">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BFF528E"/>
    <w:multiLevelType w:val="hybridMultilevel"/>
    <w:tmpl w:val="D77EA5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570155E"/>
    <w:multiLevelType w:val="hybridMultilevel"/>
    <w:tmpl w:val="8E1C421C"/>
    <w:lvl w:ilvl="0" w:tplc="3E5E1F98">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6072040">
    <w:abstractNumId w:val="12"/>
  </w:num>
  <w:num w:numId="2" w16cid:durableId="1477524033">
    <w:abstractNumId w:val="4"/>
  </w:num>
  <w:num w:numId="3" w16cid:durableId="327752132">
    <w:abstractNumId w:val="14"/>
  </w:num>
  <w:num w:numId="4" w16cid:durableId="1111558308">
    <w:abstractNumId w:val="8"/>
  </w:num>
  <w:num w:numId="5" w16cid:durableId="1145701816">
    <w:abstractNumId w:val="2"/>
  </w:num>
  <w:num w:numId="6" w16cid:durableId="337464865">
    <w:abstractNumId w:val="3"/>
  </w:num>
  <w:num w:numId="7" w16cid:durableId="1766916979">
    <w:abstractNumId w:val="0"/>
  </w:num>
  <w:num w:numId="8" w16cid:durableId="1235044882">
    <w:abstractNumId w:val="10"/>
  </w:num>
  <w:num w:numId="9" w16cid:durableId="1427308589">
    <w:abstractNumId w:val="5"/>
  </w:num>
  <w:num w:numId="10" w16cid:durableId="1543859289">
    <w:abstractNumId w:val="6"/>
  </w:num>
  <w:num w:numId="11" w16cid:durableId="2014648449">
    <w:abstractNumId w:val="11"/>
  </w:num>
  <w:num w:numId="12" w16cid:durableId="1611935475">
    <w:abstractNumId w:val="13"/>
  </w:num>
  <w:num w:numId="13" w16cid:durableId="424545725">
    <w:abstractNumId w:val="9"/>
  </w:num>
  <w:num w:numId="14" w16cid:durableId="301038343">
    <w:abstractNumId w:val="1"/>
  </w:num>
  <w:num w:numId="15" w16cid:durableId="469326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4817"/>
    <w:rsid w:val="00005DCF"/>
    <w:rsid w:val="00020286"/>
    <w:rsid w:val="00026871"/>
    <w:rsid w:val="000511F9"/>
    <w:rsid w:val="000718E6"/>
    <w:rsid w:val="00076D69"/>
    <w:rsid w:val="000812EB"/>
    <w:rsid w:val="00083E82"/>
    <w:rsid w:val="000A060C"/>
    <w:rsid w:val="000A1938"/>
    <w:rsid w:val="000A1C7F"/>
    <w:rsid w:val="000E45B9"/>
    <w:rsid w:val="000E5FB6"/>
    <w:rsid w:val="00104BF0"/>
    <w:rsid w:val="00106554"/>
    <w:rsid w:val="00107790"/>
    <w:rsid w:val="001168F3"/>
    <w:rsid w:val="0014014E"/>
    <w:rsid w:val="00142C62"/>
    <w:rsid w:val="00162040"/>
    <w:rsid w:val="00163E11"/>
    <w:rsid w:val="001A2FC0"/>
    <w:rsid w:val="001E01C2"/>
    <w:rsid w:val="001E3347"/>
    <w:rsid w:val="001F06CD"/>
    <w:rsid w:val="001F52ED"/>
    <w:rsid w:val="0021733D"/>
    <w:rsid w:val="00236A21"/>
    <w:rsid w:val="00241DEA"/>
    <w:rsid w:val="00242D04"/>
    <w:rsid w:val="00255B1C"/>
    <w:rsid w:val="00255C2F"/>
    <w:rsid w:val="00256840"/>
    <w:rsid w:val="00262384"/>
    <w:rsid w:val="00275FB2"/>
    <w:rsid w:val="002868A1"/>
    <w:rsid w:val="002948B8"/>
    <w:rsid w:val="002B536A"/>
    <w:rsid w:val="002B798C"/>
    <w:rsid w:val="002C1A31"/>
    <w:rsid w:val="002F2115"/>
    <w:rsid w:val="002F2F91"/>
    <w:rsid w:val="00304914"/>
    <w:rsid w:val="003110EF"/>
    <w:rsid w:val="00326521"/>
    <w:rsid w:val="00332586"/>
    <w:rsid w:val="00336EEE"/>
    <w:rsid w:val="0034543F"/>
    <w:rsid w:val="003661CD"/>
    <w:rsid w:val="003661F0"/>
    <w:rsid w:val="0036639E"/>
    <w:rsid w:val="003678C3"/>
    <w:rsid w:val="00390AD8"/>
    <w:rsid w:val="00393288"/>
    <w:rsid w:val="00394062"/>
    <w:rsid w:val="00395DA3"/>
    <w:rsid w:val="003B0781"/>
    <w:rsid w:val="003B2BAB"/>
    <w:rsid w:val="003B6271"/>
    <w:rsid w:val="003C22FA"/>
    <w:rsid w:val="003D2B45"/>
    <w:rsid w:val="003F2A1E"/>
    <w:rsid w:val="003F3182"/>
    <w:rsid w:val="004100A9"/>
    <w:rsid w:val="00410DA0"/>
    <w:rsid w:val="00411A52"/>
    <w:rsid w:val="00426A12"/>
    <w:rsid w:val="004460F8"/>
    <w:rsid w:val="00471102"/>
    <w:rsid w:val="004914E5"/>
    <w:rsid w:val="004952E1"/>
    <w:rsid w:val="004C1ECE"/>
    <w:rsid w:val="004E2F21"/>
    <w:rsid w:val="005056B1"/>
    <w:rsid w:val="00524F4C"/>
    <w:rsid w:val="00535389"/>
    <w:rsid w:val="0054168C"/>
    <w:rsid w:val="005609D8"/>
    <w:rsid w:val="00581FC7"/>
    <w:rsid w:val="005B495D"/>
    <w:rsid w:val="005B7044"/>
    <w:rsid w:val="005C6597"/>
    <w:rsid w:val="005E283D"/>
    <w:rsid w:val="005E6C48"/>
    <w:rsid w:val="00607BCD"/>
    <w:rsid w:val="006174B2"/>
    <w:rsid w:val="0062020A"/>
    <w:rsid w:val="00621FAC"/>
    <w:rsid w:val="00623F82"/>
    <w:rsid w:val="00625B53"/>
    <w:rsid w:val="00626C9F"/>
    <w:rsid w:val="00645910"/>
    <w:rsid w:val="00657E6C"/>
    <w:rsid w:val="006701F5"/>
    <w:rsid w:val="00670887"/>
    <w:rsid w:val="00674E26"/>
    <w:rsid w:val="00680E0E"/>
    <w:rsid w:val="006C36E4"/>
    <w:rsid w:val="006D076B"/>
    <w:rsid w:val="006D4138"/>
    <w:rsid w:val="006E33F5"/>
    <w:rsid w:val="006E68A3"/>
    <w:rsid w:val="006F3C1B"/>
    <w:rsid w:val="006F3C45"/>
    <w:rsid w:val="0073245E"/>
    <w:rsid w:val="00735148"/>
    <w:rsid w:val="00741BD4"/>
    <w:rsid w:val="00742491"/>
    <w:rsid w:val="007432B6"/>
    <w:rsid w:val="00745D2C"/>
    <w:rsid w:val="00746C15"/>
    <w:rsid w:val="007550E7"/>
    <w:rsid w:val="007650C5"/>
    <w:rsid w:val="00781D57"/>
    <w:rsid w:val="0079000B"/>
    <w:rsid w:val="00795C10"/>
    <w:rsid w:val="007F3D8F"/>
    <w:rsid w:val="008170F1"/>
    <w:rsid w:val="008505B0"/>
    <w:rsid w:val="00857365"/>
    <w:rsid w:val="00862558"/>
    <w:rsid w:val="008711BD"/>
    <w:rsid w:val="008727AA"/>
    <w:rsid w:val="00876B4C"/>
    <w:rsid w:val="008A1745"/>
    <w:rsid w:val="008B5F5B"/>
    <w:rsid w:val="008B628F"/>
    <w:rsid w:val="008D1CAF"/>
    <w:rsid w:val="008D73A1"/>
    <w:rsid w:val="008E6A09"/>
    <w:rsid w:val="008F01FC"/>
    <w:rsid w:val="00925641"/>
    <w:rsid w:val="00931D94"/>
    <w:rsid w:val="009447D2"/>
    <w:rsid w:val="00957E00"/>
    <w:rsid w:val="00972785"/>
    <w:rsid w:val="00992CA4"/>
    <w:rsid w:val="00996158"/>
    <w:rsid w:val="00997401"/>
    <w:rsid w:val="009B65B6"/>
    <w:rsid w:val="009C4611"/>
    <w:rsid w:val="009D1198"/>
    <w:rsid w:val="009E08FA"/>
    <w:rsid w:val="009E67E0"/>
    <w:rsid w:val="009F0125"/>
    <w:rsid w:val="009F1C54"/>
    <w:rsid w:val="00A206F6"/>
    <w:rsid w:val="00A23700"/>
    <w:rsid w:val="00A25E04"/>
    <w:rsid w:val="00A263BA"/>
    <w:rsid w:val="00A26D5C"/>
    <w:rsid w:val="00A45C0C"/>
    <w:rsid w:val="00A66207"/>
    <w:rsid w:val="00A67976"/>
    <w:rsid w:val="00A7268B"/>
    <w:rsid w:val="00A75903"/>
    <w:rsid w:val="00A81F14"/>
    <w:rsid w:val="00AA6C0D"/>
    <w:rsid w:val="00AB3A59"/>
    <w:rsid w:val="00AC59A1"/>
    <w:rsid w:val="00AD016F"/>
    <w:rsid w:val="00AD1DC4"/>
    <w:rsid w:val="00AD7DFE"/>
    <w:rsid w:val="00AE1142"/>
    <w:rsid w:val="00AE23B0"/>
    <w:rsid w:val="00AF4D8A"/>
    <w:rsid w:val="00B10B62"/>
    <w:rsid w:val="00B11695"/>
    <w:rsid w:val="00B11ED7"/>
    <w:rsid w:val="00B11EDC"/>
    <w:rsid w:val="00B14EEC"/>
    <w:rsid w:val="00B522B2"/>
    <w:rsid w:val="00B612AF"/>
    <w:rsid w:val="00B626E1"/>
    <w:rsid w:val="00B6292D"/>
    <w:rsid w:val="00B822B1"/>
    <w:rsid w:val="00B86B6D"/>
    <w:rsid w:val="00B94AF6"/>
    <w:rsid w:val="00BB3DE0"/>
    <w:rsid w:val="00BC2CAB"/>
    <w:rsid w:val="00BD5A77"/>
    <w:rsid w:val="00BE0622"/>
    <w:rsid w:val="00BF377A"/>
    <w:rsid w:val="00C21A48"/>
    <w:rsid w:val="00C263E0"/>
    <w:rsid w:val="00C652AF"/>
    <w:rsid w:val="00C7350D"/>
    <w:rsid w:val="00CA036C"/>
    <w:rsid w:val="00CA587D"/>
    <w:rsid w:val="00CB0F15"/>
    <w:rsid w:val="00CB2AE0"/>
    <w:rsid w:val="00CB2EF3"/>
    <w:rsid w:val="00CB3A01"/>
    <w:rsid w:val="00CC5325"/>
    <w:rsid w:val="00CC6C96"/>
    <w:rsid w:val="00CD3DCB"/>
    <w:rsid w:val="00CD6E3F"/>
    <w:rsid w:val="00CD7109"/>
    <w:rsid w:val="00CE7A72"/>
    <w:rsid w:val="00CF1E27"/>
    <w:rsid w:val="00CF722E"/>
    <w:rsid w:val="00D42B18"/>
    <w:rsid w:val="00D517E0"/>
    <w:rsid w:val="00D745CD"/>
    <w:rsid w:val="00D975F2"/>
    <w:rsid w:val="00DA15B4"/>
    <w:rsid w:val="00DB17D9"/>
    <w:rsid w:val="00DB3C16"/>
    <w:rsid w:val="00DB48E1"/>
    <w:rsid w:val="00DB6D95"/>
    <w:rsid w:val="00DC7B56"/>
    <w:rsid w:val="00DE39CC"/>
    <w:rsid w:val="00DE4C97"/>
    <w:rsid w:val="00DE7320"/>
    <w:rsid w:val="00DF295C"/>
    <w:rsid w:val="00E00C33"/>
    <w:rsid w:val="00E127A9"/>
    <w:rsid w:val="00E31E91"/>
    <w:rsid w:val="00E40A9C"/>
    <w:rsid w:val="00E47312"/>
    <w:rsid w:val="00E55AC1"/>
    <w:rsid w:val="00E60ACD"/>
    <w:rsid w:val="00E73CF0"/>
    <w:rsid w:val="00E9113D"/>
    <w:rsid w:val="00EA7EE7"/>
    <w:rsid w:val="00EB11C0"/>
    <w:rsid w:val="00EB688A"/>
    <w:rsid w:val="00EB6C45"/>
    <w:rsid w:val="00EC5D38"/>
    <w:rsid w:val="00ED09A4"/>
    <w:rsid w:val="00EE627B"/>
    <w:rsid w:val="00F10875"/>
    <w:rsid w:val="00F52EAD"/>
    <w:rsid w:val="00F52FA6"/>
    <w:rsid w:val="00F53F83"/>
    <w:rsid w:val="00F76047"/>
    <w:rsid w:val="00F773E4"/>
    <w:rsid w:val="00F809D7"/>
    <w:rsid w:val="00F81078"/>
    <w:rsid w:val="00F8249C"/>
    <w:rsid w:val="00F862E5"/>
    <w:rsid w:val="00F87A25"/>
    <w:rsid w:val="00F97078"/>
    <w:rsid w:val="00FA70EC"/>
    <w:rsid w:val="00FB096E"/>
    <w:rsid w:val="00FC2E82"/>
    <w:rsid w:val="00FF070D"/>
    <w:rsid w:val="00FF1230"/>
    <w:rsid w:val="00FF290E"/>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61EB4135-BEA2-4DC0-8C19-549C1DEA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Koptekst">
    <w:name w:val="header"/>
    <w:basedOn w:val="Standaard"/>
    <w:link w:val="KoptekstChar"/>
    <w:uiPriority w:val="99"/>
    <w:unhideWhenUsed/>
    <w:rsid w:val="00FB096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B096E"/>
  </w:style>
  <w:style w:type="paragraph" w:styleId="Voettekst">
    <w:name w:val="footer"/>
    <w:basedOn w:val="Standaard"/>
    <w:link w:val="VoettekstChar"/>
    <w:uiPriority w:val="99"/>
    <w:unhideWhenUsed/>
    <w:rsid w:val="00FB096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B096E"/>
  </w:style>
  <w:style w:type="paragraph" w:customStyle="1" w:styleId="xvany">
    <w:name w:val="x van y"/>
    <w:basedOn w:val="Voettekst"/>
    <w:qFormat/>
    <w:rsid w:val="00DA15B4"/>
    <w:pPr>
      <w:tabs>
        <w:tab w:val="clear" w:pos="4513"/>
        <w:tab w:val="clear" w:pos="9026"/>
        <w:tab w:val="left" w:pos="425"/>
      </w:tabs>
      <w:spacing w:line="160" w:lineRule="atLeast"/>
      <w:jc w:val="right"/>
    </w:pPr>
    <w:rPr>
      <w:color w:val="FFFFFF" w:themeColor="background1"/>
      <w:sz w:val="12"/>
    </w:rPr>
  </w:style>
  <w:style w:type="paragraph" w:customStyle="1" w:styleId="Default">
    <w:name w:val="Default"/>
    <w:rsid w:val="00DB3C16"/>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4900D858-F8F7-41A6-A47A-A4609225D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1229</Words>
  <Characters>6760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Inkada Inkoop &amp; Advies</dc:creator>
  <cp:keywords/>
  <dc:description/>
  <cp:lastModifiedBy>Ramon Nieuwenhuizen | Inkada Inkoop &amp; Advies</cp:lastModifiedBy>
  <cp:revision>4</cp:revision>
  <cp:lastPrinted>2025-12-17T12:37:00Z</cp:lastPrinted>
  <dcterms:created xsi:type="dcterms:W3CDTF">2025-12-18T12:46:00Z</dcterms:created>
  <dcterms:modified xsi:type="dcterms:W3CDTF">2025-12-18T15:36:00Z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