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614155A5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</w:t>
      </w:r>
      <w:r w:rsidR="005A1DA3">
        <w:rPr>
          <w:rFonts w:cs="Arial"/>
          <w:color w:val="343434"/>
          <w:szCs w:val="20"/>
        </w:rPr>
        <w:t xml:space="preserve"> </w:t>
      </w:r>
      <w:r w:rsidR="00176122" w:rsidRPr="00176122">
        <w:rPr>
          <w:rFonts w:cs="Arial"/>
          <w:b/>
          <w:bCs/>
          <w:color w:val="343434"/>
          <w:szCs w:val="20"/>
        </w:rPr>
        <w:t>Levering mini- en rolcontainers</w:t>
      </w:r>
      <w:r w:rsidRPr="00072C6D">
        <w:rPr>
          <w:rFonts w:cs="Arial"/>
          <w:color w:val="343434"/>
          <w:szCs w:val="20"/>
        </w:rPr>
        <w:t>, die wordt aanbesteed met</w:t>
      </w:r>
      <w:r w:rsidR="005A1DA3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kenmerk</w:t>
      </w:r>
      <w:r w:rsidR="005A1DA3">
        <w:rPr>
          <w:rFonts w:cs="Arial"/>
          <w:color w:val="343434"/>
          <w:szCs w:val="20"/>
        </w:rPr>
        <w:t xml:space="preserve"> </w:t>
      </w:r>
      <w:r w:rsidR="005A1DA3" w:rsidRPr="00A323CE">
        <w:rPr>
          <w:rFonts w:cs="Arial"/>
        </w:rPr>
        <w:t>2024</w:t>
      </w:r>
      <w:r w:rsidR="000D432D">
        <w:rPr>
          <w:rFonts w:cs="Arial"/>
        </w:rPr>
        <w:t>SB062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D432D"/>
    <w:rsid w:val="00127873"/>
    <w:rsid w:val="00176122"/>
    <w:rsid w:val="00194FF7"/>
    <w:rsid w:val="001D3423"/>
    <w:rsid w:val="00375B88"/>
    <w:rsid w:val="00462676"/>
    <w:rsid w:val="00483277"/>
    <w:rsid w:val="00494004"/>
    <w:rsid w:val="004D5A27"/>
    <w:rsid w:val="00576711"/>
    <w:rsid w:val="005A1DA3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59BE02-1FD5-4398-8D94-302F468E990F}"/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45e5bfdf-684e-4254-917b-79d5ff9bddb2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7e0b7121-eaef-433c-b5f9-c12072dee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1641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Rohof, Lilly</cp:lastModifiedBy>
  <cp:revision>4</cp:revision>
  <dcterms:created xsi:type="dcterms:W3CDTF">2025-02-18T14:37:00Z</dcterms:created>
  <dcterms:modified xsi:type="dcterms:W3CDTF">2025-02-18T14:37:00Z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