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489C0" w14:textId="42516276" w:rsidR="00990E50" w:rsidRPr="00842FD7" w:rsidRDefault="00990E50" w:rsidP="0087609E">
      <w:pPr>
        <w:spacing w:before="240" w:after="240"/>
        <w:jc w:val="center"/>
        <w:rPr>
          <w:rFonts w:asciiTheme="majorHAnsi" w:eastAsia="Verdana" w:hAnsiTheme="majorHAnsi" w:cs="Verdana"/>
          <w:b/>
          <w:bCs/>
          <w:color w:val="4C94D8" w:themeColor="text2" w:themeTint="80"/>
          <w:sz w:val="28"/>
          <w:szCs w:val="28"/>
        </w:rPr>
      </w:pPr>
      <w:r w:rsidRPr="00842FD7">
        <w:rPr>
          <w:rFonts w:asciiTheme="majorHAnsi" w:eastAsia="Verdana" w:hAnsiTheme="majorHAnsi" w:cs="Verdana"/>
          <w:b/>
          <w:bCs/>
          <w:color w:val="4C94D8" w:themeColor="text2" w:themeTint="80"/>
          <w:sz w:val="28"/>
          <w:szCs w:val="28"/>
        </w:rPr>
        <w:t>Annex 8: Casus Beleidsspecialist</w:t>
      </w:r>
    </w:p>
    <w:p w14:paraId="1A962B00" w14:textId="77777777" w:rsidR="00990E50" w:rsidRPr="0087609E" w:rsidRDefault="00990E50" w:rsidP="00DB0E57">
      <w:pPr>
        <w:spacing w:before="240" w:after="240"/>
        <w:rPr>
          <w:rFonts w:asciiTheme="majorHAnsi" w:eastAsia="Verdana" w:hAnsiTheme="majorHAnsi" w:cs="Verdana"/>
          <w:b/>
          <w:bCs/>
        </w:rPr>
      </w:pPr>
    </w:p>
    <w:p w14:paraId="18C192A6" w14:textId="77777777" w:rsidR="00842FD7" w:rsidRDefault="00DB0E57" w:rsidP="00842FD7">
      <w:pPr>
        <w:spacing w:before="240" w:after="240"/>
        <w:jc w:val="center"/>
        <w:rPr>
          <w:rFonts w:asciiTheme="majorHAnsi" w:eastAsia="Verdana" w:hAnsiTheme="majorHAnsi" w:cs="Verdana"/>
          <w:b/>
          <w:bCs/>
          <w:sz w:val="24"/>
          <w:szCs w:val="24"/>
        </w:rPr>
      </w:pPr>
      <w:r w:rsidRPr="00842FD7">
        <w:rPr>
          <w:rFonts w:asciiTheme="majorHAnsi" w:eastAsia="Verdana" w:hAnsiTheme="majorHAnsi" w:cs="Verdana"/>
          <w:b/>
          <w:bCs/>
          <w:sz w:val="24"/>
          <w:szCs w:val="24"/>
        </w:rPr>
        <w:t>Doel van de casus</w:t>
      </w:r>
    </w:p>
    <w:p w14:paraId="2DF7E81D" w14:textId="5523B827" w:rsidR="00DB0E57" w:rsidRPr="0087609E" w:rsidRDefault="00DB0E57" w:rsidP="00842FD7">
      <w:pPr>
        <w:spacing w:before="240" w:after="240"/>
        <w:jc w:val="both"/>
        <w:rPr>
          <w:rFonts w:asciiTheme="majorHAnsi" w:hAnsiTheme="majorHAnsi"/>
          <w:sz w:val="28"/>
          <w:szCs w:val="28"/>
        </w:rPr>
      </w:pPr>
      <w:r w:rsidRPr="0087609E">
        <w:rPr>
          <w:rFonts w:asciiTheme="majorHAnsi" w:eastAsia="Verdana" w:hAnsiTheme="majorHAnsi" w:cs="Verdana"/>
        </w:rPr>
        <w:t>De casus is bedoeld om inzicht te krijgen in hoe de inschrijver omgaat met verschillen in benadering tussen Europese en nationale initiatieven op het gebied van datadeling en digitale infrastructuren. De nadruk ligt op het vermogen om beleid, strategie en praktijk met elkaar te verbinden.</w:t>
      </w:r>
    </w:p>
    <w:p w14:paraId="47D01F5A" w14:textId="77777777" w:rsidR="00842FD7" w:rsidRDefault="3E35FAB8" w:rsidP="00842FD7">
      <w:pPr>
        <w:spacing w:before="240" w:after="240"/>
        <w:jc w:val="center"/>
        <w:rPr>
          <w:rFonts w:asciiTheme="majorHAnsi" w:eastAsia="Verdana" w:hAnsiTheme="majorHAnsi" w:cs="Verdana"/>
          <w:b/>
          <w:bCs/>
          <w:sz w:val="24"/>
          <w:szCs w:val="24"/>
        </w:rPr>
      </w:pPr>
      <w:r w:rsidRPr="00842FD7">
        <w:rPr>
          <w:rFonts w:asciiTheme="majorHAnsi" w:eastAsia="Verdana" w:hAnsiTheme="majorHAnsi" w:cs="Verdana"/>
          <w:b/>
          <w:bCs/>
          <w:sz w:val="24"/>
          <w:szCs w:val="24"/>
        </w:rPr>
        <w:t>Casusbeschrijving</w:t>
      </w:r>
    </w:p>
    <w:p w14:paraId="1A905AD5" w14:textId="164F9D6F" w:rsidR="00DB0E57" w:rsidRPr="0087609E" w:rsidRDefault="3E35FAB8" w:rsidP="00DB0E57">
      <w:pPr>
        <w:spacing w:before="240" w:after="240"/>
        <w:jc w:val="both"/>
        <w:rPr>
          <w:rFonts w:asciiTheme="majorHAnsi" w:eastAsia="Verdana" w:hAnsiTheme="majorHAnsi" w:cs="Verdana"/>
        </w:rPr>
      </w:pPr>
      <w:r w:rsidRPr="0087609E">
        <w:rPr>
          <w:rFonts w:asciiTheme="majorHAnsi" w:eastAsia="Verdana" w:hAnsiTheme="majorHAnsi" w:cs="Verdana"/>
        </w:rPr>
        <w:t xml:space="preserve">De Europese Commissie presenteert in het kader van de </w:t>
      </w:r>
      <w:r w:rsidRPr="0087609E">
        <w:rPr>
          <w:rFonts w:asciiTheme="majorHAnsi" w:eastAsia="Verdana" w:hAnsiTheme="majorHAnsi" w:cs="Verdana"/>
          <w:i/>
          <w:iCs/>
        </w:rPr>
        <w:t xml:space="preserve">EU Data </w:t>
      </w:r>
      <w:proofErr w:type="spellStart"/>
      <w:r w:rsidRPr="0087609E">
        <w:rPr>
          <w:rFonts w:asciiTheme="majorHAnsi" w:eastAsia="Verdana" w:hAnsiTheme="majorHAnsi" w:cs="Verdana"/>
          <w:i/>
          <w:iCs/>
        </w:rPr>
        <w:t>Strategy</w:t>
      </w:r>
      <w:proofErr w:type="spellEnd"/>
      <w:r w:rsidRPr="0087609E">
        <w:rPr>
          <w:rFonts w:asciiTheme="majorHAnsi" w:eastAsia="Verdana" w:hAnsiTheme="majorHAnsi" w:cs="Verdana"/>
        </w:rPr>
        <w:t xml:space="preserve"> een koers voor de ontwikkeling van de </w:t>
      </w:r>
      <w:r w:rsidRPr="0087609E">
        <w:rPr>
          <w:rFonts w:asciiTheme="majorHAnsi" w:eastAsia="Verdana" w:hAnsiTheme="majorHAnsi" w:cs="Verdana"/>
          <w:i/>
          <w:iCs/>
        </w:rPr>
        <w:t>European Mobility Data Space (EMDS)</w:t>
      </w:r>
      <w:r w:rsidRPr="0087609E">
        <w:rPr>
          <w:rFonts w:asciiTheme="majorHAnsi" w:eastAsia="Verdana" w:hAnsiTheme="majorHAnsi" w:cs="Verdana"/>
        </w:rPr>
        <w:t xml:space="preserve">. Deze koers legt nadruk op nieuwe concepten en technologieën die nog moeten worden ontwikkeld. Hier staat technische interoperabiliteit op Europees niveau centraal. Tegelijkertijd kiest het Nederlandse traject (de BDI) voor gebruik van bestaande technieken die ingezet worden om federatief data delen, gedreven vanuit de uiteindelijke gebruikers. Er zitten verschillen in deze benaderingen waarbij de er wel overeenstemming moet komen tussen de BDI en EMDS waarbij de nationale belangen geborgd moeten blijven. </w:t>
      </w:r>
    </w:p>
    <w:p w14:paraId="6180CB58" w14:textId="236630C5" w:rsidR="00842FD7" w:rsidRDefault="00DB0E57" w:rsidP="00842FD7">
      <w:pPr>
        <w:spacing w:before="240" w:after="240"/>
        <w:jc w:val="center"/>
        <w:rPr>
          <w:rFonts w:asciiTheme="majorHAnsi" w:eastAsia="Verdana" w:hAnsiTheme="majorHAnsi" w:cs="Verdana"/>
          <w:b/>
          <w:bCs/>
          <w:sz w:val="24"/>
          <w:szCs w:val="24"/>
        </w:rPr>
      </w:pPr>
      <w:r w:rsidRPr="00842FD7">
        <w:rPr>
          <w:rFonts w:asciiTheme="majorHAnsi" w:eastAsia="Verdana" w:hAnsiTheme="majorHAnsi" w:cs="Verdana"/>
          <w:b/>
          <w:bCs/>
          <w:sz w:val="24"/>
          <w:szCs w:val="24"/>
        </w:rPr>
        <w:t>Opdracht aan de inschrijver</w:t>
      </w:r>
    </w:p>
    <w:p w14:paraId="2EF95CFF" w14:textId="6B908C60" w:rsidR="00DB0E57" w:rsidRPr="0087609E" w:rsidRDefault="00DB0E57" w:rsidP="00DB0E57">
      <w:pPr>
        <w:spacing w:before="240" w:after="240"/>
        <w:rPr>
          <w:rFonts w:asciiTheme="majorHAnsi" w:hAnsiTheme="majorHAnsi"/>
          <w:sz w:val="28"/>
          <w:szCs w:val="28"/>
        </w:rPr>
      </w:pPr>
      <w:r w:rsidRPr="0087609E">
        <w:rPr>
          <w:rFonts w:asciiTheme="majorHAnsi" w:eastAsia="Verdana" w:hAnsiTheme="majorHAnsi" w:cs="Verdana"/>
        </w:rPr>
        <w:t xml:space="preserve">Beschrijf hoe u als </w:t>
      </w:r>
      <w:r w:rsidRPr="0087609E">
        <w:rPr>
          <w:rFonts w:asciiTheme="majorHAnsi" w:eastAsia="Verdana" w:hAnsiTheme="majorHAnsi" w:cs="Verdana"/>
          <w:i/>
          <w:iCs/>
        </w:rPr>
        <w:t>Beleidsspecialist Internationale Activiteiten</w:t>
      </w:r>
      <w:r w:rsidRPr="0087609E">
        <w:rPr>
          <w:rFonts w:asciiTheme="majorHAnsi" w:eastAsia="Verdana" w:hAnsiTheme="majorHAnsi" w:cs="Verdana"/>
        </w:rPr>
        <w:t xml:space="preserve"> in deze situatie zou handelen.</w:t>
      </w:r>
      <w:r w:rsidRPr="0087609E">
        <w:rPr>
          <w:rFonts w:asciiTheme="majorHAnsi" w:hAnsiTheme="majorHAnsi"/>
          <w:sz w:val="28"/>
          <w:szCs w:val="28"/>
        </w:rPr>
        <w:br/>
      </w:r>
      <w:r w:rsidRPr="0087609E">
        <w:rPr>
          <w:rFonts w:asciiTheme="majorHAnsi" w:eastAsia="Verdana" w:hAnsiTheme="majorHAnsi" w:cs="Verdana"/>
        </w:rPr>
        <w:t xml:space="preserve"> In de beschrijving wordt minimaal ingegaan op:</w:t>
      </w:r>
    </w:p>
    <w:p w14:paraId="2F715E48" w14:textId="77777777" w:rsidR="00DB0E57" w:rsidRPr="0087609E" w:rsidRDefault="00DB0E57" w:rsidP="00DB0E57">
      <w:pPr>
        <w:pStyle w:val="Lijstalinea"/>
        <w:numPr>
          <w:ilvl w:val="0"/>
          <w:numId w:val="1"/>
        </w:numPr>
        <w:spacing w:before="240" w:after="240" w:line="276" w:lineRule="auto"/>
        <w:jc w:val="both"/>
        <w:rPr>
          <w:rFonts w:asciiTheme="majorHAnsi" w:eastAsia="Verdana" w:hAnsiTheme="majorHAnsi" w:cs="Verdana"/>
        </w:rPr>
      </w:pPr>
      <w:r w:rsidRPr="0087609E">
        <w:rPr>
          <w:rFonts w:asciiTheme="majorHAnsi" w:eastAsia="Verdana" w:hAnsiTheme="majorHAnsi" w:cs="Verdana"/>
        </w:rPr>
        <w:t>Hoe u de verschillen in koers en belangen tussen de EU en Nederland analyseert en benoemt;</w:t>
      </w:r>
    </w:p>
    <w:p w14:paraId="2B3ABA1D" w14:textId="77777777" w:rsidR="00DB0E57" w:rsidRPr="0087609E" w:rsidRDefault="00DB0E57" w:rsidP="00DB0E57">
      <w:pPr>
        <w:pStyle w:val="Lijstalinea"/>
        <w:numPr>
          <w:ilvl w:val="0"/>
          <w:numId w:val="1"/>
        </w:numPr>
        <w:spacing w:before="240" w:after="240" w:line="276" w:lineRule="auto"/>
        <w:jc w:val="both"/>
        <w:rPr>
          <w:rFonts w:asciiTheme="majorHAnsi" w:eastAsia="Verdana" w:hAnsiTheme="majorHAnsi" w:cs="Verdana"/>
        </w:rPr>
      </w:pPr>
      <w:r w:rsidRPr="0087609E">
        <w:rPr>
          <w:rFonts w:asciiTheme="majorHAnsi" w:eastAsia="Verdana" w:hAnsiTheme="majorHAnsi" w:cs="Verdana"/>
        </w:rPr>
        <w:t>Welke stappen u neemt om de Nederlandse positie strategisch te borgen binnen Europese overleggen, projecten of besluitvorming;</w:t>
      </w:r>
    </w:p>
    <w:p w14:paraId="0702A8BB" w14:textId="77777777" w:rsidR="00DB0E57" w:rsidRPr="0087609E" w:rsidRDefault="00DB0E57" w:rsidP="00DB0E57">
      <w:pPr>
        <w:pStyle w:val="Lijstalinea"/>
        <w:numPr>
          <w:ilvl w:val="0"/>
          <w:numId w:val="1"/>
        </w:numPr>
        <w:spacing w:before="240" w:after="240" w:line="276" w:lineRule="auto"/>
        <w:jc w:val="both"/>
        <w:rPr>
          <w:rFonts w:asciiTheme="majorHAnsi" w:eastAsia="Verdana" w:hAnsiTheme="majorHAnsi" w:cs="Verdana"/>
        </w:rPr>
      </w:pPr>
      <w:r w:rsidRPr="0087609E">
        <w:rPr>
          <w:rFonts w:asciiTheme="majorHAnsi" w:eastAsia="Verdana" w:hAnsiTheme="majorHAnsi" w:cs="Verdana"/>
        </w:rPr>
        <w:t>Hoe u samenwerking zoekt met andere lidstaten of organisaties om draagvlak te creëren;</w:t>
      </w:r>
    </w:p>
    <w:p w14:paraId="0C0FB846" w14:textId="77777777" w:rsidR="00DB0E57" w:rsidRPr="0087609E" w:rsidRDefault="00DB0E57" w:rsidP="00DB0E57">
      <w:pPr>
        <w:pStyle w:val="Lijstalinea"/>
        <w:numPr>
          <w:ilvl w:val="0"/>
          <w:numId w:val="1"/>
        </w:numPr>
        <w:spacing w:before="240" w:after="240" w:line="276" w:lineRule="auto"/>
        <w:jc w:val="both"/>
        <w:rPr>
          <w:rFonts w:asciiTheme="majorHAnsi" w:eastAsia="Verdana" w:hAnsiTheme="majorHAnsi" w:cs="Verdana"/>
        </w:rPr>
      </w:pPr>
      <w:r w:rsidRPr="0087609E">
        <w:rPr>
          <w:rFonts w:asciiTheme="majorHAnsi" w:eastAsia="Verdana" w:hAnsiTheme="majorHAnsi" w:cs="Verdana"/>
        </w:rPr>
        <w:t>Hoe u zorgt dat de nationale doelstellingen (zoals interoperabiliteit van de BDI) behouden blijven zonder de relatie met Europese partners te schaden;</w:t>
      </w:r>
    </w:p>
    <w:p w14:paraId="521CFA98" w14:textId="77777777" w:rsidR="00DB0E57" w:rsidRPr="0087609E" w:rsidRDefault="00DB0E57" w:rsidP="00DB0E57">
      <w:pPr>
        <w:pStyle w:val="Lijstalinea"/>
        <w:numPr>
          <w:ilvl w:val="0"/>
          <w:numId w:val="1"/>
        </w:numPr>
        <w:spacing w:before="240" w:after="240" w:line="276" w:lineRule="auto"/>
        <w:jc w:val="both"/>
        <w:rPr>
          <w:rFonts w:asciiTheme="majorHAnsi" w:eastAsia="Verdana" w:hAnsiTheme="majorHAnsi" w:cs="Verdana"/>
        </w:rPr>
      </w:pPr>
      <w:r w:rsidRPr="0087609E">
        <w:rPr>
          <w:rFonts w:asciiTheme="majorHAnsi" w:eastAsia="Verdana" w:hAnsiTheme="majorHAnsi" w:cs="Verdana"/>
        </w:rPr>
        <w:t xml:space="preserve">Hoe u hierover terugkoppelt en afstemt met het Ministerie van </w:t>
      </w:r>
      <w:proofErr w:type="spellStart"/>
      <w:r w:rsidRPr="0087609E">
        <w:rPr>
          <w:rFonts w:asciiTheme="majorHAnsi" w:eastAsia="Verdana" w:hAnsiTheme="majorHAnsi" w:cs="Verdana"/>
        </w:rPr>
        <w:t>IenW</w:t>
      </w:r>
      <w:proofErr w:type="spellEnd"/>
      <w:r w:rsidRPr="0087609E">
        <w:rPr>
          <w:rFonts w:asciiTheme="majorHAnsi" w:eastAsia="Verdana" w:hAnsiTheme="majorHAnsi" w:cs="Verdana"/>
        </w:rPr>
        <w:t xml:space="preserve"> en de betrokken partners.</w:t>
      </w:r>
    </w:p>
    <w:p w14:paraId="1B83391D" w14:textId="77777777" w:rsidR="00063930" w:rsidRPr="00063930" w:rsidRDefault="00063930" w:rsidP="00063930">
      <w:pPr>
        <w:autoSpaceDE w:val="0"/>
        <w:autoSpaceDN w:val="0"/>
        <w:adjustRightInd w:val="0"/>
        <w:spacing w:after="0"/>
        <w:jc w:val="both"/>
        <w:rPr>
          <w:rFonts w:ascii="Aptos Display" w:eastAsiaTheme="minorHAnsi" w:hAnsi="Aptos Display" w:cstheme="minorHAnsi"/>
          <w:color w:val="000000"/>
        </w:rPr>
      </w:pPr>
      <w:r w:rsidRPr="00063930">
        <w:rPr>
          <w:rFonts w:ascii="Aptos Display" w:eastAsiaTheme="minorHAnsi" w:hAnsi="Aptos Display" w:cstheme="minorHAnsi"/>
          <w:color w:val="000000"/>
        </w:rPr>
        <w:t xml:space="preserve">De casusbeschrijving mag niet meer dan 2 pagina A4 beslaan, lettertype </w:t>
      </w:r>
      <w:proofErr w:type="spellStart"/>
      <w:r w:rsidRPr="00063930">
        <w:rPr>
          <w:rFonts w:ascii="Aptos Display" w:eastAsiaTheme="minorHAnsi" w:hAnsi="Aptos Display" w:cstheme="minorHAnsi"/>
          <w:color w:val="000000"/>
        </w:rPr>
        <w:t>Arial</w:t>
      </w:r>
      <w:proofErr w:type="spellEnd"/>
      <w:r w:rsidRPr="00063930">
        <w:rPr>
          <w:rFonts w:ascii="Aptos Display" w:eastAsiaTheme="minorHAnsi" w:hAnsi="Aptos Display" w:cstheme="minorHAnsi"/>
          <w:color w:val="000000"/>
        </w:rPr>
        <w:t>, minimaal lettergrootte 10 en maximaal 1200 woorden.</w:t>
      </w:r>
    </w:p>
    <w:p w14:paraId="16FC4DCA" w14:textId="77777777" w:rsidR="003B232B" w:rsidRPr="0087609E" w:rsidRDefault="003B232B">
      <w:pPr>
        <w:rPr>
          <w:rFonts w:asciiTheme="majorHAnsi" w:hAnsiTheme="majorHAnsi"/>
          <w:sz w:val="28"/>
          <w:szCs w:val="28"/>
        </w:rPr>
      </w:pPr>
    </w:p>
    <w:sectPr w:rsidR="003B232B" w:rsidRPr="0087609E" w:rsidSect="00C2507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0471" w14:textId="77777777" w:rsidR="00BE35AE" w:rsidRDefault="00BE35AE" w:rsidP="0087609E">
      <w:pPr>
        <w:spacing w:after="0"/>
      </w:pPr>
      <w:r>
        <w:separator/>
      </w:r>
    </w:p>
  </w:endnote>
  <w:endnote w:type="continuationSeparator" w:id="0">
    <w:p w14:paraId="3D5FEAC1" w14:textId="77777777" w:rsidR="00BE35AE" w:rsidRDefault="00BE35AE" w:rsidP="008760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17AE" w14:textId="77777777" w:rsidR="00BE35AE" w:rsidRDefault="00BE35AE" w:rsidP="0087609E">
      <w:pPr>
        <w:spacing w:after="0"/>
      </w:pPr>
      <w:r>
        <w:separator/>
      </w:r>
    </w:p>
  </w:footnote>
  <w:footnote w:type="continuationSeparator" w:id="0">
    <w:p w14:paraId="0EE9EE5B" w14:textId="77777777" w:rsidR="00BE35AE" w:rsidRDefault="00BE35AE" w:rsidP="008760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42EF" w14:textId="2A798CBE" w:rsidR="0087609E" w:rsidRDefault="0087609E">
    <w:pPr>
      <w:pStyle w:val="Koptekst"/>
    </w:pPr>
    <w:r>
      <w:rPr>
        <w:rFonts w:asciiTheme="minorHAnsi" w:hAnsiTheme="minorHAnsi"/>
        <w:noProof/>
        <w:color w:val="2C7FCE" w:themeColor="text2" w:themeTint="99"/>
        <w:sz w:val="24"/>
        <w:szCs w:val="28"/>
        <w:lang w:eastAsia="nl-NL"/>
      </w:rPr>
      <w:drawing>
        <wp:anchor distT="0" distB="0" distL="114300" distR="114300" simplePos="0" relativeHeight="251659264" behindDoc="0" locked="0" layoutInCell="1" allowOverlap="1" wp14:anchorId="141910E5" wp14:editId="6CDCA142">
          <wp:simplePos x="0" y="0"/>
          <wp:positionH relativeFrom="margin">
            <wp:align>right</wp:align>
          </wp:positionH>
          <wp:positionV relativeFrom="paragraph">
            <wp:posOffset>212725</wp:posOffset>
          </wp:positionV>
          <wp:extent cx="1159902" cy="488869"/>
          <wp:effectExtent l="0" t="0" r="2540" b="6985"/>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902" cy="488869"/>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D775"/>
    <w:multiLevelType w:val="hybridMultilevel"/>
    <w:tmpl w:val="F7B80F8C"/>
    <w:lvl w:ilvl="0" w:tplc="BE403048">
      <w:start w:val="1"/>
      <w:numFmt w:val="decimal"/>
      <w:lvlText w:val="%1."/>
      <w:lvlJc w:val="left"/>
      <w:pPr>
        <w:ind w:left="720" w:hanging="360"/>
      </w:pPr>
    </w:lvl>
    <w:lvl w:ilvl="1" w:tplc="C0A88056">
      <w:start w:val="1"/>
      <w:numFmt w:val="lowerLetter"/>
      <w:lvlText w:val="%2."/>
      <w:lvlJc w:val="left"/>
      <w:pPr>
        <w:ind w:left="1440" w:hanging="360"/>
      </w:pPr>
    </w:lvl>
    <w:lvl w:ilvl="2" w:tplc="C3680FA0">
      <w:start w:val="1"/>
      <w:numFmt w:val="lowerRoman"/>
      <w:lvlText w:val="%3."/>
      <w:lvlJc w:val="right"/>
      <w:pPr>
        <w:ind w:left="2160" w:hanging="180"/>
      </w:pPr>
    </w:lvl>
    <w:lvl w:ilvl="3" w:tplc="C2829722">
      <w:start w:val="1"/>
      <w:numFmt w:val="decimal"/>
      <w:lvlText w:val="%4."/>
      <w:lvlJc w:val="left"/>
      <w:pPr>
        <w:ind w:left="2880" w:hanging="360"/>
      </w:pPr>
    </w:lvl>
    <w:lvl w:ilvl="4" w:tplc="7A3012B4">
      <w:start w:val="1"/>
      <w:numFmt w:val="lowerLetter"/>
      <w:lvlText w:val="%5."/>
      <w:lvlJc w:val="left"/>
      <w:pPr>
        <w:ind w:left="3600" w:hanging="360"/>
      </w:pPr>
    </w:lvl>
    <w:lvl w:ilvl="5" w:tplc="ECFE8C0E">
      <w:start w:val="1"/>
      <w:numFmt w:val="lowerRoman"/>
      <w:lvlText w:val="%6."/>
      <w:lvlJc w:val="right"/>
      <w:pPr>
        <w:ind w:left="4320" w:hanging="180"/>
      </w:pPr>
    </w:lvl>
    <w:lvl w:ilvl="6" w:tplc="78408EAE">
      <w:start w:val="1"/>
      <w:numFmt w:val="decimal"/>
      <w:lvlText w:val="%7."/>
      <w:lvlJc w:val="left"/>
      <w:pPr>
        <w:ind w:left="5040" w:hanging="360"/>
      </w:pPr>
    </w:lvl>
    <w:lvl w:ilvl="7" w:tplc="4FB8D788">
      <w:start w:val="1"/>
      <w:numFmt w:val="lowerLetter"/>
      <w:lvlText w:val="%8."/>
      <w:lvlJc w:val="left"/>
      <w:pPr>
        <w:ind w:left="5760" w:hanging="360"/>
      </w:pPr>
    </w:lvl>
    <w:lvl w:ilvl="8" w:tplc="338A7DCE">
      <w:start w:val="1"/>
      <w:numFmt w:val="lowerRoman"/>
      <w:lvlText w:val="%9."/>
      <w:lvlJc w:val="right"/>
      <w:pPr>
        <w:ind w:left="6480" w:hanging="180"/>
      </w:pPr>
    </w:lvl>
  </w:abstractNum>
  <w:num w:numId="1" w16cid:durableId="1668555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57"/>
    <w:rsid w:val="00063930"/>
    <w:rsid w:val="000A039E"/>
    <w:rsid w:val="003B232B"/>
    <w:rsid w:val="00842FD7"/>
    <w:rsid w:val="0087609E"/>
    <w:rsid w:val="00990E50"/>
    <w:rsid w:val="00A20EF1"/>
    <w:rsid w:val="00AD0B51"/>
    <w:rsid w:val="00BE35AE"/>
    <w:rsid w:val="00C2507E"/>
    <w:rsid w:val="00DB0E57"/>
    <w:rsid w:val="0907DEEF"/>
    <w:rsid w:val="3E35FAB8"/>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04BB"/>
  <w15:chartTrackingRefBased/>
  <w15:docId w15:val="{B0D95D7A-EB96-4F0F-B963-CFB95676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0E57"/>
    <w:pPr>
      <w:spacing w:after="200" w:line="240"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DB0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0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0E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0E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0E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0E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0E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0E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0E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0E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0E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0E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0E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0E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0E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0E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0E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0E57"/>
    <w:rPr>
      <w:rFonts w:eastAsiaTheme="majorEastAsia" w:cstheme="majorBidi"/>
      <w:color w:val="272727" w:themeColor="text1" w:themeTint="D8"/>
    </w:rPr>
  </w:style>
  <w:style w:type="paragraph" w:styleId="Titel">
    <w:name w:val="Title"/>
    <w:basedOn w:val="Standaard"/>
    <w:next w:val="Standaard"/>
    <w:link w:val="TitelChar"/>
    <w:uiPriority w:val="10"/>
    <w:qFormat/>
    <w:rsid w:val="00DB0E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0E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0E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0E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0E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0E57"/>
    <w:rPr>
      <w:i/>
      <w:iCs/>
      <w:color w:val="404040" w:themeColor="text1" w:themeTint="BF"/>
    </w:rPr>
  </w:style>
  <w:style w:type="paragraph" w:styleId="Lijstalinea">
    <w:name w:val="List Paragraph"/>
    <w:basedOn w:val="Standaard"/>
    <w:link w:val="LijstalineaChar"/>
    <w:uiPriority w:val="34"/>
    <w:qFormat/>
    <w:rsid w:val="00DB0E57"/>
    <w:pPr>
      <w:ind w:left="720"/>
      <w:contextualSpacing/>
    </w:pPr>
  </w:style>
  <w:style w:type="character" w:styleId="Intensievebenadrukking">
    <w:name w:val="Intense Emphasis"/>
    <w:basedOn w:val="Standaardalinea-lettertype"/>
    <w:uiPriority w:val="21"/>
    <w:qFormat/>
    <w:rsid w:val="00DB0E57"/>
    <w:rPr>
      <w:i/>
      <w:iCs/>
      <w:color w:val="0F4761" w:themeColor="accent1" w:themeShade="BF"/>
    </w:rPr>
  </w:style>
  <w:style w:type="paragraph" w:styleId="Duidelijkcitaat">
    <w:name w:val="Intense Quote"/>
    <w:basedOn w:val="Standaard"/>
    <w:next w:val="Standaard"/>
    <w:link w:val="DuidelijkcitaatChar"/>
    <w:uiPriority w:val="30"/>
    <w:qFormat/>
    <w:rsid w:val="00DB0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0E57"/>
    <w:rPr>
      <w:i/>
      <w:iCs/>
      <w:color w:val="0F4761" w:themeColor="accent1" w:themeShade="BF"/>
    </w:rPr>
  </w:style>
  <w:style w:type="character" w:styleId="Intensieveverwijzing">
    <w:name w:val="Intense Reference"/>
    <w:basedOn w:val="Standaardalinea-lettertype"/>
    <w:uiPriority w:val="32"/>
    <w:qFormat/>
    <w:rsid w:val="00DB0E57"/>
    <w:rPr>
      <w:b/>
      <w:bCs/>
      <w:smallCaps/>
      <w:color w:val="0F4761" w:themeColor="accent1" w:themeShade="BF"/>
      <w:spacing w:val="5"/>
    </w:rPr>
  </w:style>
  <w:style w:type="character" w:customStyle="1" w:styleId="LijstalineaChar">
    <w:name w:val="Lijstalinea Char"/>
    <w:basedOn w:val="Standaardalinea-lettertype"/>
    <w:link w:val="Lijstalinea"/>
    <w:uiPriority w:val="34"/>
    <w:locked/>
    <w:rsid w:val="00DB0E57"/>
  </w:style>
  <w:style w:type="paragraph" w:styleId="Koptekst">
    <w:name w:val="header"/>
    <w:basedOn w:val="Standaard"/>
    <w:link w:val="KoptekstChar"/>
    <w:uiPriority w:val="99"/>
    <w:unhideWhenUsed/>
    <w:rsid w:val="0087609E"/>
    <w:pPr>
      <w:tabs>
        <w:tab w:val="center" w:pos="4536"/>
        <w:tab w:val="right" w:pos="9072"/>
      </w:tabs>
      <w:spacing w:after="0"/>
    </w:pPr>
  </w:style>
  <w:style w:type="character" w:customStyle="1" w:styleId="KoptekstChar">
    <w:name w:val="Koptekst Char"/>
    <w:basedOn w:val="Standaardalinea-lettertype"/>
    <w:link w:val="Koptekst"/>
    <w:uiPriority w:val="99"/>
    <w:rsid w:val="0087609E"/>
    <w:rPr>
      <w:rFonts w:ascii="Calibri" w:eastAsia="Calibri" w:hAnsi="Calibri" w:cs="Times New Roman"/>
      <w:kern w:val="0"/>
      <w:sz w:val="22"/>
      <w:szCs w:val="22"/>
      <w14:ligatures w14:val="none"/>
    </w:rPr>
  </w:style>
  <w:style w:type="paragraph" w:styleId="Voettekst">
    <w:name w:val="footer"/>
    <w:basedOn w:val="Standaard"/>
    <w:link w:val="VoettekstChar"/>
    <w:uiPriority w:val="99"/>
    <w:unhideWhenUsed/>
    <w:rsid w:val="0087609E"/>
    <w:pPr>
      <w:tabs>
        <w:tab w:val="center" w:pos="4536"/>
        <w:tab w:val="right" w:pos="9072"/>
      </w:tabs>
      <w:spacing w:after="0"/>
    </w:pPr>
  </w:style>
  <w:style w:type="character" w:customStyle="1" w:styleId="VoettekstChar">
    <w:name w:val="Voettekst Char"/>
    <w:basedOn w:val="Standaardalinea-lettertype"/>
    <w:link w:val="Voettekst"/>
    <w:uiPriority w:val="99"/>
    <w:rsid w:val="0087609E"/>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CE8B3733-23DA-4D94-B8D6-A51A0318D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CA2E03-768C-46AE-9013-09A450CFBBF8}">
  <ds:schemaRefs>
    <ds:schemaRef ds:uri="http://schemas.microsoft.com/sharepoint/v3/contenttype/forms"/>
  </ds:schemaRefs>
</ds:datastoreItem>
</file>

<file path=customXml/itemProps3.xml><?xml version="1.0" encoding="utf-8"?>
<ds:datastoreItem xmlns:ds="http://schemas.openxmlformats.org/officeDocument/2006/customXml" ds:itemID="{0BE5E884-4B79-4793-802B-FEC3C5C62C2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287</Words>
  <Characters>1583</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Wagter | Topsector Logistiek</dc:creator>
  <cp:keywords/>
  <dc:description/>
  <cp:lastModifiedBy>Aarti Paragh | Connekt</cp:lastModifiedBy>
  <cp:revision>6</cp:revision>
  <dcterms:created xsi:type="dcterms:W3CDTF">2025-10-24T10:00:00Z</dcterms:created>
  <dcterms:modified xsi:type="dcterms:W3CDTF">2025-11-10T13:22:00Z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