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D815A" w14:textId="77777777" w:rsidR="00736B59" w:rsidRPr="00736B59" w:rsidRDefault="00736B59" w:rsidP="00736B59">
      <w:pPr>
        <w:rPr>
          <w:b/>
          <w:bCs/>
        </w:rPr>
      </w:pPr>
      <w:r w:rsidRPr="00736B59">
        <w:rPr>
          <w:b/>
          <w:bCs/>
        </w:rPr>
        <w:t>1. Doel en kader van de marktconsultatie</w:t>
      </w:r>
    </w:p>
    <w:p w14:paraId="392851CE" w14:textId="77777777" w:rsidR="00736B59" w:rsidRPr="00736B59" w:rsidRDefault="00736B59" w:rsidP="00736B59">
      <w:r w:rsidRPr="00736B59">
        <w:t>De aanbestedende dienst heeft een marktconsultatie uitgevoerd conform artikel 2.1 lid 3 van de Aanbestedingswet 2012. Deze marktconsultatie is gehouden ter voorbereiding op een mogelijke aanbestedingsprocedure voor de realisatie van een portal.</w:t>
      </w:r>
    </w:p>
    <w:p w14:paraId="5AD72C44" w14:textId="77777777" w:rsidR="00736B59" w:rsidRPr="00736B59" w:rsidRDefault="00736B59" w:rsidP="00736B59">
      <w:r w:rsidRPr="00736B59">
        <w:t>Het doel van deze marktverkenning was het verkrijgen van inzicht in:</w:t>
      </w:r>
    </w:p>
    <w:p w14:paraId="0BCA2424" w14:textId="77777777" w:rsidR="00736B59" w:rsidRPr="00736B59" w:rsidRDefault="00736B59" w:rsidP="00736B59">
      <w:pPr>
        <w:numPr>
          <w:ilvl w:val="0"/>
          <w:numId w:val="1"/>
        </w:numPr>
      </w:pPr>
      <w:r w:rsidRPr="00736B59">
        <w:t>de huidige stand van de markt;</w:t>
      </w:r>
    </w:p>
    <w:p w14:paraId="64D94115" w14:textId="77777777" w:rsidR="00736B59" w:rsidRPr="00736B59" w:rsidRDefault="00736B59" w:rsidP="00736B59">
      <w:pPr>
        <w:numPr>
          <w:ilvl w:val="0"/>
          <w:numId w:val="1"/>
        </w:numPr>
      </w:pPr>
      <w:r w:rsidRPr="00736B59">
        <w:t>beschikbare oplossingen en technologieën;</w:t>
      </w:r>
    </w:p>
    <w:p w14:paraId="7DA2B1D2" w14:textId="77777777" w:rsidR="00736B59" w:rsidRPr="00736B59" w:rsidRDefault="00736B59" w:rsidP="00736B59">
      <w:pPr>
        <w:numPr>
          <w:ilvl w:val="0"/>
          <w:numId w:val="1"/>
        </w:numPr>
      </w:pPr>
      <w:r w:rsidRPr="00736B59">
        <w:t>relevante aandachtspunten en best practices;</w:t>
      </w:r>
    </w:p>
    <w:p w14:paraId="658CB468" w14:textId="77777777" w:rsidR="00736B59" w:rsidRPr="00736B59" w:rsidRDefault="00736B59" w:rsidP="00736B59">
      <w:pPr>
        <w:numPr>
          <w:ilvl w:val="0"/>
          <w:numId w:val="1"/>
        </w:numPr>
      </w:pPr>
      <w:r w:rsidRPr="00736B59">
        <w:t>mogelijke aanpakken en architectuurkeuzes.</w:t>
      </w:r>
    </w:p>
    <w:p w14:paraId="61F1E201" w14:textId="77777777" w:rsidR="00736B59" w:rsidRPr="00736B59" w:rsidRDefault="00736B59" w:rsidP="00736B59">
      <w:r w:rsidRPr="00736B59">
        <w:t>De marktconsultatie heeft uitsluitend een informatief en verkennend karakter gehad. Er zijn geen verplichtingen aangegaan jegens marktpartijen die hebben gereageerd, noch zijn er toezeggingen gedaan over de inhoud, opzet of timing van een eventuele aanbestedingsprocedure.</w:t>
      </w:r>
    </w:p>
    <w:p w14:paraId="1778339B" w14:textId="77777777" w:rsidR="00736B59" w:rsidRPr="00736B59" w:rsidRDefault="00736B59" w:rsidP="00736B59">
      <w:pPr>
        <w:rPr>
          <w:b/>
          <w:bCs/>
        </w:rPr>
      </w:pPr>
      <w:r w:rsidRPr="00736B59">
        <w:rPr>
          <w:b/>
          <w:bCs/>
        </w:rPr>
        <w:t>2. Transparantie en gelijke behandeling</w:t>
      </w:r>
    </w:p>
    <w:p w14:paraId="796082B8" w14:textId="77777777" w:rsidR="00736B59" w:rsidRPr="00736B59" w:rsidRDefault="00736B59" w:rsidP="00736B59">
      <w:r w:rsidRPr="00736B59">
        <w:t>Ter waarborging van transparantie en om alle potentiële inschrijvers bij een eventuele aanbestedingsprocedure in een gelijke informatiepositie te brengen, worden de resultaten van de marktconsultatie hierbij openbaar gemaakt.</w:t>
      </w:r>
    </w:p>
    <w:p w14:paraId="0683BCA4" w14:textId="77777777" w:rsidR="00736B59" w:rsidRPr="00736B59" w:rsidRDefault="00736B59" w:rsidP="00736B59">
      <w:r w:rsidRPr="00736B59">
        <w:t>Alle ontvangen reacties zijn volledig geanonimiseerd. De gepubliceerde antwoorden bevatten geen herleidbare informatie over individuele marktpartijen. De samenvatting is opgesteld op een wijze die gelijke toegang tot informatie waarborgt voor alle geïnteresseerde partijen, ongeacht hun eventuele deelname aan de marktconsultatie.</w:t>
      </w:r>
    </w:p>
    <w:p w14:paraId="06E8935B" w14:textId="77777777" w:rsidR="00736B59" w:rsidRPr="00736B59" w:rsidRDefault="00736B59" w:rsidP="00736B59">
      <w:pPr>
        <w:rPr>
          <w:b/>
          <w:bCs/>
        </w:rPr>
      </w:pPr>
      <w:r w:rsidRPr="00736B59">
        <w:rPr>
          <w:b/>
          <w:bCs/>
        </w:rPr>
        <w:t>3. Niet-bindend karakter</w:t>
      </w:r>
    </w:p>
    <w:p w14:paraId="2369D13E" w14:textId="77777777" w:rsidR="00736B59" w:rsidRPr="00736B59" w:rsidRDefault="00736B59" w:rsidP="00736B59">
      <w:r w:rsidRPr="00736B59">
        <w:t>Aan de marktconsultatie en de hierbij gepubliceerde antwoorden kunnen geen rechten worden ontleend. De aanbestedende dienst is op geen enkele wijze gebonden aan de ontvangen input, suggesties, adviezen of aanbevelingen.</w:t>
      </w:r>
    </w:p>
    <w:p w14:paraId="2D8D006E" w14:textId="77777777" w:rsidR="00736B59" w:rsidRPr="00736B59" w:rsidRDefault="00736B59" w:rsidP="00736B59">
      <w:r w:rsidRPr="00736B59">
        <w:t>De aanbestedende dienst behoudt zich uitdrukkelijk het recht voor om:</w:t>
      </w:r>
    </w:p>
    <w:p w14:paraId="15564BB0" w14:textId="77777777" w:rsidR="00736B59" w:rsidRPr="00736B59" w:rsidRDefault="00736B59" w:rsidP="00736B59">
      <w:pPr>
        <w:numPr>
          <w:ilvl w:val="0"/>
          <w:numId w:val="2"/>
        </w:numPr>
      </w:pPr>
      <w:r w:rsidRPr="00736B59">
        <w:t>af te wijken van in de marktconsultatie genoemde uitgangspunten;</w:t>
      </w:r>
    </w:p>
    <w:p w14:paraId="2AA25C9B" w14:textId="77777777" w:rsidR="00736B59" w:rsidRPr="00736B59" w:rsidRDefault="00736B59" w:rsidP="00736B59">
      <w:pPr>
        <w:numPr>
          <w:ilvl w:val="0"/>
          <w:numId w:val="2"/>
        </w:numPr>
      </w:pPr>
      <w:r w:rsidRPr="00736B59">
        <w:t>de scope, eisen en wensen aan te passen;</w:t>
      </w:r>
    </w:p>
    <w:p w14:paraId="31C76C98" w14:textId="77777777" w:rsidR="00736B59" w:rsidRPr="00736B59" w:rsidRDefault="00736B59" w:rsidP="00736B59">
      <w:pPr>
        <w:numPr>
          <w:ilvl w:val="0"/>
          <w:numId w:val="2"/>
        </w:numPr>
      </w:pPr>
      <w:r w:rsidRPr="00736B59">
        <w:t>geheel of gedeeltelijk andere keuzes te maken dan uit de marktconsultatie zou kunnen worden afgeleid;</w:t>
      </w:r>
    </w:p>
    <w:p w14:paraId="4A9DC53B" w14:textId="77777777" w:rsidR="00736B59" w:rsidRPr="00736B59" w:rsidRDefault="00736B59" w:rsidP="00736B59">
      <w:pPr>
        <w:numPr>
          <w:ilvl w:val="0"/>
          <w:numId w:val="2"/>
        </w:numPr>
      </w:pPr>
      <w:r w:rsidRPr="00736B59">
        <w:t>af te zien van het starten van een aanbestedingsprocedure.</w:t>
      </w:r>
    </w:p>
    <w:p w14:paraId="21A44340" w14:textId="77777777" w:rsidR="00736B59" w:rsidRPr="00736B59" w:rsidRDefault="00736B59" w:rsidP="00736B59">
      <w:r w:rsidRPr="00736B59">
        <w:t>Eventuele vervolgstappen, waaronder de vraag óf en wanneer een aanbestedingsprocedure wordt gestart, alsmede de definitieve inhoud, eisen, wensen en gunningscriteria, blijken uitsluitend uit formele aanbestedingsdocumenten. Alleen deze formele documenten zijn bindend en rechtsgeldig.</w:t>
      </w:r>
    </w:p>
    <w:p w14:paraId="35B4A76C" w14:textId="77777777" w:rsidR="00736B59" w:rsidRPr="00736B59" w:rsidRDefault="00736B59" w:rsidP="00736B59">
      <w:pPr>
        <w:rPr>
          <w:b/>
          <w:bCs/>
        </w:rPr>
      </w:pPr>
      <w:r w:rsidRPr="00736B59">
        <w:rPr>
          <w:b/>
          <w:bCs/>
        </w:rPr>
        <w:t>4. Gebruik van de verkregen input</w:t>
      </w:r>
    </w:p>
    <w:p w14:paraId="6E87A469" w14:textId="77777777" w:rsidR="00736B59" w:rsidRPr="00736B59" w:rsidRDefault="00736B59" w:rsidP="00736B59">
      <w:r w:rsidRPr="00736B59">
        <w:t xml:space="preserve">De door middel van de marktconsultatie verkregen informatie kan door de aanbestedende dienst worden betrokken bij verdere interne overwegingen en de mogelijke voorbereiding van een aanbestedingsprocedure. Dit laat onverlet dat de aanbestedende dienst volledig vrij is in het al dan </w:t>
      </w:r>
      <w:r w:rsidRPr="00736B59">
        <w:lastRenderedPageBreak/>
        <w:t>niet gebruiken van deze informatie en in de wijze waarop zij deze informatie betrekt bij haar besluitvorming.</w:t>
      </w:r>
    </w:p>
    <w:p w14:paraId="64BB499A" w14:textId="77777777" w:rsidR="00736B59" w:rsidRPr="00736B59" w:rsidRDefault="00736B59" w:rsidP="00736B59">
      <w:r w:rsidRPr="00736B59">
        <w:t>De uiteindelijke keuzes met betrekking tot functionele en technische specificaties, selectie- en gunningscriteria, contractvoorwaarden en alle overige aspecten van een eventuele aanbesteding liggen uitsluitend bij de aanbestedende dienst. Deze keuzes worden gemaakt op basis van de eigen afwegingen en behoeften van de aanbestedende dienst, binnen het kader van de toepasselijke wet- en regelgeving.</w:t>
      </w:r>
    </w:p>
    <w:p w14:paraId="000383B9" w14:textId="77777777" w:rsidR="00736B59" w:rsidRPr="00736B59" w:rsidRDefault="00736B59" w:rsidP="00736B59">
      <w:pPr>
        <w:rPr>
          <w:b/>
          <w:bCs/>
        </w:rPr>
      </w:pPr>
      <w:r w:rsidRPr="00736B59">
        <w:rPr>
          <w:b/>
          <w:bCs/>
        </w:rPr>
        <w:t>5. Vervolg</w:t>
      </w:r>
    </w:p>
    <w:p w14:paraId="21E0FD77" w14:textId="7B6D66BD" w:rsidR="00736B59" w:rsidRPr="00736B59" w:rsidRDefault="00736B59" w:rsidP="00736B59">
      <w:r w:rsidRPr="00736B59">
        <w:t>De aanbestedende dienst zal de resultaten van de marktconsultatie intern analyseren en betrekken bij verdere beleidsmatige en organisatorische overwegingen. Op basis hiervan zal worden bezien op welke wijze en binnen welk tijdsbestek, verdere stappen worden ondernomen.</w:t>
      </w:r>
    </w:p>
    <w:p w14:paraId="07C4CD86" w14:textId="2F93C118" w:rsidR="00736B59" w:rsidRPr="00736B59" w:rsidRDefault="00736B59" w:rsidP="00D7385A">
      <w:r w:rsidRPr="00736B59">
        <w:t>Over de aard, inhoud en timing van eventuele vervolgstappen worden op dit moment geen mededelingen g</w:t>
      </w:r>
      <w:r>
        <w:t>e</w:t>
      </w:r>
      <w:r w:rsidRPr="00736B59">
        <w:t xml:space="preserve">daan. </w:t>
      </w:r>
    </w:p>
    <w:p w14:paraId="3C03DF65" w14:textId="6C61914C" w:rsidR="00D7385A" w:rsidRPr="00D7385A" w:rsidRDefault="00736B59" w:rsidP="00D7385A">
      <w:pPr>
        <w:rPr>
          <w:b/>
          <w:bCs/>
        </w:rPr>
      </w:pPr>
      <w:r>
        <w:rPr>
          <w:b/>
          <w:bCs/>
        </w:rPr>
        <w:t xml:space="preserve">6. </w:t>
      </w:r>
      <w:r w:rsidR="00D7385A">
        <w:rPr>
          <w:b/>
          <w:bCs/>
        </w:rPr>
        <w:t>S</w:t>
      </w:r>
      <w:r w:rsidR="00D7385A" w:rsidRPr="00D7385A">
        <w:rPr>
          <w:b/>
          <w:bCs/>
        </w:rPr>
        <w:t>amenvatting van de marktconsultatie</w:t>
      </w:r>
      <w:r w:rsidR="00D7385A">
        <w:rPr>
          <w:b/>
          <w:bCs/>
        </w:rPr>
        <w:t xml:space="preserve"> (Portal)</w:t>
      </w:r>
    </w:p>
    <w:p w14:paraId="7B9E0752" w14:textId="195BAD79" w:rsidR="00D7385A" w:rsidRPr="00D7385A" w:rsidRDefault="00D7385A" w:rsidP="00D7385A">
      <w:r w:rsidRPr="00D7385A">
        <w:t>In het kader van de marktconsultatie zijn do</w:t>
      </w:r>
      <w:r>
        <w:t>o</w:t>
      </w:r>
      <w:r w:rsidRPr="00D7385A">
        <w:t>r verschillende marktpartijen zienswijzen gedeeld over de mogelijke inrichting van een digitaal portaal voor een onderwijsinstelling. De reacties geven inzicht in gangbare benaderingen, aandachtspunten en overwegingen die in de markt leven bij vergelijkbare vraagstukken.</w:t>
      </w:r>
    </w:p>
    <w:p w14:paraId="788BC8A0" w14:textId="77777777" w:rsidR="00D7385A" w:rsidRPr="00D7385A" w:rsidRDefault="00D7385A" w:rsidP="00D7385A">
      <w:pPr>
        <w:rPr>
          <w:u w:val="single"/>
        </w:rPr>
      </w:pPr>
      <w:r w:rsidRPr="00D7385A">
        <w:rPr>
          <w:u w:val="single"/>
        </w:rPr>
        <w:t>Architectuur en technische uitgangspunten</w:t>
      </w:r>
    </w:p>
    <w:p w14:paraId="259C9B70" w14:textId="77777777" w:rsidR="00D7385A" w:rsidRPr="00D7385A" w:rsidRDefault="00D7385A" w:rsidP="00D7385A">
      <w:r w:rsidRPr="00D7385A">
        <w:t>In de ontvangen reacties wordt beschreven dat een digitaal portaal veelal fungeert als een centrale toegangsschil bovenop een bestaand applicatielandschap. Daarbij wordt gewezen op het belang van een architectuur die modulair en schaalbaar is ingericht, zodat het portaal kan meegroeien met veranderende behoeften en systemen. In de reacties worden verschillende architectuurprincipes genoemd, zoals het werken met API-koppelingen, microservices en cloudgebaseerde oplossingen. Zowel geïntegreerde platformbenaderingen als meer modulaire of composable architecturen worden genoemd, waarbij in alle gevallen wordt benadrukt dat bronsystemen leidend blijven voor hun eigen data.</w:t>
      </w:r>
    </w:p>
    <w:p w14:paraId="0403CE2A" w14:textId="77777777" w:rsidR="00D7385A" w:rsidRPr="00D7385A" w:rsidRDefault="00D7385A" w:rsidP="00D7385A">
      <w:pPr>
        <w:rPr>
          <w:u w:val="single"/>
        </w:rPr>
      </w:pPr>
      <w:r w:rsidRPr="00D7385A">
        <w:rPr>
          <w:u w:val="single"/>
        </w:rPr>
        <w:t>Rol van het portaal en samenhang met bronsystemen</w:t>
      </w:r>
    </w:p>
    <w:p w14:paraId="2108D6C2" w14:textId="77777777" w:rsidR="00D7385A" w:rsidRPr="00D7385A" w:rsidRDefault="00D7385A" w:rsidP="00D7385A">
      <w:r w:rsidRPr="00D7385A">
        <w:t>De marktpartijen beschrijven het portaal als een omgeving waarin informatie uit meerdere onderliggende systemen samenkomt, met als doel gebruikers één herkenbaar startpunt te bieden. In dat kader wordt aandacht gevraagd voor de scheiding tussen presentatie, content en data. Onderwijs- en procesdata blijven daarbij in de bronsystemen, terwijl het portaal informatie toont of ontsluit op basis van autorisatie en context. Het belang van duidelijke afspraken over eigenaarschap, datakwaliteit en verantwoordelijkheden tussen systemen wordt in meerdere reacties benoemd.</w:t>
      </w:r>
    </w:p>
    <w:p w14:paraId="6B239E79" w14:textId="77777777" w:rsidR="00D7385A" w:rsidRPr="00D7385A" w:rsidRDefault="00D7385A" w:rsidP="00D7385A">
      <w:pPr>
        <w:rPr>
          <w:u w:val="single"/>
        </w:rPr>
      </w:pPr>
      <w:r w:rsidRPr="00D7385A">
        <w:rPr>
          <w:u w:val="single"/>
        </w:rPr>
        <w:t>Contentbeheer en communicatiefunctionaliteit</w:t>
      </w:r>
    </w:p>
    <w:p w14:paraId="50838B88" w14:textId="77777777" w:rsidR="00D7385A" w:rsidRPr="00D7385A" w:rsidRDefault="00D7385A" w:rsidP="00D7385A">
      <w:r w:rsidRPr="00D7385A">
        <w:t xml:space="preserve">In de reacties wordt uitgebreid stilgestaan bij de rol van content en communicatie binnen een modern portaal. Genoemd worden onder andere nieuwsberichten, contentpagina’s, blogs, notificaties, evenementen, zoekfunctionaliteit en medewerkers- of studentenoverzichten. De marktpartijen beschrijven verschillende manieren om deze functionaliteiten te organiseren, variërend van het gebruik van een afzonderlijk contentmanagementsysteem tot het onderbrengen van deze </w:t>
      </w:r>
      <w:r w:rsidRPr="00D7385A">
        <w:lastRenderedPageBreak/>
        <w:t>functionaliteit binnen één geïntegreerd portaalplatform. Daarbij wordt gewezen op aandachtspunten zoals beheerlast, consistentie in gebruikerservaring en de organisatie van redactiewerkzaamheden.</w:t>
      </w:r>
    </w:p>
    <w:p w14:paraId="618CB8BF" w14:textId="77777777" w:rsidR="00D7385A" w:rsidRPr="00D7385A" w:rsidRDefault="00D7385A" w:rsidP="00D7385A">
      <w:pPr>
        <w:rPr>
          <w:u w:val="single"/>
        </w:rPr>
      </w:pPr>
      <w:r w:rsidRPr="00D7385A">
        <w:rPr>
          <w:u w:val="single"/>
        </w:rPr>
        <w:t>Integraties en gegevensuitwisseling</w:t>
      </w:r>
    </w:p>
    <w:p w14:paraId="6E985724" w14:textId="77777777" w:rsidR="00D7385A" w:rsidRPr="00D7385A" w:rsidRDefault="00D7385A" w:rsidP="00D7385A">
      <w:r w:rsidRPr="00D7385A">
        <w:t>Een belangrijk thema in de marktconsultatie betreft de integratie met bestaande onderwijsspecifieke en generieke bronsystemen. In de reacties wordt het belang benadrukt van goed gedocumenteerde en veilige koppelingen, bij voorkeur gebaseerd op open standaarden. Genoemd worden aandachtspunten zoals autorisatie, monitoring, onderhoud van koppelingen en de beheersbaarheid van afhankelijkheden tussen systemen. Zowel het ontsluiten van gegevens richting het portaal als, in sommige gevallen, het ondersteunen van terugkoppeling of acties richting bronsystemen wordt genoemd als mogelijke behoefte, waarbij de technische haalbaarheid en scope zorgvuldig moeten worden afgebakend.</w:t>
      </w:r>
    </w:p>
    <w:p w14:paraId="65540586" w14:textId="77777777" w:rsidR="00D7385A" w:rsidRPr="00D7385A" w:rsidRDefault="00D7385A" w:rsidP="00D7385A">
      <w:pPr>
        <w:rPr>
          <w:u w:val="single"/>
        </w:rPr>
      </w:pPr>
      <w:r w:rsidRPr="00D7385A">
        <w:rPr>
          <w:u w:val="single"/>
        </w:rPr>
        <w:t>Toekomstbestendigheid, beheer en doorontwikkeling</w:t>
      </w:r>
    </w:p>
    <w:p w14:paraId="6364D2D9" w14:textId="77777777" w:rsidR="00D7385A" w:rsidRPr="00D7385A" w:rsidRDefault="00D7385A" w:rsidP="00D7385A">
      <w:r w:rsidRPr="00D7385A">
        <w:t>De marktpartijen geven aan dat toekomstbestendigheid niet alleen een technische, maar ook een organisatorische opgave is. In de reacties wordt gewezen op het belang van duidelijke governance, afspraken over beheer en eigenaarschap, en een gestructureerde aanpak voor onderhoud en releasemanagement. Daarnaast wordt genoemd dat continue doorontwikkeling, monitoring van prestaties en het gefaseerd uitbreiden van functionaliteit bijdragen aan een duurzaam inzetbaar portaal. Het portaal wordt daarbij niet gezien als een eenmalig project, maar als een voorziening die zich in de tijd blijft ontwikkelen.</w:t>
      </w:r>
    </w:p>
    <w:p w14:paraId="2DF9C1A0" w14:textId="77777777" w:rsidR="00D7385A" w:rsidRPr="00D7385A" w:rsidRDefault="00D7385A" w:rsidP="00D7385A">
      <w:pPr>
        <w:rPr>
          <w:u w:val="single"/>
        </w:rPr>
      </w:pPr>
      <w:r w:rsidRPr="00D7385A">
        <w:rPr>
          <w:u w:val="single"/>
        </w:rPr>
        <w:t>Gebruikerservaring, personalisatie en adoptie</w:t>
      </w:r>
    </w:p>
    <w:p w14:paraId="6185D517" w14:textId="77777777" w:rsidR="00D7385A" w:rsidRPr="00D7385A" w:rsidRDefault="00D7385A" w:rsidP="00D7385A">
      <w:r w:rsidRPr="00D7385A">
        <w:t>In meerdere reacties wordt aandacht besteed aan de gebruikerservaring. Genoemd worden onder meer rol- of doelgroepgerichte personalisatie, ondersteuning van verschillende apparaten en consistente navigatie. Ook het betrekken van eindgebruikers bij ontwerp, testen en verdere ontwikkeling wordt genoemd als factor die kan bijdragen aan adoptie en relevantie. De inrichting van dashboards, zoekfunctionaliteit en gepersonaliseerde informatievoorziening wordt in dat verband genoemd als aandachtspunt.</w:t>
      </w:r>
    </w:p>
    <w:p w14:paraId="664CB582" w14:textId="77777777" w:rsidR="00D7385A" w:rsidRPr="00D7385A" w:rsidRDefault="00D7385A" w:rsidP="00D7385A">
      <w:pPr>
        <w:rPr>
          <w:u w:val="single"/>
        </w:rPr>
      </w:pPr>
      <w:r w:rsidRPr="00D7385A">
        <w:rPr>
          <w:u w:val="single"/>
        </w:rPr>
        <w:t>Toegankelijkheid, privacy en beveiliging</w:t>
      </w:r>
    </w:p>
    <w:p w14:paraId="27DC3A7C" w14:textId="77777777" w:rsidR="00D7385A" w:rsidRPr="00D7385A" w:rsidRDefault="00D7385A" w:rsidP="00D7385A">
      <w:r w:rsidRPr="00D7385A">
        <w:t>De marktpartijen benoemen het belang van naleving van wet- en regelgeving op het gebied van toegankelijkheid, privacy en informatiebeveiliging. Daarbij wordt verwezen naar toegankelijkheidsrichtlijnen zoals WCAG, het principe van dataminimalisatie en het zorgvuldig omgaan met persoonsgegevens. In de reacties wordt beschreven dat het portaal bij voorkeur zo wordt ingericht dat persoonsgegevens zoveel mogelijk bij de bronsystemen blijven en dat het portaal vooral fungeert als presentatie- en toegangslaag. Daarnaast wordt gewezen op het belang van passende beveiligingsmaatregelen, logging en monitoring.</w:t>
      </w:r>
    </w:p>
    <w:p w14:paraId="46BC5CFF" w14:textId="77777777" w:rsidR="00D7385A" w:rsidRPr="00D7385A" w:rsidRDefault="00D7385A" w:rsidP="00D7385A">
      <w:pPr>
        <w:rPr>
          <w:u w:val="single"/>
        </w:rPr>
      </w:pPr>
      <w:r w:rsidRPr="00D7385A">
        <w:rPr>
          <w:u w:val="single"/>
        </w:rPr>
        <w:t>Proof of Concept en afbakening van scope</w:t>
      </w:r>
    </w:p>
    <w:p w14:paraId="43487415" w14:textId="4DF2105E" w:rsidR="00D7385A" w:rsidRPr="00D7385A" w:rsidRDefault="00D7385A" w:rsidP="00D7385A">
      <w:pPr>
        <w:pBdr>
          <w:bottom w:val="single" w:sz="6" w:space="1" w:color="auto"/>
        </w:pBdr>
      </w:pPr>
      <w:r w:rsidRPr="00D7385A">
        <w:t>Ten aanzien van een eventuele Proof of Concept wordt in de reacties aangegeven dat een duidelijke afbakening van scope en doelstelling essentieel is. Genoemd worden randvoorwaarden zoals beschikbaarheid van testomgevingen, documentatie van bronsystemen en heldere use cases. Daarbij wordt benadrukt dat de omvang en diepgang van een Proof of Concept beheersbaar moeten blijven om realistische verwachtingen te waarborgen</w:t>
      </w:r>
      <w:r w:rsidR="00736B59">
        <w:t>.</w:t>
      </w:r>
    </w:p>
    <w:p w14:paraId="20A90290" w14:textId="77777777" w:rsidR="009C70C1" w:rsidRDefault="009C70C1"/>
    <w:sectPr w:rsidR="009C70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F6DE5"/>
    <w:multiLevelType w:val="multilevel"/>
    <w:tmpl w:val="910CF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4046BE"/>
    <w:multiLevelType w:val="multilevel"/>
    <w:tmpl w:val="6E0A1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781B9C"/>
    <w:multiLevelType w:val="multilevel"/>
    <w:tmpl w:val="E6666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9422424">
    <w:abstractNumId w:val="1"/>
  </w:num>
  <w:num w:numId="2" w16cid:durableId="1148134815">
    <w:abstractNumId w:val="2"/>
  </w:num>
  <w:num w:numId="3" w16cid:durableId="1491677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85A"/>
    <w:rsid w:val="00736B59"/>
    <w:rsid w:val="009C70C1"/>
    <w:rsid w:val="00A63FD5"/>
    <w:rsid w:val="00D7385A"/>
    <w:rsid w:val="00D967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AF77E"/>
  <w15:chartTrackingRefBased/>
  <w15:docId w15:val="{57CC573D-9D2E-4BAC-9545-ABC98CFF4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738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738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7385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7385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7385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7385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7385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7385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7385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385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7385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7385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7385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7385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7385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7385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7385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7385A"/>
    <w:rPr>
      <w:rFonts w:eastAsiaTheme="majorEastAsia" w:cstheme="majorBidi"/>
      <w:color w:val="272727" w:themeColor="text1" w:themeTint="D8"/>
    </w:rPr>
  </w:style>
  <w:style w:type="paragraph" w:styleId="Titel">
    <w:name w:val="Title"/>
    <w:basedOn w:val="Standaard"/>
    <w:next w:val="Standaard"/>
    <w:link w:val="TitelChar"/>
    <w:uiPriority w:val="10"/>
    <w:qFormat/>
    <w:rsid w:val="00D738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7385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7385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7385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7385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7385A"/>
    <w:rPr>
      <w:i/>
      <w:iCs/>
      <w:color w:val="404040" w:themeColor="text1" w:themeTint="BF"/>
    </w:rPr>
  </w:style>
  <w:style w:type="paragraph" w:styleId="Lijstalinea">
    <w:name w:val="List Paragraph"/>
    <w:basedOn w:val="Standaard"/>
    <w:uiPriority w:val="34"/>
    <w:qFormat/>
    <w:rsid w:val="00D7385A"/>
    <w:pPr>
      <w:ind w:left="720"/>
      <w:contextualSpacing/>
    </w:pPr>
  </w:style>
  <w:style w:type="character" w:styleId="Intensievebenadrukking">
    <w:name w:val="Intense Emphasis"/>
    <w:basedOn w:val="Standaardalinea-lettertype"/>
    <w:uiPriority w:val="21"/>
    <w:qFormat/>
    <w:rsid w:val="00D7385A"/>
    <w:rPr>
      <w:i/>
      <w:iCs/>
      <w:color w:val="2F5496" w:themeColor="accent1" w:themeShade="BF"/>
    </w:rPr>
  </w:style>
  <w:style w:type="paragraph" w:styleId="Duidelijkcitaat">
    <w:name w:val="Intense Quote"/>
    <w:basedOn w:val="Standaard"/>
    <w:next w:val="Standaard"/>
    <w:link w:val="DuidelijkcitaatChar"/>
    <w:uiPriority w:val="30"/>
    <w:qFormat/>
    <w:rsid w:val="00D738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7385A"/>
    <w:rPr>
      <w:i/>
      <w:iCs/>
      <w:color w:val="2F5496" w:themeColor="accent1" w:themeShade="BF"/>
    </w:rPr>
  </w:style>
  <w:style w:type="character" w:styleId="Intensieveverwijzing">
    <w:name w:val="Intense Reference"/>
    <w:basedOn w:val="Standaardalinea-lettertype"/>
    <w:uiPriority w:val="32"/>
    <w:qFormat/>
    <w:rsid w:val="00D738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1369</Words>
  <Characters>7532</Characters>
  <Application>Microsoft Office Word</Application>
  <DocSecurity>0</DocSecurity>
  <Lines>62</Lines>
  <Paragraphs>17</Paragraphs>
  <ScaleCrop>false</ScaleCrop>
  <Company/>
  <LinksUpToDate>false</LinksUpToDate>
  <CharactersWithSpaces>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Lavrijssen, Teun</dc:creator>
  <cp:keywords/>
  <dc:description/>
  <cp:lastModifiedBy>Lavrijssen, Teun</cp:lastModifiedBy>
  <cp:revision>2</cp:revision>
  <dcterms:created xsi:type="dcterms:W3CDTF">2026-02-06T10:08:00Z</dcterms:created>
  <dcterms:modified xsi:type="dcterms:W3CDTF">2026-02-06T10:16:00Z</dcterms:modified>
</cp:coreProperties>
</file>