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560F" w14:textId="77777777" w:rsidR="0012240B" w:rsidRPr="0012240B" w:rsidRDefault="0012240B" w:rsidP="0012240B">
      <w:pPr>
        <w:pStyle w:val="Lijstalinea"/>
        <w:rPr>
          <w:b/>
          <w:color w:val="00588A"/>
          <w:sz w:val="32"/>
          <w:szCs w:val="32"/>
        </w:rPr>
      </w:pPr>
      <w:r w:rsidRPr="0012240B">
        <w:rPr>
          <w:b/>
          <w:color w:val="00588A"/>
          <w:sz w:val="32"/>
          <w:szCs w:val="32"/>
        </w:rPr>
        <w:t xml:space="preserve">ICT </w:t>
      </w:r>
      <w:r w:rsidRPr="0012240B">
        <w:rPr>
          <w:b/>
          <w:color w:val="00588A"/>
          <w:sz w:val="32"/>
          <w:szCs w:val="32"/>
          <w:lang w:val="x-none"/>
        </w:rPr>
        <w:t>Overeenkoms</w:t>
      </w:r>
      <w:r w:rsidRPr="0012240B">
        <w:rPr>
          <w:b/>
          <w:color w:val="00588A"/>
          <w:sz w:val="32"/>
          <w:szCs w:val="32"/>
        </w:rPr>
        <w:t>t</w:t>
      </w:r>
    </w:p>
    <w:p w14:paraId="40ADB840" w14:textId="77777777" w:rsidR="005773E9" w:rsidRDefault="005773E9" w:rsidP="0012240B">
      <w:pPr>
        <w:pStyle w:val="Lijstalinea"/>
        <w:rPr>
          <w:b/>
          <w:color w:val="00588A"/>
          <w:sz w:val="24"/>
        </w:rPr>
      </w:pPr>
    </w:p>
    <w:p w14:paraId="5B4AB2B8" w14:textId="32A3602F" w:rsidR="0012240B" w:rsidRPr="0012240B" w:rsidRDefault="005773E9" w:rsidP="0012240B">
      <w:pPr>
        <w:pStyle w:val="Lijstalinea"/>
        <w:rPr>
          <w:b/>
          <w:color w:val="00588A"/>
          <w:sz w:val="24"/>
        </w:rPr>
      </w:pPr>
      <w:r>
        <w:rPr>
          <w:b/>
          <w:color w:val="00588A"/>
          <w:sz w:val="24"/>
        </w:rPr>
        <w:t>ICT Diensten</w:t>
      </w:r>
    </w:p>
    <w:p w14:paraId="5BB71ED9" w14:textId="7AC01D19" w:rsidR="0012240B" w:rsidRPr="0012240B" w:rsidRDefault="0012240B" w:rsidP="0012240B">
      <w:pPr>
        <w:pStyle w:val="Lijstalinea"/>
        <w:rPr>
          <w:b/>
          <w:bCs/>
          <w:i/>
          <w:iCs/>
        </w:rPr>
      </w:pPr>
      <w:bookmarkStart w:id="0" w:name="_Hlk501008927"/>
      <w:r w:rsidRPr="0012240B">
        <w:rPr>
          <w:noProof/>
        </w:rPr>
        <mc:AlternateContent>
          <mc:Choice Requires="wps">
            <w:drawing>
              <wp:anchor distT="45720" distB="45720" distL="114300" distR="114300" simplePos="0" relativeHeight="251658240" behindDoc="0" locked="0" layoutInCell="1" allowOverlap="1" wp14:anchorId="1B379029" wp14:editId="121251E9">
                <wp:simplePos x="0" y="0"/>
                <wp:positionH relativeFrom="margin">
                  <wp:posOffset>-405130</wp:posOffset>
                </wp:positionH>
                <wp:positionV relativeFrom="margin">
                  <wp:posOffset>7226300</wp:posOffset>
                </wp:positionV>
                <wp:extent cx="6051550" cy="600075"/>
                <wp:effectExtent l="0" t="0" r="25400" b="28575"/>
                <wp:wrapNone/>
                <wp:docPr id="1633114669"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600075"/>
                        </a:xfrm>
                        <a:prstGeom prst="rect">
                          <a:avLst/>
                        </a:prstGeom>
                        <a:solidFill>
                          <a:srgbClr val="FFFFFF"/>
                        </a:solidFill>
                        <a:ln w="9525">
                          <a:solidFill>
                            <a:srgbClr val="000000"/>
                          </a:solidFill>
                          <a:miter lim="800000"/>
                          <a:headEnd/>
                          <a:tailEnd/>
                        </a:ln>
                      </wps:spPr>
                      <wps:txbx>
                        <w:txbxContent>
                          <w:tbl>
                            <w:tblPr>
                              <w:tblW w:w="16274" w:type="dxa"/>
                              <w:shd w:val="clear" w:color="auto" w:fill="FFFFFF" w:themeFill="background1"/>
                              <w:tblLook w:val="04A0" w:firstRow="1" w:lastRow="0" w:firstColumn="1" w:lastColumn="0" w:noHBand="0" w:noVBand="1"/>
                            </w:tblPr>
                            <w:tblGrid>
                              <w:gridCol w:w="2518"/>
                              <w:gridCol w:w="6878"/>
                              <w:gridCol w:w="6878"/>
                            </w:tblGrid>
                            <w:tr w:rsidR="0012240B" w14:paraId="69E445E0" w14:textId="77777777">
                              <w:trPr>
                                <w:trHeight w:hRule="exact" w:val="284"/>
                              </w:trPr>
                              <w:tc>
                                <w:tcPr>
                                  <w:tcW w:w="2518" w:type="dxa"/>
                                  <w:shd w:val="clear" w:color="auto" w:fill="FFFFFF" w:themeFill="background1"/>
                                  <w:hideMark/>
                                </w:tcPr>
                                <w:p w14:paraId="613F8EFC" w14:textId="77777777" w:rsidR="0012240B" w:rsidRPr="00B10F35" w:rsidRDefault="0012240B">
                                  <w:pPr>
                                    <w:pStyle w:val="Geenafstand"/>
                                    <w:rPr>
                                      <w:rFonts w:cs="Arial"/>
                                      <w:b/>
                                      <w:bCs/>
                                      <w:szCs w:val="20"/>
                                    </w:rPr>
                                  </w:pPr>
                                  <w:r w:rsidRPr="00B10F35">
                                    <w:rPr>
                                      <w:rFonts w:cs="Arial"/>
                                      <w:b/>
                                      <w:bCs/>
                                      <w:szCs w:val="20"/>
                                    </w:rPr>
                                    <w:t>Datum</w:t>
                                  </w:r>
                                </w:p>
                              </w:tc>
                              <w:tc>
                                <w:tcPr>
                                  <w:tcW w:w="6878" w:type="dxa"/>
                                  <w:shd w:val="clear" w:color="auto" w:fill="FFFFFF" w:themeFill="background1"/>
                                  <w:hideMark/>
                                </w:tcPr>
                                <w:p w14:paraId="5E5D3ED9" w14:textId="78E5DBC4" w:rsidR="0012240B" w:rsidRPr="00B10F35" w:rsidRDefault="005773E9">
                                  <w:pPr>
                                    <w:pStyle w:val="Geenafstand"/>
                                    <w:rPr>
                                      <w:rFonts w:cs="Arial"/>
                                      <w:noProof/>
                                      <w:szCs w:val="20"/>
                                    </w:rPr>
                                  </w:pPr>
                                  <w:r w:rsidRPr="00B10F35">
                                    <w:rPr>
                                      <w:rFonts w:cs="Arial"/>
                                      <w:noProof/>
                                      <w:szCs w:val="20"/>
                                    </w:rPr>
                                    <w:t>30-10-2025</w:t>
                                  </w:r>
                                </w:p>
                              </w:tc>
                              <w:tc>
                                <w:tcPr>
                                  <w:tcW w:w="6878" w:type="dxa"/>
                                  <w:shd w:val="clear" w:color="auto" w:fill="FFFFFF" w:themeFill="background1"/>
                                </w:tcPr>
                                <w:p w14:paraId="3A40FADA" w14:textId="77777777" w:rsidR="0012240B" w:rsidRDefault="0012240B">
                                  <w:pPr>
                                    <w:pStyle w:val="Geenafstand"/>
                                    <w:rPr>
                                      <w:rFonts w:asciiTheme="minorHAnsi" w:hAnsiTheme="minorHAnsi" w:cstheme="minorHAnsi"/>
                                      <w:noProof/>
                                      <w:sz w:val="21"/>
                                      <w:szCs w:val="21"/>
                                    </w:rPr>
                                  </w:pPr>
                                </w:p>
                              </w:tc>
                            </w:tr>
                            <w:tr w:rsidR="0012240B" w14:paraId="4283548C" w14:textId="77777777">
                              <w:trPr>
                                <w:trHeight w:hRule="exact" w:val="284"/>
                              </w:trPr>
                              <w:tc>
                                <w:tcPr>
                                  <w:tcW w:w="2518" w:type="dxa"/>
                                  <w:shd w:val="clear" w:color="auto" w:fill="FFFFFF" w:themeFill="background1"/>
                                  <w:hideMark/>
                                </w:tcPr>
                                <w:p w14:paraId="7559838E" w14:textId="77777777" w:rsidR="0012240B" w:rsidRPr="00B10F35" w:rsidRDefault="0012240B">
                                  <w:pPr>
                                    <w:pStyle w:val="Geenafstand"/>
                                    <w:rPr>
                                      <w:rFonts w:cs="Arial"/>
                                      <w:b/>
                                      <w:bCs/>
                                      <w:szCs w:val="20"/>
                                    </w:rPr>
                                  </w:pPr>
                                  <w:r w:rsidRPr="00B10F35">
                                    <w:rPr>
                                      <w:rFonts w:cs="Arial"/>
                                      <w:b/>
                                      <w:bCs/>
                                      <w:szCs w:val="20"/>
                                    </w:rPr>
                                    <w:t>Status</w:t>
                                  </w:r>
                                </w:p>
                              </w:tc>
                              <w:tc>
                                <w:tcPr>
                                  <w:tcW w:w="6878" w:type="dxa"/>
                                  <w:shd w:val="clear" w:color="auto" w:fill="FFFFFF" w:themeFill="background1"/>
                                  <w:hideMark/>
                                </w:tcPr>
                                <w:p w14:paraId="0618CEFB" w14:textId="252CDF46" w:rsidR="0012240B" w:rsidRPr="00B10F35" w:rsidRDefault="0012240B">
                                  <w:pPr>
                                    <w:pStyle w:val="Geenafstand"/>
                                    <w:rPr>
                                      <w:rFonts w:cs="Arial"/>
                                      <w:szCs w:val="20"/>
                                    </w:rPr>
                                  </w:pPr>
                                  <w:r w:rsidRPr="00B10F35">
                                    <w:rPr>
                                      <w:rFonts w:cs="Arial"/>
                                      <w:szCs w:val="20"/>
                                    </w:rPr>
                                    <w:t xml:space="preserve">CONCEPT </w:t>
                                  </w:r>
                                </w:p>
                              </w:tc>
                              <w:tc>
                                <w:tcPr>
                                  <w:tcW w:w="6878" w:type="dxa"/>
                                  <w:shd w:val="clear" w:color="auto" w:fill="FFFFFF" w:themeFill="background1"/>
                                  <w:hideMark/>
                                </w:tcPr>
                                <w:p w14:paraId="00C93859" w14:textId="77777777" w:rsidR="0012240B" w:rsidRDefault="0012240B">
                                  <w:pPr>
                                    <w:pStyle w:val="Geenafstand"/>
                                    <w:rPr>
                                      <w:rFonts w:asciiTheme="minorHAnsi" w:hAnsiTheme="minorHAnsi" w:cstheme="minorHAnsi"/>
                                      <w:color w:val="00B0F0"/>
                                      <w:sz w:val="21"/>
                                      <w:szCs w:val="22"/>
                                    </w:rPr>
                                  </w:pPr>
                                  <w:r>
                                    <w:t>Concept</w:t>
                                  </w:r>
                                </w:p>
                              </w:tc>
                            </w:tr>
                            <w:tr w:rsidR="0012240B" w14:paraId="2631D2A8" w14:textId="77777777">
                              <w:trPr>
                                <w:trHeight w:hRule="exact" w:val="282"/>
                              </w:trPr>
                              <w:tc>
                                <w:tcPr>
                                  <w:tcW w:w="2518" w:type="dxa"/>
                                  <w:shd w:val="clear" w:color="auto" w:fill="FFFFFF" w:themeFill="background1"/>
                                  <w:hideMark/>
                                </w:tcPr>
                                <w:p w14:paraId="434F4AC3" w14:textId="77777777" w:rsidR="0012240B" w:rsidRPr="00B10F35" w:rsidRDefault="0012240B">
                                  <w:pPr>
                                    <w:pStyle w:val="Geenafstand"/>
                                    <w:rPr>
                                      <w:rFonts w:cs="Arial"/>
                                      <w:b/>
                                      <w:bCs/>
                                      <w:szCs w:val="20"/>
                                    </w:rPr>
                                  </w:pPr>
                                  <w:r w:rsidRPr="00B10F35">
                                    <w:rPr>
                                      <w:rFonts w:cs="Arial"/>
                                      <w:b/>
                                      <w:bCs/>
                                      <w:szCs w:val="20"/>
                                    </w:rPr>
                                    <w:t>Versie</w:t>
                                  </w:r>
                                </w:p>
                              </w:tc>
                              <w:tc>
                                <w:tcPr>
                                  <w:tcW w:w="6878" w:type="dxa"/>
                                  <w:shd w:val="clear" w:color="auto" w:fill="FFFFFF" w:themeFill="background1"/>
                                  <w:hideMark/>
                                </w:tcPr>
                                <w:p w14:paraId="53F40038" w14:textId="17512946" w:rsidR="0012240B" w:rsidRPr="00B10F35" w:rsidRDefault="005773E9">
                                  <w:pPr>
                                    <w:pStyle w:val="Geenafstand"/>
                                    <w:rPr>
                                      <w:rFonts w:cs="Arial"/>
                                      <w:szCs w:val="20"/>
                                    </w:rPr>
                                  </w:pPr>
                                  <w:r w:rsidRPr="00B10F35">
                                    <w:rPr>
                                      <w:rFonts w:cs="Arial"/>
                                      <w:szCs w:val="20"/>
                                    </w:rPr>
                                    <w:t>0.1</w:t>
                                  </w:r>
                                </w:p>
                              </w:tc>
                              <w:tc>
                                <w:tcPr>
                                  <w:tcW w:w="6878" w:type="dxa"/>
                                  <w:shd w:val="clear" w:color="auto" w:fill="FFFFFF" w:themeFill="background1"/>
                                  <w:hideMark/>
                                </w:tcPr>
                                <w:p w14:paraId="52B934F7" w14:textId="77777777" w:rsidR="0012240B" w:rsidRDefault="0012240B">
                                  <w:pPr>
                                    <w:pStyle w:val="Geenafstand"/>
                                    <w:rPr>
                                      <w:rFonts w:asciiTheme="minorHAnsi" w:hAnsiTheme="minorHAnsi" w:cstheme="minorHAnsi"/>
                                      <w:color w:val="00B0F0"/>
                                      <w:sz w:val="21"/>
                                      <w:szCs w:val="22"/>
                                    </w:rPr>
                                  </w:pPr>
                                  <w:r>
                                    <w:t>1</w:t>
                                  </w:r>
                                </w:p>
                              </w:tc>
                            </w:tr>
                            <w:tr w:rsidR="0012240B" w14:paraId="6654E506" w14:textId="77777777" w:rsidTr="005773E9">
                              <w:trPr>
                                <w:trHeight w:hRule="exact" w:val="284"/>
                              </w:trPr>
                              <w:tc>
                                <w:tcPr>
                                  <w:tcW w:w="2518" w:type="dxa"/>
                                  <w:shd w:val="clear" w:color="auto" w:fill="FFFFFF" w:themeFill="background1"/>
                                </w:tcPr>
                                <w:p w14:paraId="606B3239" w14:textId="34F9741C" w:rsidR="0012240B" w:rsidRDefault="0012240B">
                                  <w:pPr>
                                    <w:pStyle w:val="Geenafstand"/>
                                    <w:rPr>
                                      <w:rFonts w:ascii="Arial" w:hAnsi="Arial" w:cs="Arial"/>
                                      <w:b/>
                                      <w:bCs/>
                                      <w:szCs w:val="20"/>
                                    </w:rPr>
                                  </w:pPr>
                                </w:p>
                              </w:tc>
                              <w:tc>
                                <w:tcPr>
                                  <w:tcW w:w="6878" w:type="dxa"/>
                                  <w:shd w:val="clear" w:color="auto" w:fill="FFFFFF" w:themeFill="background1"/>
                                </w:tcPr>
                                <w:p w14:paraId="0B72A195" w14:textId="1FA9178E" w:rsidR="0012240B" w:rsidRDefault="0012240B">
                                  <w:pPr>
                                    <w:pStyle w:val="Geenafstand"/>
                                    <w:rPr>
                                      <w:rFonts w:ascii="Arial" w:hAnsi="Arial" w:cs="Arial"/>
                                      <w:szCs w:val="20"/>
                                    </w:rPr>
                                  </w:pPr>
                                </w:p>
                              </w:tc>
                              <w:tc>
                                <w:tcPr>
                                  <w:tcW w:w="6878" w:type="dxa"/>
                                  <w:shd w:val="clear" w:color="auto" w:fill="FFFFFF" w:themeFill="background1"/>
                                  <w:hideMark/>
                                </w:tcPr>
                                <w:p w14:paraId="47AD81AF" w14:textId="77777777" w:rsidR="0012240B" w:rsidRDefault="0012240B">
                                  <w:pPr>
                                    <w:pStyle w:val="Geenafstand"/>
                                    <w:rPr>
                                      <w:rFonts w:asciiTheme="minorHAnsi" w:hAnsiTheme="minorHAnsi" w:cstheme="minorHAnsi"/>
                                      <w:color w:val="00B0F0"/>
                                      <w:sz w:val="21"/>
                                      <w:szCs w:val="22"/>
                                    </w:rPr>
                                  </w:pPr>
                                  <w:r>
                                    <w:t>Z-</w:t>
                                  </w:r>
                                </w:p>
                              </w:tc>
                            </w:tr>
                          </w:tbl>
                          <w:p w14:paraId="61E2F7D6" w14:textId="77777777" w:rsidR="0012240B" w:rsidRDefault="0012240B" w:rsidP="0012240B">
                            <w:pPr>
                              <w:rPr>
                                <w:rFonts w:ascii="Calibri" w:hAnsi="Calibri" w:cstheme="minorHAnsi"/>
                                <w:sz w:val="21"/>
                                <w:szCs w:val="21"/>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79029" id="_x0000_t202" coordsize="21600,21600" o:spt="202" path="m,l,21600r21600,l21600,xe">
                <v:stroke joinstyle="miter"/>
                <v:path gradientshapeok="t" o:connecttype="rect"/>
              </v:shapetype>
              <v:shape id="Tekstvak 4" o:spid="_x0000_s1026" type="#_x0000_t202" style="position:absolute;left:0;text-align:left;margin-left:-31.9pt;margin-top:569pt;width:476.5pt;height:4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2SIAIAAEcEAAAOAAAAZHJzL2Uyb0RvYy54bWysU1Fv0zAQfkfiP1h+p0mrptuiptPoKEIa&#10;DGnwAxzHbiwcn7HdJuPXc3ayrgx4Qfjh5POdv7v77m59PXSaHIXzCkxF57OcEmE4NMrsK/r1y+7N&#10;JSU+MNMwDUZU9FF4er15/Wrd21IsoAXdCEcQxPiytxVtQ7Bllnneio75GVhh0CjBdSyg6vZZ41iP&#10;6J3OFnm+ynpwjXXAhff4ejsa6SbhSyl4uJfSi0B0RTG3kKRLso4y26xZuXfMtopPabB/yKJjymDQ&#10;E9QtC4wcnPoNqlPcgQcZZhy6DKRUXKQasJp5/qKah5ZZkWpBcrw90eT/Hyz/dHywnx0Jw1sYsIGp&#10;CG/vgH/zxMC2ZWYvbpyDvhWswcDzSFnWW19OXyPVvvQRpO4/QoNNZocACWiQrousYJ0E0bEBjyfS&#10;xRAIx8dVXsyLAk0cbas8zy+KFIKVT7+t8+G9gI7ES0UdNjWhs+OdDzEbVj65xGAetGp2SuukuH29&#10;1Y4cGQ7ALp0J/Rc3bUhf0atiUYwE/BUC88PzJ4hOBZxkrbqKXp6cWBlpe2eaNGeBKT3eMWVtJh4j&#10;dSOJYagHdIx81tA8IqMOxonFDQv3KKQGzJNrZSlpwf14+Rb9cDjQQkmPU11R//3AnKBEfzDYvav5&#10;chnXICnL4mKBiju31OcWZjhCVTRQMl63Ia1OJNbADXZZqtSA54ynmnBaU1+mzYrrcK4nr+f93/wE&#10;AAD//wMAUEsDBBQABgAIAAAAIQDA7xOX4gAAAA0BAAAPAAAAZHJzL2Rvd25yZXYueG1sTI/NTsMw&#10;EITvSLyDtUhcUOs0geCGOBVCAsENCoKrG2+TCP8E203D27Oc4Lgzo9lv6s1sDZswxME7CatlBgxd&#10;6/XgOglvr/cLASwm5bQy3qGEb4ywaU5PalVpf3QvOG1Tx6jExUpJ6FMaK85j26NVcelHdOTtfbAq&#10;0Rk6roM6Urk1PM+ykls1OPrQqxHvemw/twcrQVw+Th/xqXh+b8u9WaeL6+nhK0h5fjbf3gBLOKe/&#10;MPziEzo0xLTzB6cjMxIWZUHoiYxVIWgVRYRY58B2JOVFfgW8qfn/Fc0PAAAA//8DAFBLAQItABQA&#10;BgAIAAAAIQC2gziS/gAAAOEBAAATAAAAAAAAAAAAAAAAAAAAAABbQ29udGVudF9UeXBlc10ueG1s&#10;UEsBAi0AFAAGAAgAAAAhADj9If/WAAAAlAEAAAsAAAAAAAAAAAAAAAAALwEAAF9yZWxzLy5yZWxz&#10;UEsBAi0AFAAGAAgAAAAhANmWzZIgAgAARwQAAA4AAAAAAAAAAAAAAAAALgIAAGRycy9lMm9Eb2Mu&#10;eG1sUEsBAi0AFAAGAAgAAAAhAMDvE5fiAAAADQEAAA8AAAAAAAAAAAAAAAAAegQAAGRycy9kb3du&#10;cmV2LnhtbFBLBQYAAAAABAAEAPMAAACJBQAAAAA=&#10;">
                <v:textbox>
                  <w:txbxContent>
                    <w:tbl>
                      <w:tblPr>
                        <w:tblW w:w="16274" w:type="dxa"/>
                        <w:shd w:val="clear" w:color="auto" w:fill="FFFFFF" w:themeFill="background1"/>
                        <w:tblLook w:val="04A0" w:firstRow="1" w:lastRow="0" w:firstColumn="1" w:lastColumn="0" w:noHBand="0" w:noVBand="1"/>
                      </w:tblPr>
                      <w:tblGrid>
                        <w:gridCol w:w="2518"/>
                        <w:gridCol w:w="6878"/>
                        <w:gridCol w:w="6878"/>
                      </w:tblGrid>
                      <w:tr w:rsidR="0012240B" w14:paraId="69E445E0" w14:textId="77777777">
                        <w:trPr>
                          <w:trHeight w:hRule="exact" w:val="284"/>
                        </w:trPr>
                        <w:tc>
                          <w:tcPr>
                            <w:tcW w:w="2518" w:type="dxa"/>
                            <w:shd w:val="clear" w:color="auto" w:fill="FFFFFF" w:themeFill="background1"/>
                            <w:hideMark/>
                          </w:tcPr>
                          <w:p w14:paraId="613F8EFC" w14:textId="77777777" w:rsidR="0012240B" w:rsidRPr="00B10F35" w:rsidRDefault="0012240B">
                            <w:pPr>
                              <w:pStyle w:val="Geenafstand"/>
                              <w:rPr>
                                <w:rFonts w:cs="Arial"/>
                                <w:b/>
                                <w:bCs/>
                                <w:szCs w:val="20"/>
                              </w:rPr>
                            </w:pPr>
                            <w:r w:rsidRPr="00B10F35">
                              <w:rPr>
                                <w:rFonts w:cs="Arial"/>
                                <w:b/>
                                <w:bCs/>
                                <w:szCs w:val="20"/>
                              </w:rPr>
                              <w:t>Datum</w:t>
                            </w:r>
                          </w:p>
                        </w:tc>
                        <w:tc>
                          <w:tcPr>
                            <w:tcW w:w="6878" w:type="dxa"/>
                            <w:shd w:val="clear" w:color="auto" w:fill="FFFFFF" w:themeFill="background1"/>
                            <w:hideMark/>
                          </w:tcPr>
                          <w:p w14:paraId="5E5D3ED9" w14:textId="78E5DBC4" w:rsidR="0012240B" w:rsidRPr="00B10F35" w:rsidRDefault="005773E9">
                            <w:pPr>
                              <w:pStyle w:val="Geenafstand"/>
                              <w:rPr>
                                <w:rFonts w:cs="Arial"/>
                                <w:noProof/>
                                <w:szCs w:val="20"/>
                              </w:rPr>
                            </w:pPr>
                            <w:r w:rsidRPr="00B10F35">
                              <w:rPr>
                                <w:rFonts w:cs="Arial"/>
                                <w:noProof/>
                                <w:szCs w:val="20"/>
                              </w:rPr>
                              <w:t>30-10-2025</w:t>
                            </w:r>
                          </w:p>
                        </w:tc>
                        <w:tc>
                          <w:tcPr>
                            <w:tcW w:w="6878" w:type="dxa"/>
                            <w:shd w:val="clear" w:color="auto" w:fill="FFFFFF" w:themeFill="background1"/>
                          </w:tcPr>
                          <w:p w14:paraId="3A40FADA" w14:textId="77777777" w:rsidR="0012240B" w:rsidRDefault="0012240B">
                            <w:pPr>
                              <w:pStyle w:val="Geenafstand"/>
                              <w:rPr>
                                <w:rFonts w:asciiTheme="minorHAnsi" w:hAnsiTheme="minorHAnsi" w:cstheme="minorHAnsi"/>
                                <w:noProof/>
                                <w:sz w:val="21"/>
                                <w:szCs w:val="21"/>
                              </w:rPr>
                            </w:pPr>
                          </w:p>
                        </w:tc>
                      </w:tr>
                      <w:tr w:rsidR="0012240B" w14:paraId="4283548C" w14:textId="77777777">
                        <w:trPr>
                          <w:trHeight w:hRule="exact" w:val="284"/>
                        </w:trPr>
                        <w:tc>
                          <w:tcPr>
                            <w:tcW w:w="2518" w:type="dxa"/>
                            <w:shd w:val="clear" w:color="auto" w:fill="FFFFFF" w:themeFill="background1"/>
                            <w:hideMark/>
                          </w:tcPr>
                          <w:p w14:paraId="7559838E" w14:textId="77777777" w:rsidR="0012240B" w:rsidRPr="00B10F35" w:rsidRDefault="0012240B">
                            <w:pPr>
                              <w:pStyle w:val="Geenafstand"/>
                              <w:rPr>
                                <w:rFonts w:cs="Arial"/>
                                <w:b/>
                                <w:bCs/>
                                <w:szCs w:val="20"/>
                              </w:rPr>
                            </w:pPr>
                            <w:r w:rsidRPr="00B10F35">
                              <w:rPr>
                                <w:rFonts w:cs="Arial"/>
                                <w:b/>
                                <w:bCs/>
                                <w:szCs w:val="20"/>
                              </w:rPr>
                              <w:t>Status</w:t>
                            </w:r>
                          </w:p>
                        </w:tc>
                        <w:tc>
                          <w:tcPr>
                            <w:tcW w:w="6878" w:type="dxa"/>
                            <w:shd w:val="clear" w:color="auto" w:fill="FFFFFF" w:themeFill="background1"/>
                            <w:hideMark/>
                          </w:tcPr>
                          <w:p w14:paraId="0618CEFB" w14:textId="252CDF46" w:rsidR="0012240B" w:rsidRPr="00B10F35" w:rsidRDefault="0012240B">
                            <w:pPr>
                              <w:pStyle w:val="Geenafstand"/>
                              <w:rPr>
                                <w:rFonts w:cs="Arial"/>
                                <w:szCs w:val="20"/>
                              </w:rPr>
                            </w:pPr>
                            <w:r w:rsidRPr="00B10F35">
                              <w:rPr>
                                <w:rFonts w:cs="Arial"/>
                                <w:szCs w:val="20"/>
                              </w:rPr>
                              <w:t xml:space="preserve">CONCEPT </w:t>
                            </w:r>
                          </w:p>
                        </w:tc>
                        <w:tc>
                          <w:tcPr>
                            <w:tcW w:w="6878" w:type="dxa"/>
                            <w:shd w:val="clear" w:color="auto" w:fill="FFFFFF" w:themeFill="background1"/>
                            <w:hideMark/>
                          </w:tcPr>
                          <w:p w14:paraId="00C93859" w14:textId="77777777" w:rsidR="0012240B" w:rsidRDefault="0012240B">
                            <w:pPr>
                              <w:pStyle w:val="Geenafstand"/>
                              <w:rPr>
                                <w:rFonts w:asciiTheme="minorHAnsi" w:hAnsiTheme="minorHAnsi" w:cstheme="minorHAnsi"/>
                                <w:color w:val="00B0F0"/>
                                <w:sz w:val="21"/>
                                <w:szCs w:val="22"/>
                              </w:rPr>
                            </w:pPr>
                            <w:r>
                              <w:t>Concept</w:t>
                            </w:r>
                          </w:p>
                        </w:tc>
                      </w:tr>
                      <w:tr w:rsidR="0012240B" w14:paraId="2631D2A8" w14:textId="77777777">
                        <w:trPr>
                          <w:trHeight w:hRule="exact" w:val="282"/>
                        </w:trPr>
                        <w:tc>
                          <w:tcPr>
                            <w:tcW w:w="2518" w:type="dxa"/>
                            <w:shd w:val="clear" w:color="auto" w:fill="FFFFFF" w:themeFill="background1"/>
                            <w:hideMark/>
                          </w:tcPr>
                          <w:p w14:paraId="434F4AC3" w14:textId="77777777" w:rsidR="0012240B" w:rsidRPr="00B10F35" w:rsidRDefault="0012240B">
                            <w:pPr>
                              <w:pStyle w:val="Geenafstand"/>
                              <w:rPr>
                                <w:rFonts w:cs="Arial"/>
                                <w:b/>
                                <w:bCs/>
                                <w:szCs w:val="20"/>
                              </w:rPr>
                            </w:pPr>
                            <w:r w:rsidRPr="00B10F35">
                              <w:rPr>
                                <w:rFonts w:cs="Arial"/>
                                <w:b/>
                                <w:bCs/>
                                <w:szCs w:val="20"/>
                              </w:rPr>
                              <w:t>Versie</w:t>
                            </w:r>
                          </w:p>
                        </w:tc>
                        <w:tc>
                          <w:tcPr>
                            <w:tcW w:w="6878" w:type="dxa"/>
                            <w:shd w:val="clear" w:color="auto" w:fill="FFFFFF" w:themeFill="background1"/>
                            <w:hideMark/>
                          </w:tcPr>
                          <w:p w14:paraId="53F40038" w14:textId="17512946" w:rsidR="0012240B" w:rsidRPr="00B10F35" w:rsidRDefault="005773E9">
                            <w:pPr>
                              <w:pStyle w:val="Geenafstand"/>
                              <w:rPr>
                                <w:rFonts w:cs="Arial"/>
                                <w:szCs w:val="20"/>
                              </w:rPr>
                            </w:pPr>
                            <w:r w:rsidRPr="00B10F35">
                              <w:rPr>
                                <w:rFonts w:cs="Arial"/>
                                <w:szCs w:val="20"/>
                              </w:rPr>
                              <w:t>0.1</w:t>
                            </w:r>
                          </w:p>
                        </w:tc>
                        <w:tc>
                          <w:tcPr>
                            <w:tcW w:w="6878" w:type="dxa"/>
                            <w:shd w:val="clear" w:color="auto" w:fill="FFFFFF" w:themeFill="background1"/>
                            <w:hideMark/>
                          </w:tcPr>
                          <w:p w14:paraId="52B934F7" w14:textId="77777777" w:rsidR="0012240B" w:rsidRDefault="0012240B">
                            <w:pPr>
                              <w:pStyle w:val="Geenafstand"/>
                              <w:rPr>
                                <w:rFonts w:asciiTheme="minorHAnsi" w:hAnsiTheme="minorHAnsi" w:cstheme="minorHAnsi"/>
                                <w:color w:val="00B0F0"/>
                                <w:sz w:val="21"/>
                                <w:szCs w:val="22"/>
                              </w:rPr>
                            </w:pPr>
                            <w:r>
                              <w:t>1</w:t>
                            </w:r>
                          </w:p>
                        </w:tc>
                      </w:tr>
                      <w:tr w:rsidR="0012240B" w14:paraId="6654E506" w14:textId="77777777" w:rsidTr="005773E9">
                        <w:trPr>
                          <w:trHeight w:hRule="exact" w:val="284"/>
                        </w:trPr>
                        <w:tc>
                          <w:tcPr>
                            <w:tcW w:w="2518" w:type="dxa"/>
                            <w:shd w:val="clear" w:color="auto" w:fill="FFFFFF" w:themeFill="background1"/>
                          </w:tcPr>
                          <w:p w14:paraId="606B3239" w14:textId="34F9741C" w:rsidR="0012240B" w:rsidRDefault="0012240B">
                            <w:pPr>
                              <w:pStyle w:val="Geenafstand"/>
                              <w:rPr>
                                <w:rFonts w:ascii="Arial" w:hAnsi="Arial" w:cs="Arial"/>
                                <w:b/>
                                <w:bCs/>
                                <w:szCs w:val="20"/>
                              </w:rPr>
                            </w:pPr>
                          </w:p>
                        </w:tc>
                        <w:tc>
                          <w:tcPr>
                            <w:tcW w:w="6878" w:type="dxa"/>
                            <w:shd w:val="clear" w:color="auto" w:fill="FFFFFF" w:themeFill="background1"/>
                          </w:tcPr>
                          <w:p w14:paraId="0B72A195" w14:textId="1FA9178E" w:rsidR="0012240B" w:rsidRDefault="0012240B">
                            <w:pPr>
                              <w:pStyle w:val="Geenafstand"/>
                              <w:rPr>
                                <w:rFonts w:ascii="Arial" w:hAnsi="Arial" w:cs="Arial"/>
                                <w:szCs w:val="20"/>
                              </w:rPr>
                            </w:pPr>
                          </w:p>
                        </w:tc>
                        <w:tc>
                          <w:tcPr>
                            <w:tcW w:w="6878" w:type="dxa"/>
                            <w:shd w:val="clear" w:color="auto" w:fill="FFFFFF" w:themeFill="background1"/>
                            <w:hideMark/>
                          </w:tcPr>
                          <w:p w14:paraId="47AD81AF" w14:textId="77777777" w:rsidR="0012240B" w:rsidRDefault="0012240B">
                            <w:pPr>
                              <w:pStyle w:val="Geenafstand"/>
                              <w:rPr>
                                <w:rFonts w:asciiTheme="minorHAnsi" w:hAnsiTheme="minorHAnsi" w:cstheme="minorHAnsi"/>
                                <w:color w:val="00B0F0"/>
                                <w:sz w:val="21"/>
                                <w:szCs w:val="22"/>
                              </w:rPr>
                            </w:pPr>
                            <w:r>
                              <w:t>Z-</w:t>
                            </w:r>
                          </w:p>
                        </w:tc>
                      </w:tr>
                    </w:tbl>
                    <w:p w14:paraId="61E2F7D6" w14:textId="77777777" w:rsidR="0012240B" w:rsidRDefault="0012240B" w:rsidP="0012240B">
                      <w:pPr>
                        <w:rPr>
                          <w:rFonts w:ascii="Calibri" w:hAnsi="Calibri" w:cstheme="minorHAnsi"/>
                          <w:sz w:val="21"/>
                          <w:szCs w:val="21"/>
                        </w:rPr>
                      </w:pPr>
                    </w:p>
                  </w:txbxContent>
                </v:textbox>
                <w10:wrap anchorx="margin" anchory="margin"/>
              </v:shape>
            </w:pict>
          </mc:Fallback>
        </mc:AlternateContent>
      </w:r>
      <w:bookmarkStart w:id="1" w:name="_Hlk501008947"/>
      <w:bookmarkEnd w:id="0"/>
      <w:r w:rsidRPr="0012240B">
        <w:rPr>
          <w:b/>
          <w:bCs/>
          <w:i/>
          <w:iCs/>
        </w:rPr>
        <w:br w:type="page"/>
      </w:r>
      <w:bookmarkEnd w:id="1"/>
    </w:p>
    <w:sdt>
      <w:sdtPr>
        <w:rPr>
          <w:rFonts w:ascii="Verdana" w:eastAsiaTheme="minorHAnsi" w:hAnsi="Verdana" w:cstheme="minorBidi"/>
          <w:color w:val="auto"/>
          <w:sz w:val="20"/>
          <w:szCs w:val="24"/>
          <w:lang w:eastAsia="en-US"/>
        </w:rPr>
        <w:id w:val="185713468"/>
        <w:docPartObj>
          <w:docPartGallery w:val="Table of Contents"/>
          <w:docPartUnique/>
        </w:docPartObj>
      </w:sdtPr>
      <w:sdtEndPr>
        <w:rPr>
          <w:b/>
          <w:bCs/>
        </w:rPr>
      </w:sdtEndPr>
      <w:sdtContent>
        <w:p w14:paraId="451F33F5" w14:textId="1A758A94" w:rsidR="0012240B" w:rsidRPr="00B10F35" w:rsidRDefault="0012240B">
          <w:pPr>
            <w:pStyle w:val="Kopvaninhoudsopgave"/>
            <w:rPr>
              <w:rFonts w:ascii="Verdana" w:hAnsi="Verdana"/>
              <w:b/>
              <w:bCs/>
              <w:sz w:val="20"/>
              <w:szCs w:val="20"/>
            </w:rPr>
          </w:pPr>
          <w:r w:rsidRPr="00B10F35">
            <w:rPr>
              <w:rFonts w:ascii="Verdana" w:hAnsi="Verdana"/>
              <w:b/>
              <w:bCs/>
              <w:sz w:val="20"/>
              <w:szCs w:val="20"/>
            </w:rPr>
            <w:t>Inhoud</w:t>
          </w:r>
          <w:r w:rsidR="00B10F35">
            <w:rPr>
              <w:rFonts w:ascii="Verdana" w:hAnsi="Verdana"/>
              <w:b/>
              <w:bCs/>
              <w:sz w:val="20"/>
              <w:szCs w:val="20"/>
            </w:rPr>
            <w:t>sopgave</w:t>
          </w:r>
        </w:p>
        <w:p w14:paraId="402C676C" w14:textId="77174D89" w:rsidR="00A36363" w:rsidRDefault="0012240B">
          <w:pPr>
            <w:pStyle w:val="Inhopg1"/>
            <w:tabs>
              <w:tab w:val="right" w:leader="dot" w:pos="8920"/>
            </w:tabs>
            <w:rPr>
              <w:rFonts w:asciiTheme="minorHAnsi" w:eastAsiaTheme="minorEastAsia" w:hAnsiTheme="minorHAnsi"/>
              <w:noProof/>
              <w:kern w:val="2"/>
              <w:sz w:val="24"/>
              <w:lang w:eastAsia="nl-NL"/>
              <w14:ligatures w14:val="standardContextual"/>
            </w:rPr>
          </w:pPr>
          <w:r>
            <w:fldChar w:fldCharType="begin"/>
          </w:r>
          <w:r>
            <w:instrText xml:space="preserve"> TOC \o "1-2" \h \z \u </w:instrText>
          </w:r>
          <w:r>
            <w:fldChar w:fldCharType="separate"/>
          </w:r>
          <w:hyperlink w:anchor="_Toc213076415" w:history="1">
            <w:r w:rsidR="00A36363" w:rsidRPr="00961D1A">
              <w:rPr>
                <w:rStyle w:val="Hyperlink"/>
                <w:noProof/>
              </w:rPr>
              <w:t>Algemeen</w:t>
            </w:r>
            <w:r w:rsidR="00A36363">
              <w:rPr>
                <w:noProof/>
                <w:webHidden/>
              </w:rPr>
              <w:tab/>
            </w:r>
            <w:r w:rsidR="00A36363">
              <w:rPr>
                <w:noProof/>
                <w:webHidden/>
              </w:rPr>
              <w:fldChar w:fldCharType="begin"/>
            </w:r>
            <w:r w:rsidR="00A36363">
              <w:rPr>
                <w:noProof/>
                <w:webHidden/>
              </w:rPr>
              <w:instrText xml:space="preserve"> PAGEREF _Toc213076415 \h </w:instrText>
            </w:r>
            <w:r w:rsidR="00A36363">
              <w:rPr>
                <w:noProof/>
                <w:webHidden/>
              </w:rPr>
            </w:r>
            <w:r w:rsidR="00A36363">
              <w:rPr>
                <w:noProof/>
                <w:webHidden/>
              </w:rPr>
              <w:fldChar w:fldCharType="separate"/>
            </w:r>
            <w:r w:rsidR="00A36363">
              <w:rPr>
                <w:noProof/>
                <w:webHidden/>
              </w:rPr>
              <w:t>4</w:t>
            </w:r>
            <w:r w:rsidR="00A36363">
              <w:rPr>
                <w:noProof/>
                <w:webHidden/>
              </w:rPr>
              <w:fldChar w:fldCharType="end"/>
            </w:r>
          </w:hyperlink>
        </w:p>
        <w:p w14:paraId="02886CBC" w14:textId="164CDC47"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16" w:history="1">
            <w:r w:rsidRPr="00961D1A">
              <w:rPr>
                <w:rStyle w:val="Hyperlink"/>
                <w:noProof/>
              </w:rPr>
              <w:t>Artikel 1. Definities</w:t>
            </w:r>
            <w:r>
              <w:rPr>
                <w:noProof/>
                <w:webHidden/>
              </w:rPr>
              <w:tab/>
            </w:r>
            <w:r>
              <w:rPr>
                <w:noProof/>
                <w:webHidden/>
              </w:rPr>
              <w:fldChar w:fldCharType="begin"/>
            </w:r>
            <w:r>
              <w:rPr>
                <w:noProof/>
                <w:webHidden/>
              </w:rPr>
              <w:instrText xml:space="preserve"> PAGEREF _Toc213076416 \h </w:instrText>
            </w:r>
            <w:r>
              <w:rPr>
                <w:noProof/>
                <w:webHidden/>
              </w:rPr>
            </w:r>
            <w:r>
              <w:rPr>
                <w:noProof/>
                <w:webHidden/>
              </w:rPr>
              <w:fldChar w:fldCharType="separate"/>
            </w:r>
            <w:r>
              <w:rPr>
                <w:noProof/>
                <w:webHidden/>
              </w:rPr>
              <w:t>4</w:t>
            </w:r>
            <w:r>
              <w:rPr>
                <w:noProof/>
                <w:webHidden/>
              </w:rPr>
              <w:fldChar w:fldCharType="end"/>
            </w:r>
          </w:hyperlink>
        </w:p>
        <w:p w14:paraId="46C01B3F" w14:textId="4DED237D"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17" w:history="1">
            <w:r w:rsidRPr="00961D1A">
              <w:rPr>
                <w:rStyle w:val="Hyperlink"/>
                <w:noProof/>
              </w:rPr>
              <w:t>Artikel 2. Inhoud van de Overeenkomst</w:t>
            </w:r>
            <w:r>
              <w:rPr>
                <w:noProof/>
                <w:webHidden/>
              </w:rPr>
              <w:tab/>
            </w:r>
            <w:r>
              <w:rPr>
                <w:noProof/>
                <w:webHidden/>
              </w:rPr>
              <w:fldChar w:fldCharType="begin"/>
            </w:r>
            <w:r>
              <w:rPr>
                <w:noProof/>
                <w:webHidden/>
              </w:rPr>
              <w:instrText xml:space="preserve"> PAGEREF _Toc213076417 \h </w:instrText>
            </w:r>
            <w:r>
              <w:rPr>
                <w:noProof/>
                <w:webHidden/>
              </w:rPr>
            </w:r>
            <w:r>
              <w:rPr>
                <w:noProof/>
                <w:webHidden/>
              </w:rPr>
              <w:fldChar w:fldCharType="separate"/>
            </w:r>
            <w:r>
              <w:rPr>
                <w:noProof/>
                <w:webHidden/>
              </w:rPr>
              <w:t>4</w:t>
            </w:r>
            <w:r>
              <w:rPr>
                <w:noProof/>
                <w:webHidden/>
              </w:rPr>
              <w:fldChar w:fldCharType="end"/>
            </w:r>
          </w:hyperlink>
        </w:p>
        <w:p w14:paraId="52E22D82" w14:textId="054D5E12"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18" w:history="1">
            <w:r w:rsidRPr="00961D1A">
              <w:rPr>
                <w:rStyle w:val="Hyperlink"/>
                <w:noProof/>
              </w:rPr>
              <w:t>Artikel 3. Duur van de Overeenkomst</w:t>
            </w:r>
            <w:r>
              <w:rPr>
                <w:noProof/>
                <w:webHidden/>
              </w:rPr>
              <w:tab/>
            </w:r>
            <w:r>
              <w:rPr>
                <w:noProof/>
                <w:webHidden/>
              </w:rPr>
              <w:fldChar w:fldCharType="begin"/>
            </w:r>
            <w:r>
              <w:rPr>
                <w:noProof/>
                <w:webHidden/>
              </w:rPr>
              <w:instrText xml:space="preserve"> PAGEREF _Toc213076418 \h </w:instrText>
            </w:r>
            <w:r>
              <w:rPr>
                <w:noProof/>
                <w:webHidden/>
              </w:rPr>
            </w:r>
            <w:r>
              <w:rPr>
                <w:noProof/>
                <w:webHidden/>
              </w:rPr>
              <w:fldChar w:fldCharType="separate"/>
            </w:r>
            <w:r>
              <w:rPr>
                <w:noProof/>
                <w:webHidden/>
              </w:rPr>
              <w:t>5</w:t>
            </w:r>
            <w:r>
              <w:rPr>
                <w:noProof/>
                <w:webHidden/>
              </w:rPr>
              <w:fldChar w:fldCharType="end"/>
            </w:r>
          </w:hyperlink>
        </w:p>
        <w:p w14:paraId="49F8BB1A" w14:textId="24A05399"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19" w:history="1">
            <w:r w:rsidRPr="00961D1A">
              <w:rPr>
                <w:rStyle w:val="Hyperlink"/>
                <w:noProof/>
              </w:rPr>
              <w:t>Artikel 4. Vertegenwoordiging van Partijen</w:t>
            </w:r>
            <w:r>
              <w:rPr>
                <w:noProof/>
                <w:webHidden/>
              </w:rPr>
              <w:tab/>
            </w:r>
            <w:r>
              <w:rPr>
                <w:noProof/>
                <w:webHidden/>
              </w:rPr>
              <w:fldChar w:fldCharType="begin"/>
            </w:r>
            <w:r>
              <w:rPr>
                <w:noProof/>
                <w:webHidden/>
              </w:rPr>
              <w:instrText xml:space="preserve"> PAGEREF _Toc213076419 \h </w:instrText>
            </w:r>
            <w:r>
              <w:rPr>
                <w:noProof/>
                <w:webHidden/>
              </w:rPr>
            </w:r>
            <w:r>
              <w:rPr>
                <w:noProof/>
                <w:webHidden/>
              </w:rPr>
              <w:fldChar w:fldCharType="separate"/>
            </w:r>
            <w:r>
              <w:rPr>
                <w:noProof/>
                <w:webHidden/>
              </w:rPr>
              <w:t>5</w:t>
            </w:r>
            <w:r>
              <w:rPr>
                <w:noProof/>
                <w:webHidden/>
              </w:rPr>
              <w:fldChar w:fldCharType="end"/>
            </w:r>
          </w:hyperlink>
        </w:p>
        <w:p w14:paraId="662EBD58" w14:textId="5178664C"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0" w:history="1">
            <w:r w:rsidRPr="00961D1A">
              <w:rPr>
                <w:rStyle w:val="Hyperlink"/>
                <w:noProof/>
                <w:lang w:val="en-US"/>
              </w:rPr>
              <w:t>Artikel 5. Social Return on Investment (SROI)</w:t>
            </w:r>
            <w:r>
              <w:rPr>
                <w:noProof/>
                <w:webHidden/>
              </w:rPr>
              <w:tab/>
            </w:r>
            <w:r>
              <w:rPr>
                <w:noProof/>
                <w:webHidden/>
              </w:rPr>
              <w:fldChar w:fldCharType="begin"/>
            </w:r>
            <w:r>
              <w:rPr>
                <w:noProof/>
                <w:webHidden/>
              </w:rPr>
              <w:instrText xml:space="preserve"> PAGEREF _Toc213076420 \h </w:instrText>
            </w:r>
            <w:r>
              <w:rPr>
                <w:noProof/>
                <w:webHidden/>
              </w:rPr>
            </w:r>
            <w:r>
              <w:rPr>
                <w:noProof/>
                <w:webHidden/>
              </w:rPr>
              <w:fldChar w:fldCharType="separate"/>
            </w:r>
            <w:r>
              <w:rPr>
                <w:noProof/>
                <w:webHidden/>
              </w:rPr>
              <w:t>6</w:t>
            </w:r>
            <w:r>
              <w:rPr>
                <w:noProof/>
                <w:webHidden/>
              </w:rPr>
              <w:fldChar w:fldCharType="end"/>
            </w:r>
          </w:hyperlink>
        </w:p>
        <w:p w14:paraId="2A22BE33" w14:textId="7F7FFB94" w:rsidR="00A36363" w:rsidRDefault="00A36363">
          <w:pPr>
            <w:pStyle w:val="Inhopg1"/>
            <w:tabs>
              <w:tab w:val="right" w:leader="dot" w:pos="8920"/>
            </w:tabs>
            <w:rPr>
              <w:rFonts w:asciiTheme="minorHAnsi" w:eastAsiaTheme="minorEastAsia" w:hAnsiTheme="minorHAnsi"/>
              <w:noProof/>
              <w:kern w:val="2"/>
              <w:sz w:val="24"/>
              <w:lang w:eastAsia="nl-NL"/>
              <w14:ligatures w14:val="standardContextual"/>
            </w:rPr>
          </w:pPr>
          <w:hyperlink w:anchor="_Toc213076421" w:history="1">
            <w:r w:rsidRPr="00961D1A">
              <w:rPr>
                <w:rStyle w:val="Hyperlink"/>
                <w:noProof/>
              </w:rPr>
              <w:t>Omschrijving ICT Prestatie</w:t>
            </w:r>
            <w:r>
              <w:rPr>
                <w:noProof/>
                <w:webHidden/>
              </w:rPr>
              <w:tab/>
            </w:r>
            <w:r>
              <w:rPr>
                <w:noProof/>
                <w:webHidden/>
              </w:rPr>
              <w:fldChar w:fldCharType="begin"/>
            </w:r>
            <w:r>
              <w:rPr>
                <w:noProof/>
                <w:webHidden/>
              </w:rPr>
              <w:instrText xml:space="preserve"> PAGEREF _Toc213076421 \h </w:instrText>
            </w:r>
            <w:r>
              <w:rPr>
                <w:noProof/>
                <w:webHidden/>
              </w:rPr>
            </w:r>
            <w:r>
              <w:rPr>
                <w:noProof/>
                <w:webHidden/>
              </w:rPr>
              <w:fldChar w:fldCharType="separate"/>
            </w:r>
            <w:r>
              <w:rPr>
                <w:noProof/>
                <w:webHidden/>
              </w:rPr>
              <w:t>6</w:t>
            </w:r>
            <w:r>
              <w:rPr>
                <w:noProof/>
                <w:webHidden/>
              </w:rPr>
              <w:fldChar w:fldCharType="end"/>
            </w:r>
          </w:hyperlink>
        </w:p>
        <w:p w14:paraId="11E76D37" w14:textId="09E5E520"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2" w:history="1">
            <w:r w:rsidRPr="00961D1A">
              <w:rPr>
                <w:rStyle w:val="Hyperlink"/>
                <w:noProof/>
              </w:rPr>
              <w:t>Artikel 6. Voorwerp van de Overeenkomst</w:t>
            </w:r>
            <w:r>
              <w:rPr>
                <w:noProof/>
                <w:webHidden/>
              </w:rPr>
              <w:tab/>
            </w:r>
            <w:r>
              <w:rPr>
                <w:noProof/>
                <w:webHidden/>
              </w:rPr>
              <w:fldChar w:fldCharType="begin"/>
            </w:r>
            <w:r>
              <w:rPr>
                <w:noProof/>
                <w:webHidden/>
              </w:rPr>
              <w:instrText xml:space="preserve"> PAGEREF _Toc213076422 \h </w:instrText>
            </w:r>
            <w:r>
              <w:rPr>
                <w:noProof/>
                <w:webHidden/>
              </w:rPr>
            </w:r>
            <w:r>
              <w:rPr>
                <w:noProof/>
                <w:webHidden/>
              </w:rPr>
              <w:fldChar w:fldCharType="separate"/>
            </w:r>
            <w:r>
              <w:rPr>
                <w:noProof/>
                <w:webHidden/>
              </w:rPr>
              <w:t>6</w:t>
            </w:r>
            <w:r>
              <w:rPr>
                <w:noProof/>
                <w:webHidden/>
              </w:rPr>
              <w:fldChar w:fldCharType="end"/>
            </w:r>
          </w:hyperlink>
        </w:p>
        <w:p w14:paraId="7655A3C7" w14:textId="65FF8E49"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3" w:history="1">
            <w:r w:rsidRPr="00961D1A">
              <w:rPr>
                <w:rStyle w:val="Hyperlink"/>
                <w:noProof/>
              </w:rPr>
              <w:t>Artikel 7. Implementatie</w:t>
            </w:r>
            <w:r>
              <w:rPr>
                <w:noProof/>
                <w:webHidden/>
              </w:rPr>
              <w:tab/>
            </w:r>
            <w:r>
              <w:rPr>
                <w:noProof/>
                <w:webHidden/>
              </w:rPr>
              <w:fldChar w:fldCharType="begin"/>
            </w:r>
            <w:r>
              <w:rPr>
                <w:noProof/>
                <w:webHidden/>
              </w:rPr>
              <w:instrText xml:space="preserve"> PAGEREF _Toc213076423 \h </w:instrText>
            </w:r>
            <w:r>
              <w:rPr>
                <w:noProof/>
                <w:webHidden/>
              </w:rPr>
            </w:r>
            <w:r>
              <w:rPr>
                <w:noProof/>
                <w:webHidden/>
              </w:rPr>
              <w:fldChar w:fldCharType="separate"/>
            </w:r>
            <w:r>
              <w:rPr>
                <w:noProof/>
                <w:webHidden/>
              </w:rPr>
              <w:t>7</w:t>
            </w:r>
            <w:r>
              <w:rPr>
                <w:noProof/>
                <w:webHidden/>
              </w:rPr>
              <w:fldChar w:fldCharType="end"/>
            </w:r>
          </w:hyperlink>
        </w:p>
        <w:p w14:paraId="4E791077" w14:textId="304E230A"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4" w:history="1">
            <w:r w:rsidRPr="00961D1A">
              <w:rPr>
                <w:rStyle w:val="Hyperlink"/>
                <w:noProof/>
              </w:rPr>
              <w:t>Artikel 8. Acceptatie</w:t>
            </w:r>
            <w:r>
              <w:rPr>
                <w:noProof/>
                <w:webHidden/>
              </w:rPr>
              <w:tab/>
            </w:r>
            <w:r>
              <w:rPr>
                <w:noProof/>
                <w:webHidden/>
              </w:rPr>
              <w:fldChar w:fldCharType="begin"/>
            </w:r>
            <w:r>
              <w:rPr>
                <w:noProof/>
                <w:webHidden/>
              </w:rPr>
              <w:instrText xml:space="preserve"> PAGEREF _Toc213076424 \h </w:instrText>
            </w:r>
            <w:r>
              <w:rPr>
                <w:noProof/>
                <w:webHidden/>
              </w:rPr>
            </w:r>
            <w:r>
              <w:rPr>
                <w:noProof/>
                <w:webHidden/>
              </w:rPr>
              <w:fldChar w:fldCharType="separate"/>
            </w:r>
            <w:r>
              <w:rPr>
                <w:noProof/>
                <w:webHidden/>
              </w:rPr>
              <w:t>7</w:t>
            </w:r>
            <w:r>
              <w:rPr>
                <w:noProof/>
                <w:webHidden/>
              </w:rPr>
              <w:fldChar w:fldCharType="end"/>
            </w:r>
          </w:hyperlink>
        </w:p>
        <w:p w14:paraId="157972C9" w14:textId="4AC7431C"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5" w:history="1">
            <w:r w:rsidRPr="00961D1A">
              <w:rPr>
                <w:rStyle w:val="Hyperlink"/>
                <w:noProof/>
              </w:rPr>
              <w:t>Artikel 9. Onderhoud en ondersteuning</w:t>
            </w:r>
            <w:r>
              <w:rPr>
                <w:noProof/>
                <w:webHidden/>
              </w:rPr>
              <w:tab/>
            </w:r>
            <w:r>
              <w:rPr>
                <w:noProof/>
                <w:webHidden/>
              </w:rPr>
              <w:fldChar w:fldCharType="begin"/>
            </w:r>
            <w:r>
              <w:rPr>
                <w:noProof/>
                <w:webHidden/>
              </w:rPr>
              <w:instrText xml:space="preserve"> PAGEREF _Toc213076425 \h </w:instrText>
            </w:r>
            <w:r>
              <w:rPr>
                <w:noProof/>
                <w:webHidden/>
              </w:rPr>
            </w:r>
            <w:r>
              <w:rPr>
                <w:noProof/>
                <w:webHidden/>
              </w:rPr>
              <w:fldChar w:fldCharType="separate"/>
            </w:r>
            <w:r>
              <w:rPr>
                <w:noProof/>
                <w:webHidden/>
              </w:rPr>
              <w:t>7</w:t>
            </w:r>
            <w:r>
              <w:rPr>
                <w:noProof/>
                <w:webHidden/>
              </w:rPr>
              <w:fldChar w:fldCharType="end"/>
            </w:r>
          </w:hyperlink>
        </w:p>
        <w:p w14:paraId="6F353C6B" w14:textId="4B2756C6"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6" w:history="1">
            <w:r w:rsidRPr="00961D1A">
              <w:rPr>
                <w:rStyle w:val="Hyperlink"/>
                <w:noProof/>
              </w:rPr>
              <w:t>Artikel 10. Dienstverlening op Afstand</w:t>
            </w:r>
            <w:r>
              <w:rPr>
                <w:noProof/>
                <w:webHidden/>
              </w:rPr>
              <w:tab/>
            </w:r>
            <w:r>
              <w:rPr>
                <w:noProof/>
                <w:webHidden/>
              </w:rPr>
              <w:fldChar w:fldCharType="begin"/>
            </w:r>
            <w:r>
              <w:rPr>
                <w:noProof/>
                <w:webHidden/>
              </w:rPr>
              <w:instrText xml:space="preserve"> PAGEREF _Toc213076426 \h </w:instrText>
            </w:r>
            <w:r>
              <w:rPr>
                <w:noProof/>
                <w:webHidden/>
              </w:rPr>
            </w:r>
            <w:r>
              <w:rPr>
                <w:noProof/>
                <w:webHidden/>
              </w:rPr>
              <w:fldChar w:fldCharType="separate"/>
            </w:r>
            <w:r>
              <w:rPr>
                <w:noProof/>
                <w:webHidden/>
              </w:rPr>
              <w:t>7</w:t>
            </w:r>
            <w:r>
              <w:rPr>
                <w:noProof/>
                <w:webHidden/>
              </w:rPr>
              <w:fldChar w:fldCharType="end"/>
            </w:r>
          </w:hyperlink>
        </w:p>
        <w:p w14:paraId="685BC5F0" w14:textId="01421CA7"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7" w:history="1">
            <w:r w:rsidRPr="00961D1A">
              <w:rPr>
                <w:rStyle w:val="Hyperlink"/>
                <w:noProof/>
              </w:rPr>
              <w:t>Artikel 11. Exit-plan</w:t>
            </w:r>
            <w:r>
              <w:rPr>
                <w:noProof/>
                <w:webHidden/>
              </w:rPr>
              <w:tab/>
            </w:r>
            <w:r>
              <w:rPr>
                <w:noProof/>
                <w:webHidden/>
              </w:rPr>
              <w:fldChar w:fldCharType="begin"/>
            </w:r>
            <w:r>
              <w:rPr>
                <w:noProof/>
                <w:webHidden/>
              </w:rPr>
              <w:instrText xml:space="preserve"> PAGEREF _Toc213076427 \h </w:instrText>
            </w:r>
            <w:r>
              <w:rPr>
                <w:noProof/>
                <w:webHidden/>
              </w:rPr>
            </w:r>
            <w:r>
              <w:rPr>
                <w:noProof/>
                <w:webHidden/>
              </w:rPr>
              <w:fldChar w:fldCharType="separate"/>
            </w:r>
            <w:r>
              <w:rPr>
                <w:noProof/>
                <w:webHidden/>
              </w:rPr>
              <w:t>8</w:t>
            </w:r>
            <w:r>
              <w:rPr>
                <w:noProof/>
                <w:webHidden/>
              </w:rPr>
              <w:fldChar w:fldCharType="end"/>
            </w:r>
          </w:hyperlink>
        </w:p>
        <w:p w14:paraId="23C565C6" w14:textId="43249206"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8" w:history="1">
            <w:r w:rsidRPr="00961D1A">
              <w:rPr>
                <w:rStyle w:val="Hyperlink"/>
                <w:noProof/>
              </w:rPr>
              <w:t>Artikel 12. Verwerking van persoonsgegevens</w:t>
            </w:r>
            <w:r>
              <w:rPr>
                <w:noProof/>
                <w:webHidden/>
              </w:rPr>
              <w:tab/>
            </w:r>
            <w:r>
              <w:rPr>
                <w:noProof/>
                <w:webHidden/>
              </w:rPr>
              <w:fldChar w:fldCharType="begin"/>
            </w:r>
            <w:r>
              <w:rPr>
                <w:noProof/>
                <w:webHidden/>
              </w:rPr>
              <w:instrText xml:space="preserve"> PAGEREF _Toc213076428 \h </w:instrText>
            </w:r>
            <w:r>
              <w:rPr>
                <w:noProof/>
                <w:webHidden/>
              </w:rPr>
            </w:r>
            <w:r>
              <w:rPr>
                <w:noProof/>
                <w:webHidden/>
              </w:rPr>
              <w:fldChar w:fldCharType="separate"/>
            </w:r>
            <w:r>
              <w:rPr>
                <w:noProof/>
                <w:webHidden/>
              </w:rPr>
              <w:t>8</w:t>
            </w:r>
            <w:r>
              <w:rPr>
                <w:noProof/>
                <w:webHidden/>
              </w:rPr>
              <w:fldChar w:fldCharType="end"/>
            </w:r>
          </w:hyperlink>
        </w:p>
        <w:p w14:paraId="66DE31BF" w14:textId="219F35E0"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29" w:history="1">
            <w:r w:rsidRPr="00961D1A">
              <w:rPr>
                <w:rStyle w:val="Hyperlink"/>
                <w:noProof/>
              </w:rPr>
              <w:t>Artikel 13. Communicatie en informatievoorziening</w:t>
            </w:r>
            <w:r>
              <w:rPr>
                <w:noProof/>
                <w:webHidden/>
              </w:rPr>
              <w:tab/>
            </w:r>
            <w:r>
              <w:rPr>
                <w:noProof/>
                <w:webHidden/>
              </w:rPr>
              <w:fldChar w:fldCharType="begin"/>
            </w:r>
            <w:r>
              <w:rPr>
                <w:noProof/>
                <w:webHidden/>
              </w:rPr>
              <w:instrText xml:space="preserve"> PAGEREF _Toc213076429 \h </w:instrText>
            </w:r>
            <w:r>
              <w:rPr>
                <w:noProof/>
                <w:webHidden/>
              </w:rPr>
            </w:r>
            <w:r>
              <w:rPr>
                <w:noProof/>
                <w:webHidden/>
              </w:rPr>
              <w:fldChar w:fldCharType="separate"/>
            </w:r>
            <w:r>
              <w:rPr>
                <w:noProof/>
                <w:webHidden/>
              </w:rPr>
              <w:t>8</w:t>
            </w:r>
            <w:r>
              <w:rPr>
                <w:noProof/>
                <w:webHidden/>
              </w:rPr>
              <w:fldChar w:fldCharType="end"/>
            </w:r>
          </w:hyperlink>
        </w:p>
        <w:p w14:paraId="75275DE6" w14:textId="5674B400"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30" w:history="1">
            <w:r w:rsidRPr="00961D1A">
              <w:rPr>
                <w:rStyle w:val="Hyperlink"/>
                <w:noProof/>
              </w:rPr>
              <w:t>Artikel 14. Prijzen en tarieven</w:t>
            </w:r>
            <w:r>
              <w:rPr>
                <w:noProof/>
                <w:webHidden/>
              </w:rPr>
              <w:tab/>
            </w:r>
            <w:r>
              <w:rPr>
                <w:noProof/>
                <w:webHidden/>
              </w:rPr>
              <w:fldChar w:fldCharType="begin"/>
            </w:r>
            <w:r>
              <w:rPr>
                <w:noProof/>
                <w:webHidden/>
              </w:rPr>
              <w:instrText xml:space="preserve"> PAGEREF _Toc213076430 \h </w:instrText>
            </w:r>
            <w:r>
              <w:rPr>
                <w:noProof/>
                <w:webHidden/>
              </w:rPr>
            </w:r>
            <w:r>
              <w:rPr>
                <w:noProof/>
                <w:webHidden/>
              </w:rPr>
              <w:fldChar w:fldCharType="separate"/>
            </w:r>
            <w:r>
              <w:rPr>
                <w:noProof/>
                <w:webHidden/>
              </w:rPr>
              <w:t>9</w:t>
            </w:r>
            <w:r>
              <w:rPr>
                <w:noProof/>
                <w:webHidden/>
              </w:rPr>
              <w:fldChar w:fldCharType="end"/>
            </w:r>
          </w:hyperlink>
        </w:p>
        <w:p w14:paraId="024A47E1" w14:textId="307E9127"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31" w:history="1">
            <w:r w:rsidRPr="00961D1A">
              <w:rPr>
                <w:rStyle w:val="Hyperlink"/>
                <w:noProof/>
              </w:rPr>
              <w:t>Artikel 15. Verantwoording, facturering en betaling</w:t>
            </w:r>
            <w:r>
              <w:rPr>
                <w:noProof/>
                <w:webHidden/>
              </w:rPr>
              <w:tab/>
            </w:r>
            <w:r>
              <w:rPr>
                <w:noProof/>
                <w:webHidden/>
              </w:rPr>
              <w:fldChar w:fldCharType="begin"/>
            </w:r>
            <w:r>
              <w:rPr>
                <w:noProof/>
                <w:webHidden/>
              </w:rPr>
              <w:instrText xml:space="preserve"> PAGEREF _Toc213076431 \h </w:instrText>
            </w:r>
            <w:r>
              <w:rPr>
                <w:noProof/>
                <w:webHidden/>
              </w:rPr>
            </w:r>
            <w:r>
              <w:rPr>
                <w:noProof/>
                <w:webHidden/>
              </w:rPr>
              <w:fldChar w:fldCharType="separate"/>
            </w:r>
            <w:r>
              <w:rPr>
                <w:noProof/>
                <w:webHidden/>
              </w:rPr>
              <w:t>10</w:t>
            </w:r>
            <w:r>
              <w:rPr>
                <w:noProof/>
                <w:webHidden/>
              </w:rPr>
              <w:fldChar w:fldCharType="end"/>
            </w:r>
          </w:hyperlink>
        </w:p>
        <w:p w14:paraId="76B43802" w14:textId="6B06DD84" w:rsidR="00A36363" w:rsidRDefault="00A36363">
          <w:pPr>
            <w:pStyle w:val="Inhopg1"/>
            <w:tabs>
              <w:tab w:val="right" w:leader="dot" w:pos="8920"/>
            </w:tabs>
            <w:rPr>
              <w:rFonts w:asciiTheme="minorHAnsi" w:eastAsiaTheme="minorEastAsia" w:hAnsiTheme="minorHAnsi"/>
              <w:noProof/>
              <w:kern w:val="2"/>
              <w:sz w:val="24"/>
              <w:lang w:eastAsia="nl-NL"/>
              <w14:ligatures w14:val="standardContextual"/>
            </w:rPr>
          </w:pPr>
          <w:hyperlink w:anchor="_Toc213076432" w:history="1">
            <w:r w:rsidRPr="00961D1A">
              <w:rPr>
                <w:rStyle w:val="Hyperlink"/>
                <w:noProof/>
              </w:rPr>
              <w:t>Juridische aspecten</w:t>
            </w:r>
            <w:r>
              <w:rPr>
                <w:noProof/>
                <w:webHidden/>
              </w:rPr>
              <w:tab/>
            </w:r>
            <w:r>
              <w:rPr>
                <w:noProof/>
                <w:webHidden/>
              </w:rPr>
              <w:fldChar w:fldCharType="begin"/>
            </w:r>
            <w:r>
              <w:rPr>
                <w:noProof/>
                <w:webHidden/>
              </w:rPr>
              <w:instrText xml:space="preserve"> PAGEREF _Toc213076432 \h </w:instrText>
            </w:r>
            <w:r>
              <w:rPr>
                <w:noProof/>
                <w:webHidden/>
              </w:rPr>
            </w:r>
            <w:r>
              <w:rPr>
                <w:noProof/>
                <w:webHidden/>
              </w:rPr>
              <w:fldChar w:fldCharType="separate"/>
            </w:r>
            <w:r>
              <w:rPr>
                <w:noProof/>
                <w:webHidden/>
              </w:rPr>
              <w:t>10</w:t>
            </w:r>
            <w:r>
              <w:rPr>
                <w:noProof/>
                <w:webHidden/>
              </w:rPr>
              <w:fldChar w:fldCharType="end"/>
            </w:r>
          </w:hyperlink>
        </w:p>
        <w:p w14:paraId="7AD5AA8C" w14:textId="4EDF23B9"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33" w:history="1">
            <w:r w:rsidRPr="00961D1A">
              <w:rPr>
                <w:rStyle w:val="Hyperlink"/>
                <w:noProof/>
              </w:rPr>
              <w:t>Artikel 16. Boetebeding en bonus</w:t>
            </w:r>
            <w:r>
              <w:rPr>
                <w:noProof/>
                <w:webHidden/>
              </w:rPr>
              <w:tab/>
            </w:r>
            <w:r>
              <w:rPr>
                <w:noProof/>
                <w:webHidden/>
              </w:rPr>
              <w:fldChar w:fldCharType="begin"/>
            </w:r>
            <w:r>
              <w:rPr>
                <w:noProof/>
                <w:webHidden/>
              </w:rPr>
              <w:instrText xml:space="preserve"> PAGEREF _Toc213076433 \h </w:instrText>
            </w:r>
            <w:r>
              <w:rPr>
                <w:noProof/>
                <w:webHidden/>
              </w:rPr>
            </w:r>
            <w:r>
              <w:rPr>
                <w:noProof/>
                <w:webHidden/>
              </w:rPr>
              <w:fldChar w:fldCharType="separate"/>
            </w:r>
            <w:r>
              <w:rPr>
                <w:noProof/>
                <w:webHidden/>
              </w:rPr>
              <w:t>10</w:t>
            </w:r>
            <w:r>
              <w:rPr>
                <w:noProof/>
                <w:webHidden/>
              </w:rPr>
              <w:fldChar w:fldCharType="end"/>
            </w:r>
          </w:hyperlink>
        </w:p>
        <w:p w14:paraId="71FCBD82" w14:textId="495940F2"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34" w:history="1">
            <w:r w:rsidRPr="00961D1A">
              <w:rPr>
                <w:rStyle w:val="Hyperlink"/>
                <w:noProof/>
              </w:rPr>
              <w:t>Artikel 17. Nietige bepalingen</w:t>
            </w:r>
            <w:r>
              <w:rPr>
                <w:noProof/>
                <w:webHidden/>
              </w:rPr>
              <w:tab/>
            </w:r>
            <w:r>
              <w:rPr>
                <w:noProof/>
                <w:webHidden/>
              </w:rPr>
              <w:fldChar w:fldCharType="begin"/>
            </w:r>
            <w:r>
              <w:rPr>
                <w:noProof/>
                <w:webHidden/>
              </w:rPr>
              <w:instrText xml:space="preserve"> PAGEREF _Toc213076434 \h </w:instrText>
            </w:r>
            <w:r>
              <w:rPr>
                <w:noProof/>
                <w:webHidden/>
              </w:rPr>
            </w:r>
            <w:r>
              <w:rPr>
                <w:noProof/>
                <w:webHidden/>
              </w:rPr>
              <w:fldChar w:fldCharType="separate"/>
            </w:r>
            <w:r>
              <w:rPr>
                <w:noProof/>
                <w:webHidden/>
              </w:rPr>
              <w:t>10</w:t>
            </w:r>
            <w:r>
              <w:rPr>
                <w:noProof/>
                <w:webHidden/>
              </w:rPr>
              <w:fldChar w:fldCharType="end"/>
            </w:r>
          </w:hyperlink>
        </w:p>
        <w:p w14:paraId="07FF1FC9" w14:textId="042669D2" w:rsidR="00A36363" w:rsidRDefault="00A36363">
          <w:pPr>
            <w:pStyle w:val="Inhopg2"/>
            <w:tabs>
              <w:tab w:val="right" w:leader="dot" w:pos="8920"/>
            </w:tabs>
            <w:rPr>
              <w:rFonts w:asciiTheme="minorHAnsi" w:eastAsiaTheme="minorEastAsia" w:hAnsiTheme="minorHAnsi"/>
              <w:noProof/>
              <w:kern w:val="2"/>
              <w:sz w:val="24"/>
              <w:lang w:eastAsia="nl-NL"/>
              <w14:ligatures w14:val="standardContextual"/>
            </w:rPr>
          </w:pPr>
          <w:hyperlink w:anchor="_Toc213076435" w:history="1">
            <w:r w:rsidRPr="00961D1A">
              <w:rPr>
                <w:rStyle w:val="Hyperlink"/>
                <w:noProof/>
              </w:rPr>
              <w:t>Artikel 18. Toepasselijk recht, geschillen en rechtbank</w:t>
            </w:r>
            <w:r>
              <w:rPr>
                <w:noProof/>
                <w:webHidden/>
              </w:rPr>
              <w:tab/>
            </w:r>
            <w:r>
              <w:rPr>
                <w:noProof/>
                <w:webHidden/>
              </w:rPr>
              <w:fldChar w:fldCharType="begin"/>
            </w:r>
            <w:r>
              <w:rPr>
                <w:noProof/>
                <w:webHidden/>
              </w:rPr>
              <w:instrText xml:space="preserve"> PAGEREF _Toc213076435 \h </w:instrText>
            </w:r>
            <w:r>
              <w:rPr>
                <w:noProof/>
                <w:webHidden/>
              </w:rPr>
            </w:r>
            <w:r>
              <w:rPr>
                <w:noProof/>
                <w:webHidden/>
              </w:rPr>
              <w:fldChar w:fldCharType="separate"/>
            </w:r>
            <w:r>
              <w:rPr>
                <w:noProof/>
                <w:webHidden/>
              </w:rPr>
              <w:t>11</w:t>
            </w:r>
            <w:r>
              <w:rPr>
                <w:noProof/>
                <w:webHidden/>
              </w:rPr>
              <w:fldChar w:fldCharType="end"/>
            </w:r>
          </w:hyperlink>
        </w:p>
        <w:p w14:paraId="59191A3D" w14:textId="617329B9" w:rsidR="0012240B" w:rsidRDefault="0012240B">
          <w:r>
            <w:fldChar w:fldCharType="end"/>
          </w:r>
        </w:p>
      </w:sdtContent>
    </w:sdt>
    <w:p w14:paraId="1B275B27" w14:textId="77777777" w:rsidR="0012240B" w:rsidRPr="0012240B" w:rsidRDefault="0012240B" w:rsidP="0012240B">
      <w:pPr>
        <w:pStyle w:val="Lijstalinea"/>
      </w:pPr>
    </w:p>
    <w:p w14:paraId="03867119" w14:textId="77777777" w:rsidR="0012240B" w:rsidRPr="0012240B" w:rsidRDefault="0012240B" w:rsidP="0012240B">
      <w:pPr>
        <w:pStyle w:val="Lijstalinea"/>
        <w:rPr>
          <w:b/>
          <w:bCs/>
          <w:sz w:val="24"/>
          <w:lang w:val="x-none"/>
        </w:rPr>
      </w:pPr>
      <w:r w:rsidRPr="0012240B">
        <w:rPr>
          <w:lang w:val="x-none"/>
        </w:rPr>
        <w:br w:type="page"/>
      </w:r>
      <w:bookmarkStart w:id="2" w:name="_Toc26255742"/>
      <w:bookmarkStart w:id="3" w:name="_Toc26255874"/>
      <w:bookmarkStart w:id="4" w:name="_Toc26261391"/>
      <w:bookmarkStart w:id="5" w:name="_Toc26261631"/>
      <w:bookmarkStart w:id="6" w:name="_Toc158298214"/>
      <w:r w:rsidRPr="0012240B">
        <w:rPr>
          <w:b/>
          <w:bCs/>
          <w:color w:val="00588A"/>
          <w:sz w:val="24"/>
          <w:lang w:val="x-none"/>
        </w:rPr>
        <w:lastRenderedPageBreak/>
        <w:t>Ondergetekenden</w:t>
      </w:r>
      <w:bookmarkStart w:id="7" w:name="_Toc443472385"/>
      <w:bookmarkEnd w:id="2"/>
      <w:bookmarkEnd w:id="3"/>
      <w:bookmarkEnd w:id="4"/>
      <w:bookmarkEnd w:id="5"/>
      <w:bookmarkEnd w:id="6"/>
      <w:bookmarkEnd w:id="7"/>
    </w:p>
    <w:p w14:paraId="6B29CB55" w14:textId="65AF8414" w:rsidR="0012240B" w:rsidRPr="0012240B" w:rsidRDefault="0012240B" w:rsidP="0012240B">
      <w:pPr>
        <w:pStyle w:val="Lijstalinea"/>
        <w:rPr>
          <w:b/>
          <w:bCs/>
          <w:color w:val="00588A"/>
        </w:rPr>
      </w:pPr>
      <w:bookmarkStart w:id="8" w:name="_Opdrachtgever"/>
      <w:bookmarkStart w:id="9" w:name="_Toc443472387"/>
      <w:bookmarkStart w:id="10" w:name="_Hlk26531113"/>
      <w:bookmarkEnd w:id="8"/>
      <w:r w:rsidRPr="0012240B">
        <w:rPr>
          <w:b/>
          <w:bCs/>
          <w:color w:val="00588A"/>
        </w:rPr>
        <w:t>Opdrachtgever</w:t>
      </w:r>
    </w:p>
    <w:p w14:paraId="3D6A6D2C" w14:textId="43EF99B0" w:rsidR="0012240B" w:rsidRPr="0012240B" w:rsidRDefault="0012240B" w:rsidP="0012240B">
      <w:pPr>
        <w:pStyle w:val="Lijstalinea"/>
      </w:pPr>
      <w:r w:rsidRPr="0012240B">
        <w:t xml:space="preserve">De publiekrechtelijke rechtspersoon WerkSaam Westfriesland gevestigd te HOORN aan de Dampten 26, ingeschreven in het handelsregister van de Kamer van Koophandel onder nummer 37148710, rechtsgeldig vertegenwoordigd door, mevrouw A. de Witte hierna te noemen: </w:t>
      </w:r>
      <w:r>
        <w:t>Opdrachtgever</w:t>
      </w:r>
    </w:p>
    <w:p w14:paraId="6AA19780" w14:textId="77777777" w:rsidR="0012240B" w:rsidRPr="0012240B" w:rsidRDefault="0012240B" w:rsidP="0012240B">
      <w:pPr>
        <w:pStyle w:val="Lijstalinea"/>
      </w:pPr>
    </w:p>
    <w:p w14:paraId="543DF087" w14:textId="156C51F2" w:rsidR="0012240B" w:rsidRDefault="0012240B" w:rsidP="0012240B">
      <w:pPr>
        <w:pStyle w:val="Lijstalinea"/>
      </w:pPr>
      <w:r>
        <w:t>e</w:t>
      </w:r>
      <w:r w:rsidRPr="0012240B">
        <w:t>n</w:t>
      </w:r>
    </w:p>
    <w:p w14:paraId="345C132D" w14:textId="77777777" w:rsidR="0012240B" w:rsidRPr="0012240B" w:rsidRDefault="0012240B" w:rsidP="0012240B">
      <w:pPr>
        <w:pStyle w:val="Lijstalinea"/>
      </w:pPr>
    </w:p>
    <w:p w14:paraId="67413B84" w14:textId="77777777" w:rsidR="0012240B" w:rsidRPr="0012240B" w:rsidRDefault="0012240B" w:rsidP="0012240B">
      <w:pPr>
        <w:pStyle w:val="Lijstalinea"/>
        <w:rPr>
          <w:b/>
          <w:bCs/>
          <w:color w:val="00588A"/>
        </w:rPr>
      </w:pPr>
      <w:bookmarkStart w:id="11" w:name="_Toc158298216"/>
      <w:bookmarkEnd w:id="9"/>
      <w:bookmarkEnd w:id="10"/>
      <w:r w:rsidRPr="0012240B">
        <w:rPr>
          <w:b/>
          <w:bCs/>
          <w:color w:val="00588A"/>
        </w:rPr>
        <w:t>Leverancier</w:t>
      </w:r>
      <w:bookmarkEnd w:id="11"/>
    </w:p>
    <w:p w14:paraId="4C9513F0" w14:textId="77777777" w:rsidR="0012240B" w:rsidRPr="0012240B" w:rsidRDefault="0012240B" w:rsidP="0012240B">
      <w:pPr>
        <w:pStyle w:val="Lijstalinea"/>
      </w:pPr>
      <w:r w:rsidRPr="0012240B">
        <w:rPr>
          <w:color w:val="00B0F0"/>
        </w:rPr>
        <w:t>Naam Leverancier</w:t>
      </w:r>
      <w:r w:rsidRPr="0012240B">
        <w:t xml:space="preserve">, statutair gevestigd te </w:t>
      </w:r>
      <w:r w:rsidRPr="0012240B">
        <w:rPr>
          <w:color w:val="00B0F0"/>
        </w:rPr>
        <w:t>adres, postcode, plaatsnaam&gt;, postadres, postcode, plaatsnaam</w:t>
      </w:r>
      <w:r w:rsidRPr="0012240B">
        <w:t xml:space="preserve">, ingeschreven in het Handelsregister van de Kamer van Koophandel onder nummer </w:t>
      </w:r>
      <w:r w:rsidRPr="0012240B">
        <w:rPr>
          <w:color w:val="00B0F0"/>
        </w:rPr>
        <w:t xml:space="preserve">KVK-nummer </w:t>
      </w:r>
      <w:r w:rsidRPr="0012240B">
        <w:t xml:space="preserve">(vestigingsnummer </w:t>
      </w:r>
      <w:r w:rsidRPr="0012240B">
        <w:rPr>
          <w:color w:val="00B0F0"/>
        </w:rPr>
        <w:t>vestigingsnummer</w:t>
      </w:r>
      <w:r w:rsidRPr="0012240B">
        <w:t xml:space="preserve">), te dezen rechtsgeldig vertegenwoordigd door de </w:t>
      </w:r>
      <w:r w:rsidRPr="0012240B">
        <w:rPr>
          <w:color w:val="00B0F0"/>
        </w:rPr>
        <w:t>heer/mevrouw naam, functie</w:t>
      </w:r>
      <w:r w:rsidRPr="0012240B">
        <w:t>, verder te noemen Leverancier.</w:t>
      </w:r>
    </w:p>
    <w:p w14:paraId="0E2AC7FD" w14:textId="77777777" w:rsidR="0012240B" w:rsidRPr="0012240B" w:rsidRDefault="0012240B" w:rsidP="0012240B">
      <w:pPr>
        <w:pStyle w:val="Lijstalinea"/>
      </w:pPr>
    </w:p>
    <w:p w14:paraId="1A46FAAC" w14:textId="77777777" w:rsidR="0012240B" w:rsidRPr="0012240B" w:rsidRDefault="0012240B" w:rsidP="0012240B">
      <w:pPr>
        <w:pStyle w:val="Lijstalinea"/>
      </w:pPr>
      <w:r w:rsidRPr="0012240B">
        <w:t xml:space="preserve">Gezamenlijk te noemen: </w:t>
      </w:r>
      <w:r w:rsidRPr="0012240B">
        <w:rPr>
          <w:b/>
          <w:bCs/>
          <w:color w:val="00588A"/>
        </w:rPr>
        <w:t>Partijen</w:t>
      </w:r>
      <w:r w:rsidRPr="0012240B">
        <w:t>.</w:t>
      </w:r>
    </w:p>
    <w:p w14:paraId="300B5015" w14:textId="77777777" w:rsidR="0012240B" w:rsidRPr="0012240B" w:rsidRDefault="0012240B" w:rsidP="0012240B">
      <w:pPr>
        <w:pStyle w:val="Lijstalinea"/>
      </w:pPr>
    </w:p>
    <w:p w14:paraId="3D0C06ED" w14:textId="77777777" w:rsidR="0012240B" w:rsidRPr="0012240B" w:rsidRDefault="0012240B" w:rsidP="0012240B">
      <w:pPr>
        <w:pStyle w:val="Lijstalinea"/>
        <w:rPr>
          <w:b/>
          <w:bCs/>
          <w:color w:val="00588A"/>
          <w:lang w:val="x-none"/>
        </w:rPr>
      </w:pPr>
      <w:bookmarkStart w:id="12" w:name="_Overwegende_dat"/>
      <w:bookmarkStart w:id="13" w:name="_Toc158298217"/>
      <w:bookmarkStart w:id="14" w:name="_Toc26261632"/>
      <w:bookmarkStart w:id="15" w:name="_Toc26261394"/>
      <w:bookmarkStart w:id="16" w:name="_Toc26255877"/>
      <w:bookmarkStart w:id="17" w:name="_Toc26255745"/>
      <w:bookmarkStart w:id="18" w:name="_Toc443472388"/>
      <w:bookmarkEnd w:id="12"/>
      <w:r w:rsidRPr="0012240B">
        <w:rPr>
          <w:b/>
          <w:bCs/>
          <w:color w:val="00588A"/>
          <w:lang w:val="x-none"/>
        </w:rPr>
        <w:t>Overwegende dat</w:t>
      </w:r>
      <w:bookmarkEnd w:id="13"/>
      <w:bookmarkEnd w:id="14"/>
      <w:bookmarkEnd w:id="15"/>
      <w:bookmarkEnd w:id="16"/>
      <w:bookmarkEnd w:id="17"/>
      <w:bookmarkEnd w:id="18"/>
    </w:p>
    <w:p w14:paraId="72E5228E" w14:textId="5A66AD8D" w:rsidR="0012240B" w:rsidRPr="0012240B" w:rsidRDefault="0012240B" w:rsidP="0012240B">
      <w:pPr>
        <w:pStyle w:val="Lijstalinea"/>
        <w:numPr>
          <w:ilvl w:val="0"/>
          <w:numId w:val="17"/>
        </w:numPr>
      </w:pPr>
      <w:r w:rsidRPr="0012240B">
        <w:t xml:space="preserve">Onderhavige Overeenkomst een </w:t>
      </w:r>
      <w:r w:rsidR="00DD419A">
        <w:t>O</w:t>
      </w:r>
      <w:r w:rsidRPr="0012240B">
        <w:t xml:space="preserve">vereenkomst betreft voor </w:t>
      </w:r>
      <w:r w:rsidR="00DD419A">
        <w:t>ICT Diensten</w:t>
      </w:r>
      <w:r w:rsidRPr="0012240B">
        <w:t>.</w:t>
      </w:r>
    </w:p>
    <w:p w14:paraId="48C64FC0" w14:textId="3CC009BC" w:rsidR="0012240B" w:rsidRPr="00DD419A" w:rsidRDefault="0012240B" w:rsidP="0012240B">
      <w:pPr>
        <w:pStyle w:val="Lijstalinea"/>
        <w:numPr>
          <w:ilvl w:val="0"/>
          <w:numId w:val="17"/>
        </w:numPr>
      </w:pPr>
      <w:r w:rsidRPr="00DD419A">
        <w:t xml:space="preserve">De Overeenkomst een </w:t>
      </w:r>
      <w:r w:rsidR="00DD419A" w:rsidRPr="00DD419A">
        <w:t>Raamovereenkomst</w:t>
      </w:r>
      <w:r w:rsidRPr="00DD419A">
        <w:t xml:space="preserve"> betreft.</w:t>
      </w:r>
    </w:p>
    <w:p w14:paraId="25394D24" w14:textId="1846D938" w:rsidR="0012240B" w:rsidRPr="0012240B" w:rsidRDefault="0012240B" w:rsidP="0012240B">
      <w:pPr>
        <w:pStyle w:val="Lijstalinea"/>
        <w:numPr>
          <w:ilvl w:val="0"/>
          <w:numId w:val="17"/>
        </w:numPr>
      </w:pPr>
      <w:r w:rsidRPr="0012240B">
        <w:t xml:space="preserve">De Opdrachtgever een Offerteaanvraag heeft gedaan volgens </w:t>
      </w:r>
      <w:r w:rsidR="00DD419A">
        <w:t>Europ</w:t>
      </w:r>
      <w:r w:rsidR="003015BD">
        <w:t>ese openbare aanbesteding.</w:t>
      </w:r>
    </w:p>
    <w:p w14:paraId="22511980" w14:textId="77777777" w:rsidR="0012240B" w:rsidRPr="0012240B" w:rsidRDefault="0012240B" w:rsidP="0012240B">
      <w:pPr>
        <w:pStyle w:val="Lijstalinea"/>
        <w:numPr>
          <w:ilvl w:val="0"/>
          <w:numId w:val="17"/>
        </w:numPr>
      </w:pPr>
      <w:r w:rsidRPr="0012240B">
        <w:t>De Leverancier juist, volledig en rechtsgeldig een Offerte heeft ingediend.</w:t>
      </w:r>
    </w:p>
    <w:p w14:paraId="1C4BF88D" w14:textId="77777777" w:rsidR="0012240B" w:rsidRPr="0012240B" w:rsidRDefault="0012240B" w:rsidP="0012240B">
      <w:pPr>
        <w:pStyle w:val="Lijstalinea"/>
        <w:numPr>
          <w:ilvl w:val="0"/>
          <w:numId w:val="17"/>
        </w:numPr>
      </w:pPr>
      <w:r w:rsidRPr="0012240B">
        <w:t>De Opdrachtgever op basis van deze Offerte besloten heeft de ICT Prestatie aan Leverancier op te dragen.</w:t>
      </w:r>
    </w:p>
    <w:p w14:paraId="551CB8DE" w14:textId="281933D7" w:rsidR="0012240B" w:rsidRPr="0012240B" w:rsidRDefault="0012240B" w:rsidP="00BD2F18">
      <w:pPr>
        <w:pStyle w:val="Lijstalinea"/>
        <w:numPr>
          <w:ilvl w:val="0"/>
          <w:numId w:val="17"/>
        </w:numPr>
      </w:pPr>
      <w:r w:rsidRPr="0012240B">
        <w:t>Partijen de uit het bovenstaande voortvloeiende rechtsverhouding schriftelijk wensen vast te leggen.</w:t>
      </w:r>
      <w:bookmarkStart w:id="19" w:name="_Toc443472389"/>
    </w:p>
    <w:p w14:paraId="49ECF2BE" w14:textId="77777777" w:rsidR="0012240B" w:rsidRPr="0012240B" w:rsidRDefault="0012240B" w:rsidP="0012240B">
      <w:pPr>
        <w:pStyle w:val="Lijstalinea"/>
      </w:pPr>
    </w:p>
    <w:p w14:paraId="2229318D" w14:textId="77777777" w:rsidR="0012240B" w:rsidRPr="0012240B" w:rsidRDefault="0012240B" w:rsidP="0012240B">
      <w:pPr>
        <w:pStyle w:val="Lijstalinea"/>
      </w:pPr>
      <w:r w:rsidRPr="0012240B">
        <w:br w:type="page"/>
      </w:r>
    </w:p>
    <w:p w14:paraId="215EAF7D" w14:textId="77777777" w:rsidR="0012240B" w:rsidRPr="0012240B" w:rsidRDefault="0012240B" w:rsidP="0012240B">
      <w:pPr>
        <w:pStyle w:val="Lijstalinea"/>
        <w:rPr>
          <w:b/>
          <w:bCs/>
          <w:color w:val="00588A"/>
          <w:lang w:val="x-none"/>
        </w:rPr>
      </w:pPr>
      <w:bookmarkStart w:id="20" w:name="_Toc26255746"/>
      <w:bookmarkStart w:id="21" w:name="_Toc26255878"/>
      <w:bookmarkStart w:id="22" w:name="_Toc26261395"/>
      <w:bookmarkStart w:id="23" w:name="_Toc26261633"/>
      <w:bookmarkStart w:id="24" w:name="_Toc158298218"/>
      <w:r w:rsidRPr="0012240B">
        <w:rPr>
          <w:b/>
          <w:bCs/>
          <w:color w:val="00588A"/>
          <w:lang w:val="x-none"/>
        </w:rPr>
        <w:lastRenderedPageBreak/>
        <w:t>Verklaren het volgende te zijn overeengekomen</w:t>
      </w:r>
      <w:bookmarkEnd w:id="19"/>
      <w:bookmarkEnd w:id="20"/>
      <w:bookmarkEnd w:id="21"/>
      <w:bookmarkEnd w:id="22"/>
      <w:bookmarkEnd w:id="23"/>
      <w:bookmarkEnd w:id="24"/>
    </w:p>
    <w:p w14:paraId="487F09E7" w14:textId="77777777" w:rsidR="0012240B" w:rsidRPr="0012240B" w:rsidRDefault="0012240B" w:rsidP="0012240B">
      <w:pPr>
        <w:pStyle w:val="Lijstalinea"/>
        <w:rPr>
          <w:b/>
          <w:bCs/>
        </w:rPr>
      </w:pPr>
      <w:bookmarkStart w:id="25" w:name="_Toc33773775"/>
      <w:bookmarkStart w:id="26" w:name="_Toc49957813"/>
    </w:p>
    <w:p w14:paraId="4CABC54C" w14:textId="77777777" w:rsidR="0012240B" w:rsidRPr="0012240B" w:rsidRDefault="0012240B" w:rsidP="0012240B">
      <w:pPr>
        <w:pStyle w:val="Kop1"/>
      </w:pPr>
      <w:bookmarkStart w:id="27" w:name="_Toc158298219"/>
      <w:bookmarkStart w:id="28" w:name="_Toc213076415"/>
      <w:r w:rsidRPr="0012240B">
        <w:t>Algemeen</w:t>
      </w:r>
      <w:bookmarkEnd w:id="25"/>
      <w:bookmarkEnd w:id="26"/>
      <w:bookmarkEnd w:id="27"/>
      <w:bookmarkEnd w:id="28"/>
    </w:p>
    <w:p w14:paraId="74BCE167" w14:textId="4A59A96D" w:rsidR="0012240B" w:rsidRPr="0012240B" w:rsidRDefault="0012240B" w:rsidP="0012240B">
      <w:pPr>
        <w:pStyle w:val="Kop2"/>
        <w:rPr>
          <w:lang w:val="x-none"/>
        </w:rPr>
      </w:pPr>
      <w:bookmarkStart w:id="29" w:name="_Toc26255748"/>
      <w:bookmarkStart w:id="30" w:name="_Toc26255880"/>
      <w:bookmarkStart w:id="31" w:name="_Toc26261397"/>
      <w:bookmarkStart w:id="32" w:name="_Toc26261564"/>
      <w:bookmarkStart w:id="33" w:name="_Toc26261602"/>
      <w:bookmarkStart w:id="34" w:name="_Toc33773776"/>
      <w:bookmarkStart w:id="35" w:name="_Toc49957814"/>
      <w:bookmarkStart w:id="36" w:name="_Toc158298220"/>
      <w:bookmarkStart w:id="37" w:name="_Toc213076416"/>
      <w:r>
        <w:t xml:space="preserve">Artikel 1. </w:t>
      </w:r>
      <w:r w:rsidRPr="0012240B">
        <w:t>Definities</w:t>
      </w:r>
      <w:bookmarkEnd w:id="29"/>
      <w:bookmarkEnd w:id="30"/>
      <w:bookmarkEnd w:id="31"/>
      <w:bookmarkEnd w:id="32"/>
      <w:bookmarkEnd w:id="33"/>
      <w:bookmarkEnd w:id="34"/>
      <w:bookmarkEnd w:id="35"/>
      <w:bookmarkEnd w:id="36"/>
      <w:bookmarkEnd w:id="37"/>
    </w:p>
    <w:p w14:paraId="24E13295" w14:textId="77777777" w:rsidR="0012240B" w:rsidRPr="0012240B" w:rsidRDefault="0012240B" w:rsidP="0012240B">
      <w:pPr>
        <w:pStyle w:val="Lijstalinea"/>
      </w:pPr>
      <w:r w:rsidRPr="0012240B">
        <w:t>In de Overeenkomst wordt, in aanvulling op artikel 1 (begrippen) van de Gemeentelijke Inkoopvoorwaarden bij IT (GIBIT) versie 2023, verstaan onder:</w:t>
      </w:r>
    </w:p>
    <w:p w14:paraId="6E5E3F04" w14:textId="53EA45B4" w:rsidR="0012240B" w:rsidRPr="0012240B" w:rsidRDefault="0012240B" w:rsidP="0012240B">
      <w:pPr>
        <w:pStyle w:val="Lijstalinea"/>
        <w:rPr>
          <w:b/>
          <w:bCs/>
        </w:rPr>
      </w:pPr>
      <w:r w:rsidRPr="0012240B">
        <w:t>Offerte</w:t>
      </w:r>
      <w:r w:rsidRPr="0012240B">
        <w:rPr>
          <w:b/>
          <w:bCs/>
        </w:rPr>
        <w:tab/>
      </w:r>
      <w:r w:rsidRPr="0012240B">
        <w:rPr>
          <w:b/>
          <w:bCs/>
        </w:rPr>
        <w:tab/>
      </w:r>
      <w:r w:rsidRPr="0012240B">
        <w:t>Een aanbod in de zin van het Burgerlijk Wetboek.</w:t>
      </w:r>
    </w:p>
    <w:p w14:paraId="30A461D5" w14:textId="77777777" w:rsidR="0012240B" w:rsidRPr="0012240B" w:rsidRDefault="0012240B" w:rsidP="0012240B">
      <w:pPr>
        <w:pStyle w:val="Lijstalinea"/>
        <w:ind w:left="2832" w:hanging="2112"/>
      </w:pPr>
      <w:r w:rsidRPr="0012240B">
        <w:t>Offerteaanvraag</w:t>
      </w:r>
      <w:r w:rsidRPr="0012240B">
        <w:tab/>
        <w:t>Een enkelvoudige of meervoudige aanvraag van de Opdrachtgever voor te verrichten ICT Prestaties of een (Europese) aanbesteding conform de Aanbestedingswet 2012 en de Europese aanbestedingsrichtlijnen 2004/17/EG en 2004/18/EG.</w:t>
      </w:r>
    </w:p>
    <w:p w14:paraId="09E53FCC" w14:textId="4350427E" w:rsidR="0012240B" w:rsidRDefault="0012240B" w:rsidP="0012240B">
      <w:pPr>
        <w:pStyle w:val="Lijstalinea"/>
        <w:ind w:left="2832" w:hanging="2112"/>
      </w:pPr>
      <w:r w:rsidRPr="0012240B">
        <w:rPr>
          <w:lang w:val="en-US"/>
        </w:rPr>
        <w:t>SROI</w:t>
      </w:r>
      <w:r w:rsidRPr="0012240B">
        <w:rPr>
          <w:lang w:val="en-US"/>
        </w:rPr>
        <w:tab/>
        <w:t xml:space="preserve">Social Return on Investment. </w:t>
      </w:r>
      <w:r w:rsidRPr="0012240B">
        <w:t xml:space="preserve">Bij </w:t>
      </w:r>
      <w:proofErr w:type="spellStart"/>
      <w:r w:rsidRPr="0012240B">
        <w:t>Social</w:t>
      </w:r>
      <w:proofErr w:type="spellEnd"/>
      <w:r w:rsidRPr="0012240B">
        <w:t xml:space="preserve"> Return gaat het erom dat een investering die de Opdrachtgever doet, naast het 'gewone' rendement ook een concrete sociale winst (return) oplevert.</w:t>
      </w:r>
    </w:p>
    <w:p w14:paraId="017658E1" w14:textId="77777777" w:rsidR="0012240B" w:rsidRPr="0012240B" w:rsidRDefault="0012240B" w:rsidP="0012240B">
      <w:pPr>
        <w:pStyle w:val="Lijstalinea"/>
        <w:ind w:left="2832" w:hanging="2112"/>
      </w:pPr>
    </w:p>
    <w:p w14:paraId="3ACD2C2F" w14:textId="64E700A3" w:rsidR="0012240B" w:rsidRPr="0012240B" w:rsidRDefault="0012240B" w:rsidP="0012240B">
      <w:pPr>
        <w:pStyle w:val="Kop2"/>
      </w:pPr>
      <w:bookmarkStart w:id="38" w:name="_Inhoud_van_de"/>
      <w:bookmarkStart w:id="39" w:name="_Toc158298221"/>
      <w:bookmarkStart w:id="40" w:name="_Toc49957815"/>
      <w:bookmarkStart w:id="41" w:name="_Toc33773777"/>
      <w:bookmarkStart w:id="42" w:name="_Toc443472392"/>
      <w:bookmarkStart w:id="43" w:name="_Toc213076417"/>
      <w:bookmarkEnd w:id="38"/>
      <w:r>
        <w:t xml:space="preserve">Artikel 2. </w:t>
      </w:r>
      <w:r w:rsidRPr="0012240B">
        <w:t>Inhoud van de Overeenkomst</w:t>
      </w:r>
      <w:bookmarkEnd w:id="39"/>
      <w:bookmarkEnd w:id="40"/>
      <w:bookmarkEnd w:id="41"/>
      <w:bookmarkEnd w:id="43"/>
    </w:p>
    <w:p w14:paraId="5AFE0366" w14:textId="77777777" w:rsidR="0012240B" w:rsidRPr="0012240B" w:rsidRDefault="0012240B" w:rsidP="0012240B">
      <w:pPr>
        <w:pStyle w:val="Lijstalinea"/>
        <w:numPr>
          <w:ilvl w:val="0"/>
          <w:numId w:val="19"/>
        </w:numPr>
      </w:pPr>
      <w:r w:rsidRPr="0012240B">
        <w:t>De navolgende documenten maken deel uit van de Overeenkomst:</w:t>
      </w:r>
    </w:p>
    <w:p w14:paraId="5DD54056" w14:textId="77777777" w:rsidR="0012240B" w:rsidRPr="0012240B" w:rsidRDefault="0012240B" w:rsidP="0012240B">
      <w:pPr>
        <w:pStyle w:val="Lijstalinea"/>
        <w:numPr>
          <w:ilvl w:val="1"/>
          <w:numId w:val="19"/>
        </w:numPr>
        <w:rPr>
          <w:lang w:val="en-US"/>
        </w:rPr>
      </w:pPr>
      <w:r w:rsidRPr="0012240B">
        <w:rPr>
          <w:lang w:val="en-US"/>
        </w:rPr>
        <w:t>Dit document;</w:t>
      </w:r>
    </w:p>
    <w:p w14:paraId="247FA546" w14:textId="77777777" w:rsidR="0012240B" w:rsidRPr="0012240B" w:rsidRDefault="0012240B" w:rsidP="0012240B">
      <w:pPr>
        <w:pStyle w:val="Lijstalinea"/>
        <w:numPr>
          <w:ilvl w:val="1"/>
          <w:numId w:val="19"/>
        </w:numPr>
        <w:rPr>
          <w:lang w:val="en-US"/>
        </w:rPr>
      </w:pPr>
      <w:proofErr w:type="spellStart"/>
      <w:r w:rsidRPr="0012240B">
        <w:rPr>
          <w:lang w:val="en-US"/>
        </w:rPr>
        <w:t>Verwerkersovereenkomst</w:t>
      </w:r>
      <w:proofErr w:type="spellEnd"/>
      <w:r w:rsidRPr="0012240B">
        <w:rPr>
          <w:lang w:val="en-US"/>
        </w:rPr>
        <w:t xml:space="preserve">, </w:t>
      </w:r>
      <w:proofErr w:type="spellStart"/>
      <w:r w:rsidRPr="0012240B">
        <w:rPr>
          <w:lang w:val="en-US"/>
        </w:rPr>
        <w:t>d.d.</w:t>
      </w:r>
      <w:proofErr w:type="spellEnd"/>
      <w:r w:rsidRPr="0012240B">
        <w:rPr>
          <w:lang w:val="en-US"/>
        </w:rPr>
        <w:t xml:space="preserve"> </w:t>
      </w:r>
      <w:r w:rsidRPr="0012240B">
        <w:rPr>
          <w:color w:val="00B0F0"/>
          <w:lang w:val="en-US"/>
        </w:rPr>
        <w:t>datum</w:t>
      </w:r>
      <w:r w:rsidRPr="0012240B">
        <w:rPr>
          <w:lang w:val="en-US"/>
        </w:rPr>
        <w:t xml:space="preserve">; </w:t>
      </w:r>
    </w:p>
    <w:p w14:paraId="4FF43683" w14:textId="77777777" w:rsidR="0012240B" w:rsidRPr="0012240B" w:rsidRDefault="0012240B" w:rsidP="0012240B">
      <w:pPr>
        <w:pStyle w:val="Lijstalinea"/>
        <w:numPr>
          <w:ilvl w:val="1"/>
          <w:numId w:val="19"/>
        </w:numPr>
      </w:pPr>
      <w:r w:rsidRPr="0012240B">
        <w:t xml:space="preserve">Nota van Inlichtingen, d.d. </w:t>
      </w:r>
      <w:r w:rsidRPr="0012240B">
        <w:rPr>
          <w:color w:val="00B0F0"/>
        </w:rPr>
        <w:t>datum</w:t>
      </w:r>
      <w:r w:rsidRPr="0012240B">
        <w:t>;</w:t>
      </w:r>
    </w:p>
    <w:p w14:paraId="234733F7" w14:textId="77777777" w:rsidR="0012240B" w:rsidRPr="0012240B" w:rsidRDefault="0012240B" w:rsidP="0012240B">
      <w:pPr>
        <w:pStyle w:val="Lijstalinea"/>
        <w:numPr>
          <w:ilvl w:val="1"/>
          <w:numId w:val="19"/>
        </w:numPr>
        <w:rPr>
          <w:lang w:val="en-US"/>
        </w:rPr>
      </w:pPr>
      <w:proofErr w:type="spellStart"/>
      <w:r w:rsidRPr="0012240B">
        <w:rPr>
          <w:lang w:val="en-US"/>
        </w:rPr>
        <w:t>Aanbestedingsstukken</w:t>
      </w:r>
      <w:proofErr w:type="spellEnd"/>
      <w:r w:rsidRPr="0012240B">
        <w:rPr>
          <w:lang w:val="en-US"/>
        </w:rPr>
        <w:t xml:space="preserve">, </w:t>
      </w:r>
      <w:proofErr w:type="spellStart"/>
      <w:r w:rsidRPr="0012240B">
        <w:rPr>
          <w:lang w:val="en-US"/>
        </w:rPr>
        <w:t>d.d.</w:t>
      </w:r>
      <w:proofErr w:type="spellEnd"/>
      <w:r w:rsidRPr="0012240B">
        <w:rPr>
          <w:lang w:val="en-US"/>
        </w:rPr>
        <w:t xml:space="preserve"> </w:t>
      </w:r>
      <w:r w:rsidRPr="0012240B">
        <w:rPr>
          <w:color w:val="00B0F0"/>
          <w:lang w:val="en-US"/>
        </w:rPr>
        <w:t>datum</w:t>
      </w:r>
      <w:r w:rsidRPr="0012240B">
        <w:rPr>
          <w:lang w:val="en-US"/>
        </w:rPr>
        <w:t>;</w:t>
      </w:r>
    </w:p>
    <w:p w14:paraId="7DA14CE4" w14:textId="77777777" w:rsidR="0012240B" w:rsidRPr="0012240B" w:rsidRDefault="0012240B" w:rsidP="0012240B">
      <w:pPr>
        <w:pStyle w:val="Lijstalinea"/>
        <w:numPr>
          <w:ilvl w:val="1"/>
          <w:numId w:val="19"/>
        </w:numPr>
        <w:rPr>
          <w:lang w:val="en-US"/>
        </w:rPr>
      </w:pPr>
      <w:r w:rsidRPr="0012240B">
        <w:rPr>
          <w:lang w:val="en-US"/>
        </w:rPr>
        <w:t xml:space="preserve">Service Level Agreement (SLA), </w:t>
      </w:r>
      <w:proofErr w:type="spellStart"/>
      <w:r w:rsidRPr="0012240B">
        <w:rPr>
          <w:lang w:val="en-US"/>
        </w:rPr>
        <w:t>d.d.</w:t>
      </w:r>
      <w:proofErr w:type="spellEnd"/>
      <w:r w:rsidRPr="0012240B">
        <w:rPr>
          <w:lang w:val="en-US"/>
        </w:rPr>
        <w:t xml:space="preserve"> </w:t>
      </w:r>
      <w:r w:rsidRPr="0012240B">
        <w:rPr>
          <w:color w:val="00B0F0"/>
          <w:lang w:val="en-US"/>
        </w:rPr>
        <w:t>datum</w:t>
      </w:r>
      <w:r w:rsidRPr="0012240B">
        <w:rPr>
          <w:lang w:val="en-US"/>
        </w:rPr>
        <w:t>;</w:t>
      </w:r>
    </w:p>
    <w:p w14:paraId="6EABD188" w14:textId="665E0BC1" w:rsidR="00BF31C4" w:rsidRPr="00BF31C4" w:rsidRDefault="00BF31C4" w:rsidP="0012240B">
      <w:pPr>
        <w:pStyle w:val="Lijstalinea"/>
        <w:numPr>
          <w:ilvl w:val="1"/>
          <w:numId w:val="19"/>
        </w:numPr>
      </w:pPr>
      <w:r>
        <w:t>VNG Inkoopvoorwaarden</w:t>
      </w:r>
    </w:p>
    <w:p w14:paraId="64CF9834" w14:textId="7B3D0312" w:rsidR="0012240B" w:rsidRPr="00B87AB6" w:rsidRDefault="0012240B" w:rsidP="0012240B">
      <w:pPr>
        <w:pStyle w:val="Lijstalinea"/>
        <w:numPr>
          <w:ilvl w:val="1"/>
          <w:numId w:val="19"/>
        </w:numPr>
      </w:pPr>
      <w:r w:rsidRPr="0012240B">
        <w:rPr>
          <w:lang w:val="en-US"/>
        </w:rPr>
        <w:t xml:space="preserve">GIBIT 2023 </w:t>
      </w:r>
    </w:p>
    <w:p w14:paraId="59D12312" w14:textId="77777777" w:rsidR="0012240B" w:rsidRPr="0012240B" w:rsidRDefault="0012240B" w:rsidP="0012240B">
      <w:pPr>
        <w:pStyle w:val="Lijstalinea"/>
        <w:numPr>
          <w:ilvl w:val="1"/>
          <w:numId w:val="19"/>
        </w:numPr>
      </w:pPr>
      <w:r w:rsidRPr="0012240B">
        <w:t xml:space="preserve">Gemeentelijke ICT-kwaliteitsnormen versie 2023-01 (17 juli 2023); </w:t>
      </w:r>
    </w:p>
    <w:p w14:paraId="61F56625" w14:textId="77777777" w:rsidR="0012240B" w:rsidRPr="0012240B" w:rsidRDefault="0012240B" w:rsidP="0012240B">
      <w:pPr>
        <w:pStyle w:val="Lijstalinea"/>
        <w:numPr>
          <w:ilvl w:val="1"/>
          <w:numId w:val="19"/>
        </w:numPr>
      </w:pPr>
      <w:r w:rsidRPr="0012240B">
        <w:t xml:space="preserve">Offerte Leverancier, d.d. </w:t>
      </w:r>
      <w:r w:rsidRPr="0012240B">
        <w:rPr>
          <w:color w:val="00B0F0"/>
        </w:rPr>
        <w:t>datum</w:t>
      </w:r>
      <w:r w:rsidRPr="0012240B">
        <w:t>.</w:t>
      </w:r>
    </w:p>
    <w:p w14:paraId="1E5C74EE" w14:textId="77777777" w:rsidR="0012240B" w:rsidRPr="0012240B" w:rsidRDefault="0012240B" w:rsidP="0012240B">
      <w:pPr>
        <w:pStyle w:val="Lijstalinea"/>
        <w:numPr>
          <w:ilvl w:val="0"/>
          <w:numId w:val="19"/>
        </w:numPr>
      </w:pPr>
      <w:r w:rsidRPr="0012240B">
        <w:t>De documenten hierboven genoemd, behalve dit document, zijn als bijlage toegevoegd.</w:t>
      </w:r>
    </w:p>
    <w:p w14:paraId="5BFE9FFB" w14:textId="77777777" w:rsidR="0012240B" w:rsidRPr="0012240B" w:rsidRDefault="0012240B" w:rsidP="0012240B">
      <w:pPr>
        <w:pStyle w:val="Lijstalinea"/>
        <w:numPr>
          <w:ilvl w:val="0"/>
          <w:numId w:val="19"/>
        </w:numPr>
      </w:pPr>
      <w:r w:rsidRPr="0012240B">
        <w:t xml:space="preserve"> Voor zover de documenten uit artikel 2 lid 1 met elkaar in tegenspraak zijn, prevaleert het eerder genoemde document boven het later genoemde.</w:t>
      </w:r>
    </w:p>
    <w:p w14:paraId="524C5200" w14:textId="77777777" w:rsidR="0012240B" w:rsidRPr="0012240B" w:rsidRDefault="0012240B" w:rsidP="0012240B">
      <w:pPr>
        <w:pStyle w:val="Lijstalinea"/>
        <w:numPr>
          <w:ilvl w:val="0"/>
          <w:numId w:val="19"/>
        </w:numPr>
        <w:rPr>
          <w:lang w:val="en-US"/>
        </w:rPr>
      </w:pPr>
      <w:r w:rsidRPr="0012240B">
        <w:t xml:space="preserve">De Opdrachtgever en Leverancier zijn ieder verantwoordelijk voor de inhoud van hun inbreng. </w:t>
      </w:r>
      <w:proofErr w:type="spellStart"/>
      <w:r w:rsidRPr="0012240B">
        <w:rPr>
          <w:lang w:val="en-US"/>
        </w:rPr>
        <w:t>Partijen</w:t>
      </w:r>
      <w:proofErr w:type="spellEnd"/>
      <w:r w:rsidRPr="0012240B">
        <w:rPr>
          <w:lang w:val="en-US"/>
        </w:rPr>
        <w:t xml:space="preserve"> </w:t>
      </w:r>
      <w:proofErr w:type="spellStart"/>
      <w:r w:rsidRPr="0012240B">
        <w:rPr>
          <w:lang w:val="en-US"/>
        </w:rPr>
        <w:t>wijzen</w:t>
      </w:r>
      <w:proofErr w:type="spellEnd"/>
      <w:r w:rsidRPr="0012240B">
        <w:rPr>
          <w:lang w:val="en-US"/>
        </w:rPr>
        <w:t xml:space="preserve"> </w:t>
      </w:r>
      <w:proofErr w:type="spellStart"/>
      <w:r w:rsidRPr="0012240B">
        <w:rPr>
          <w:lang w:val="en-US"/>
        </w:rPr>
        <w:t>elkaar</w:t>
      </w:r>
      <w:proofErr w:type="spellEnd"/>
      <w:r w:rsidRPr="0012240B">
        <w:rPr>
          <w:lang w:val="en-US"/>
        </w:rPr>
        <w:t xml:space="preserve"> op </w:t>
      </w:r>
      <w:proofErr w:type="spellStart"/>
      <w:r w:rsidRPr="0012240B">
        <w:rPr>
          <w:lang w:val="en-US"/>
        </w:rPr>
        <w:t>klaarblijkelijke</w:t>
      </w:r>
      <w:proofErr w:type="spellEnd"/>
      <w:r w:rsidRPr="0012240B">
        <w:rPr>
          <w:lang w:val="en-US"/>
        </w:rPr>
        <w:t xml:space="preserve"> </w:t>
      </w:r>
      <w:proofErr w:type="spellStart"/>
      <w:r w:rsidRPr="0012240B">
        <w:rPr>
          <w:lang w:val="en-US"/>
        </w:rPr>
        <w:t>tegenstrijdigheden</w:t>
      </w:r>
      <w:proofErr w:type="spellEnd"/>
      <w:r w:rsidRPr="0012240B">
        <w:rPr>
          <w:lang w:val="en-US"/>
        </w:rPr>
        <w:t>.</w:t>
      </w:r>
    </w:p>
    <w:p w14:paraId="54F2A077" w14:textId="77777777" w:rsidR="0012240B" w:rsidRPr="0012240B" w:rsidRDefault="0012240B" w:rsidP="0012240B">
      <w:pPr>
        <w:pStyle w:val="Lijstalinea"/>
        <w:numPr>
          <w:ilvl w:val="0"/>
          <w:numId w:val="19"/>
        </w:numPr>
      </w:pPr>
      <w:r w:rsidRPr="0012240B">
        <w:lastRenderedPageBreak/>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en bijgevoegd bij deze Overeenkomst waarvan zij aldus deel van gaan uitmaken.</w:t>
      </w:r>
      <w:r w:rsidRPr="0012240B">
        <w:br/>
      </w:r>
    </w:p>
    <w:p w14:paraId="39951B93" w14:textId="3802B3A0" w:rsidR="0012240B" w:rsidRPr="0012240B" w:rsidRDefault="00CC415B" w:rsidP="00CC415B">
      <w:pPr>
        <w:pStyle w:val="Kop2"/>
      </w:pPr>
      <w:bookmarkStart w:id="44" w:name="_Toc158298223"/>
      <w:bookmarkStart w:id="45" w:name="_Toc213076418"/>
      <w:r>
        <w:t xml:space="preserve">Artikel </w:t>
      </w:r>
      <w:r w:rsidR="00DC5EAB">
        <w:t>3</w:t>
      </w:r>
      <w:r>
        <w:t xml:space="preserve">. </w:t>
      </w:r>
      <w:r w:rsidR="0012240B" w:rsidRPr="0012240B">
        <w:t>Duur van de Overeenkomst</w:t>
      </w:r>
      <w:bookmarkEnd w:id="44"/>
      <w:bookmarkEnd w:id="45"/>
    </w:p>
    <w:p w14:paraId="41B07813" w14:textId="5F1A8128" w:rsidR="0012240B" w:rsidRPr="0012240B" w:rsidRDefault="0012240B" w:rsidP="0012240B">
      <w:pPr>
        <w:pStyle w:val="Lijstalinea"/>
        <w:numPr>
          <w:ilvl w:val="0"/>
          <w:numId w:val="20"/>
        </w:numPr>
      </w:pPr>
      <w:r w:rsidRPr="0012240B">
        <w:t xml:space="preserve">De Overeenkomst treedt in werking op </w:t>
      </w:r>
      <w:r w:rsidR="00355411">
        <w:t>1 februari 2026</w:t>
      </w:r>
      <w:r w:rsidRPr="0012240B">
        <w:t>.</w:t>
      </w:r>
    </w:p>
    <w:p w14:paraId="32DC78CC" w14:textId="688F6428" w:rsidR="0012240B" w:rsidRPr="0012240B" w:rsidRDefault="0012240B" w:rsidP="0012240B">
      <w:pPr>
        <w:pStyle w:val="Lijstalinea"/>
        <w:numPr>
          <w:ilvl w:val="0"/>
          <w:numId w:val="20"/>
        </w:numPr>
      </w:pPr>
      <w:r w:rsidRPr="0012240B">
        <w:t xml:space="preserve">De Overeenkomst loopt af op </w:t>
      </w:r>
      <w:r w:rsidR="005945BF">
        <w:t>1 februari 2030</w:t>
      </w:r>
      <w:r w:rsidRPr="0012240B">
        <w:t xml:space="preserve">, waarbij de Overeenkomst automatisch is beëindigd, zonder dat een opzegging door de </w:t>
      </w:r>
      <w:r w:rsidR="00173E74">
        <w:t>Opdrachtgever</w:t>
      </w:r>
      <w:r w:rsidRPr="0012240B">
        <w:t xml:space="preserve"> is vereist.</w:t>
      </w:r>
    </w:p>
    <w:p w14:paraId="27E17110" w14:textId="06C6F9D5" w:rsidR="0012240B" w:rsidRPr="0012240B" w:rsidRDefault="0012240B" w:rsidP="0012240B">
      <w:pPr>
        <w:pStyle w:val="Lijstalinea"/>
        <w:numPr>
          <w:ilvl w:val="0"/>
          <w:numId w:val="20"/>
        </w:numPr>
      </w:pPr>
      <w:r w:rsidRPr="0012240B">
        <w:t>De Opdrachtgever kan de Overeenkomst</w:t>
      </w:r>
      <w:bookmarkStart w:id="46" w:name="_Hlk506402063"/>
      <w:r w:rsidRPr="0012240B">
        <w:t>, onder dezelfde voorwaarden</w:t>
      </w:r>
      <w:bookmarkEnd w:id="46"/>
      <w:r w:rsidRPr="0012240B">
        <w:t xml:space="preserve">, </w:t>
      </w:r>
      <w:r w:rsidR="00D74059">
        <w:t>4</w:t>
      </w:r>
      <w:r w:rsidRPr="0012240B">
        <w:t xml:space="preserve"> maal verlengen met een periode van maximaal </w:t>
      </w:r>
      <w:r w:rsidR="00D74059">
        <w:t>12</w:t>
      </w:r>
      <w:r w:rsidRPr="0012240B">
        <w:t xml:space="preserve"> maanden. De Opdrachtgever zal deze beslissing, per verlengingsoptie</w:t>
      </w:r>
      <w:r w:rsidRPr="00E16F06">
        <w:t xml:space="preserve">, </w:t>
      </w:r>
      <w:r w:rsidR="00E16F06" w:rsidRPr="00E16F06">
        <w:t>11</w:t>
      </w:r>
      <w:r w:rsidRPr="00E16F06">
        <w:t xml:space="preserve"> maanden</w:t>
      </w:r>
      <w:r w:rsidRPr="0012240B">
        <w:t xml:space="preserve"> voor verstrijken van de actuele looptijd schriftelijk aan Leverancier kenbaar maken. </w:t>
      </w:r>
    </w:p>
    <w:p w14:paraId="0F0C8D5B" w14:textId="77777777" w:rsidR="0012240B" w:rsidRPr="0012240B" w:rsidRDefault="0012240B" w:rsidP="0012240B">
      <w:pPr>
        <w:pStyle w:val="Lijstalinea"/>
        <w:numPr>
          <w:ilvl w:val="0"/>
          <w:numId w:val="20"/>
        </w:numPr>
      </w:pPr>
      <w:r w:rsidRPr="0012240B">
        <w:t>De looptijd van de Dienstverlening op Afstand is gelijk aan de looptijd van de Overeenkomst.</w:t>
      </w:r>
    </w:p>
    <w:p w14:paraId="6F97A842" w14:textId="77777777" w:rsidR="0012240B" w:rsidRPr="0012240B" w:rsidRDefault="0012240B" w:rsidP="0012240B">
      <w:pPr>
        <w:pStyle w:val="Lijstalinea"/>
        <w:numPr>
          <w:ilvl w:val="0"/>
          <w:numId w:val="20"/>
        </w:numPr>
      </w:pPr>
      <w:r w:rsidRPr="0012240B">
        <w:t>De volgende onderdelen van de ICT Prestatie worden voor wat betreft looptijd in ieder geval als afzonderlijke Overeenkomsten beschouwd in de zin van artikel 24.3 GIBIT:</w:t>
      </w:r>
    </w:p>
    <w:p w14:paraId="281EE1C4" w14:textId="77777777" w:rsidR="0012240B" w:rsidRPr="0012240B" w:rsidRDefault="0012240B" w:rsidP="0012240B">
      <w:pPr>
        <w:pStyle w:val="Lijstalinea"/>
        <w:numPr>
          <w:ilvl w:val="1"/>
          <w:numId w:val="20"/>
        </w:numPr>
        <w:rPr>
          <w:lang w:val="en-US"/>
        </w:rPr>
      </w:pPr>
      <w:r w:rsidRPr="0012240B">
        <w:rPr>
          <w:lang w:val="en-US"/>
        </w:rPr>
        <w:t>Onderhoud;</w:t>
      </w:r>
    </w:p>
    <w:p w14:paraId="43C7E45C" w14:textId="77777777" w:rsidR="0012240B" w:rsidRPr="0012240B" w:rsidRDefault="0012240B" w:rsidP="0012240B">
      <w:pPr>
        <w:pStyle w:val="Lijstalinea"/>
        <w:numPr>
          <w:ilvl w:val="1"/>
          <w:numId w:val="20"/>
        </w:numPr>
        <w:rPr>
          <w:lang w:val="en-US"/>
        </w:rPr>
      </w:pPr>
      <w:proofErr w:type="spellStart"/>
      <w:r w:rsidRPr="0012240B">
        <w:rPr>
          <w:lang w:val="en-US"/>
        </w:rPr>
        <w:t>Gebruiksrechten</w:t>
      </w:r>
      <w:proofErr w:type="spellEnd"/>
      <w:r w:rsidRPr="0012240B">
        <w:rPr>
          <w:lang w:val="en-US"/>
        </w:rPr>
        <w:t>;</w:t>
      </w:r>
    </w:p>
    <w:p w14:paraId="66907430" w14:textId="77777777" w:rsidR="0012240B" w:rsidRPr="0012240B" w:rsidRDefault="0012240B" w:rsidP="0012240B">
      <w:pPr>
        <w:pStyle w:val="Lijstalinea"/>
        <w:numPr>
          <w:ilvl w:val="1"/>
          <w:numId w:val="20"/>
        </w:numPr>
        <w:rPr>
          <w:lang w:val="en-US"/>
        </w:rPr>
      </w:pPr>
      <w:proofErr w:type="spellStart"/>
      <w:r w:rsidRPr="0012240B">
        <w:rPr>
          <w:lang w:val="en-US"/>
        </w:rPr>
        <w:t>Dienstverlening</w:t>
      </w:r>
      <w:proofErr w:type="spellEnd"/>
      <w:r w:rsidRPr="0012240B">
        <w:rPr>
          <w:lang w:val="en-US"/>
        </w:rPr>
        <w:t xml:space="preserve"> op </w:t>
      </w:r>
      <w:proofErr w:type="spellStart"/>
      <w:r w:rsidRPr="0012240B">
        <w:rPr>
          <w:lang w:val="en-US"/>
        </w:rPr>
        <w:t>Afstand</w:t>
      </w:r>
      <w:proofErr w:type="spellEnd"/>
      <w:r w:rsidRPr="0012240B">
        <w:rPr>
          <w:lang w:val="en-US"/>
        </w:rPr>
        <w:t>;</w:t>
      </w:r>
    </w:p>
    <w:p w14:paraId="4EC63C50" w14:textId="77777777" w:rsidR="0012240B" w:rsidRPr="0012240B" w:rsidRDefault="0012240B" w:rsidP="0012240B">
      <w:pPr>
        <w:pStyle w:val="Lijstalinea"/>
        <w:numPr>
          <w:ilvl w:val="1"/>
          <w:numId w:val="20"/>
        </w:numPr>
        <w:rPr>
          <w:lang w:val="en-US"/>
        </w:rPr>
      </w:pPr>
      <w:proofErr w:type="spellStart"/>
      <w:r w:rsidRPr="0012240B">
        <w:rPr>
          <w:lang w:val="en-US"/>
        </w:rPr>
        <w:t>Ontwikkeling</w:t>
      </w:r>
      <w:proofErr w:type="spellEnd"/>
      <w:r w:rsidRPr="0012240B">
        <w:rPr>
          <w:lang w:val="en-US"/>
        </w:rPr>
        <w:t xml:space="preserve"> van </w:t>
      </w:r>
      <w:proofErr w:type="spellStart"/>
      <w:r w:rsidRPr="0012240B">
        <w:rPr>
          <w:lang w:val="en-US"/>
        </w:rPr>
        <w:t>maatwerk</w:t>
      </w:r>
      <w:proofErr w:type="spellEnd"/>
      <w:r w:rsidRPr="0012240B">
        <w:rPr>
          <w:lang w:val="en-US"/>
        </w:rPr>
        <w:t>;</w:t>
      </w:r>
    </w:p>
    <w:p w14:paraId="2604B1F7" w14:textId="77777777" w:rsidR="0012240B" w:rsidRPr="0012240B" w:rsidRDefault="0012240B" w:rsidP="0012240B">
      <w:pPr>
        <w:pStyle w:val="Lijstalinea"/>
        <w:numPr>
          <w:ilvl w:val="1"/>
          <w:numId w:val="20"/>
        </w:numPr>
        <w:rPr>
          <w:lang w:val="en-US"/>
        </w:rPr>
      </w:pPr>
      <w:proofErr w:type="spellStart"/>
      <w:r w:rsidRPr="0012240B">
        <w:rPr>
          <w:lang w:val="en-US"/>
        </w:rPr>
        <w:t>Verwerkersovereenkomst</w:t>
      </w:r>
      <w:proofErr w:type="spellEnd"/>
      <w:r w:rsidRPr="0012240B">
        <w:rPr>
          <w:lang w:val="en-US"/>
        </w:rPr>
        <w:t>.</w:t>
      </w:r>
    </w:p>
    <w:p w14:paraId="1D2C0F99" w14:textId="77777777" w:rsidR="0012240B" w:rsidRDefault="0012240B" w:rsidP="0012240B">
      <w:pPr>
        <w:pStyle w:val="Lijstalinea"/>
        <w:numPr>
          <w:ilvl w:val="0"/>
          <w:numId w:val="20"/>
        </w:numPr>
      </w:pPr>
      <w:r w:rsidRPr="0012240B">
        <w:t>Verplichtingen welke naar hun aard bestemd zijn om ook na beëindiging van de Overeenkomst voort te duren, blijven na opzegging of ontbinding van de Overeenkomst bestaan. Tot deze verplichtingen behoren onder meer veiligheid van de (persoons) gegevens, overdragen van data en gegevens, meldingsplichten, garanties, aansprakelijkheid, eigendom en vrijwaring voor schending van intellectuele eigendomsrechten, geheimhouding, geschillenbeslechting en toepasselijk recht.</w:t>
      </w:r>
    </w:p>
    <w:p w14:paraId="73044FEB" w14:textId="77777777" w:rsidR="00CC415B" w:rsidRPr="0012240B" w:rsidRDefault="00CC415B" w:rsidP="00CC415B">
      <w:pPr>
        <w:pStyle w:val="Lijstalinea"/>
        <w:ind w:left="360"/>
      </w:pPr>
    </w:p>
    <w:p w14:paraId="3E5F2345" w14:textId="734131E0" w:rsidR="0012240B" w:rsidRPr="0012240B" w:rsidRDefault="00CC415B" w:rsidP="00CC415B">
      <w:pPr>
        <w:pStyle w:val="Kop2"/>
      </w:pPr>
      <w:bookmarkStart w:id="47" w:name="_Toc443472395"/>
      <w:bookmarkStart w:id="48" w:name="_Toc26255751"/>
      <w:bookmarkStart w:id="49" w:name="_Toc26255883"/>
      <w:bookmarkStart w:id="50" w:name="_Toc26261400"/>
      <w:bookmarkStart w:id="51" w:name="_Toc26261567"/>
      <w:bookmarkStart w:id="52" w:name="_Toc26261605"/>
      <w:bookmarkStart w:id="53" w:name="_Toc33773688"/>
      <w:bookmarkStart w:id="54" w:name="_Toc158298224"/>
      <w:bookmarkStart w:id="55" w:name="_Toc213076419"/>
      <w:r>
        <w:t xml:space="preserve">Artikel </w:t>
      </w:r>
      <w:r w:rsidR="00DC5EAB">
        <w:t>4</w:t>
      </w:r>
      <w:r>
        <w:t xml:space="preserve">. </w:t>
      </w:r>
      <w:r w:rsidR="0012240B" w:rsidRPr="0012240B">
        <w:t>Vertegenwoordiging van Partijen</w:t>
      </w:r>
      <w:bookmarkEnd w:id="47"/>
      <w:bookmarkEnd w:id="48"/>
      <w:bookmarkEnd w:id="49"/>
      <w:bookmarkEnd w:id="50"/>
      <w:bookmarkEnd w:id="51"/>
      <w:bookmarkEnd w:id="52"/>
      <w:bookmarkEnd w:id="53"/>
      <w:bookmarkEnd w:id="54"/>
      <w:bookmarkEnd w:id="55"/>
    </w:p>
    <w:p w14:paraId="62D8DADE" w14:textId="77777777" w:rsidR="0012240B" w:rsidRDefault="0012240B" w:rsidP="0012240B">
      <w:pPr>
        <w:pStyle w:val="Lijstalinea"/>
        <w:numPr>
          <w:ilvl w:val="0"/>
          <w:numId w:val="21"/>
        </w:numPr>
      </w:pPr>
      <w:r w:rsidRPr="0012240B">
        <w:lastRenderedPageBreak/>
        <w:t>Partijen zorgen elk voor één contactpersoon, die namens hem als gemachtigde kan optreden in alle zaken voor de Overeenkomst. Partijen stellen elkaar schriftelijk op de hoogte van alle benodigde contactgegevens en exacte mandatering.</w:t>
      </w:r>
    </w:p>
    <w:p w14:paraId="4051333C" w14:textId="77777777" w:rsidR="00CC415B" w:rsidRPr="0012240B" w:rsidRDefault="00CC415B" w:rsidP="00CC415B">
      <w:pPr>
        <w:pStyle w:val="Lijstalinea"/>
        <w:ind w:left="360"/>
      </w:pPr>
    </w:p>
    <w:p w14:paraId="34515775" w14:textId="11271A01" w:rsidR="0012240B" w:rsidRPr="00CC415B" w:rsidRDefault="00CC415B" w:rsidP="00CC415B">
      <w:pPr>
        <w:pStyle w:val="Kop2"/>
        <w:rPr>
          <w:lang w:val="en-US"/>
        </w:rPr>
      </w:pPr>
      <w:bookmarkStart w:id="56" w:name="_Toc33773689"/>
      <w:bookmarkStart w:id="57" w:name="_Toc158298225"/>
      <w:bookmarkStart w:id="58" w:name="_Toc213076420"/>
      <w:r>
        <w:rPr>
          <w:lang w:val="en-US"/>
        </w:rPr>
        <w:t xml:space="preserve">Artikel </w:t>
      </w:r>
      <w:r w:rsidR="00DC5EAB">
        <w:rPr>
          <w:lang w:val="en-US"/>
        </w:rPr>
        <w:t>5</w:t>
      </w:r>
      <w:r>
        <w:rPr>
          <w:lang w:val="en-US"/>
        </w:rPr>
        <w:t xml:space="preserve">. </w:t>
      </w:r>
      <w:r w:rsidR="0012240B" w:rsidRPr="0012240B">
        <w:rPr>
          <w:lang w:val="en-US"/>
        </w:rPr>
        <w:t>Social Return on Investment (SROI)</w:t>
      </w:r>
      <w:bookmarkEnd w:id="56"/>
      <w:bookmarkEnd w:id="58"/>
    </w:p>
    <w:bookmarkEnd w:id="57"/>
    <w:p w14:paraId="7CA78D23" w14:textId="4D74E4E9" w:rsidR="0012240B" w:rsidRPr="0012240B" w:rsidRDefault="0012240B" w:rsidP="00CC415B">
      <w:pPr>
        <w:pStyle w:val="Lijstalinea"/>
        <w:numPr>
          <w:ilvl w:val="0"/>
          <w:numId w:val="22"/>
        </w:numPr>
        <w:ind w:left="500" w:hanging="500"/>
      </w:pPr>
      <w:r w:rsidRPr="0012240B">
        <w:t xml:space="preserve">Leverancier verplicht zich om </w:t>
      </w:r>
      <w:r w:rsidR="00FA0E5A">
        <w:t>2</w:t>
      </w:r>
      <w:r w:rsidRPr="0012240B">
        <w:t xml:space="preserve">% van de gefactureerde omzet naar aanleiding van de Overeenkomst te besteden aan inspanningen in het kader van SROI. Dit percentage is bepaald met meewegen van alle aspecten van de onderhavige Overeenkomst. </w:t>
      </w:r>
    </w:p>
    <w:p w14:paraId="47F07CB6" w14:textId="77777777" w:rsidR="0012240B" w:rsidRPr="0012240B" w:rsidRDefault="0012240B" w:rsidP="00CC415B">
      <w:pPr>
        <w:pStyle w:val="Lijstalinea"/>
        <w:numPr>
          <w:ilvl w:val="0"/>
          <w:numId w:val="22"/>
        </w:numPr>
        <w:ind w:left="500" w:hanging="500"/>
      </w:pPr>
      <w:r w:rsidRPr="0012240B">
        <w:t>De daadwerkelijke invulling van de SROI inspanning mag ook breder dan op onderliggende Overeenkomst worden verwezenlijkt.</w:t>
      </w:r>
    </w:p>
    <w:p w14:paraId="3BE4DEC3" w14:textId="77777777" w:rsidR="0012240B" w:rsidRPr="0012240B" w:rsidRDefault="0012240B" w:rsidP="00CC415B">
      <w:pPr>
        <w:pStyle w:val="Lijstalinea"/>
        <w:numPr>
          <w:ilvl w:val="0"/>
          <w:numId w:val="22"/>
        </w:numPr>
        <w:ind w:left="500" w:hanging="500"/>
      </w:pPr>
      <w:r w:rsidRPr="0012240B">
        <w:t>De Opdrachtgever zal zich inspannen om de aanlevering van kandidaten aan Leverancier te bevorderen. Deze inspanningen doen niets af aan de verantwoordelijkheid van Leverancier om aan de SROI-verplichting te voldoen.</w:t>
      </w:r>
    </w:p>
    <w:p w14:paraId="5A68A939" w14:textId="77777777" w:rsidR="0012240B" w:rsidRPr="0012240B" w:rsidRDefault="0012240B" w:rsidP="00CC415B">
      <w:pPr>
        <w:pStyle w:val="Lijstalinea"/>
        <w:numPr>
          <w:ilvl w:val="0"/>
          <w:numId w:val="22"/>
        </w:numPr>
        <w:ind w:left="500" w:hanging="500"/>
      </w:pPr>
      <w:r w:rsidRPr="0012240B">
        <w:t>Indien Leverancier werkt met derden blijft Leverancier hoofdelijk aansprakelijk voor deze SROI-verplichting.</w:t>
      </w:r>
    </w:p>
    <w:p w14:paraId="7A7C65D1" w14:textId="77777777" w:rsidR="0012240B" w:rsidRPr="0012240B" w:rsidRDefault="0012240B" w:rsidP="00CC415B">
      <w:pPr>
        <w:pStyle w:val="Lijstalinea"/>
        <w:numPr>
          <w:ilvl w:val="0"/>
          <w:numId w:val="22"/>
        </w:numPr>
        <w:ind w:left="500" w:hanging="500"/>
      </w:pPr>
      <w:r w:rsidRPr="0012240B">
        <w:t xml:space="preserve">De definitieve berekening van het percentage van de gefactureerde aanneemsom geschiedt aan het einde van de looptijd van de Overeenkomst. </w:t>
      </w:r>
    </w:p>
    <w:p w14:paraId="69BC6FF1" w14:textId="77777777" w:rsidR="0012240B" w:rsidRPr="0012240B" w:rsidRDefault="0012240B" w:rsidP="00CC415B">
      <w:pPr>
        <w:pStyle w:val="Lijstalinea"/>
        <w:numPr>
          <w:ilvl w:val="0"/>
          <w:numId w:val="22"/>
        </w:numPr>
        <w:ind w:left="500" w:hanging="500"/>
      </w:pPr>
      <w:r w:rsidRPr="0012240B">
        <w:t xml:space="preserve">Indien Leverancier zijn verplichtingen aangaande SROI niet volledig in activiteiten nakomt, moet Leverancier het resterende aan SROI toe te kennen bedrag betalen. </w:t>
      </w:r>
    </w:p>
    <w:p w14:paraId="7D1F6895" w14:textId="77777777" w:rsidR="0012240B" w:rsidRPr="0012240B" w:rsidRDefault="0012240B" w:rsidP="00CC415B">
      <w:pPr>
        <w:pStyle w:val="Lijstalinea"/>
        <w:numPr>
          <w:ilvl w:val="0"/>
          <w:numId w:val="22"/>
        </w:numPr>
        <w:ind w:left="500" w:hanging="500"/>
      </w:pPr>
      <w:r w:rsidRPr="0012240B">
        <w:t>Bij verwijtbaar niet nakomen van de SROI verplichting door Leverancier is de Opdrachtgever gerechtigd een boete van maximaal 50% van de niet gerealiseerde SROI inspanning op te leggen.</w:t>
      </w:r>
    </w:p>
    <w:p w14:paraId="73A1BE63" w14:textId="77777777" w:rsidR="00FE576C" w:rsidRPr="0012240B" w:rsidRDefault="00FE576C" w:rsidP="0012240B">
      <w:pPr>
        <w:pStyle w:val="Lijstalinea"/>
      </w:pPr>
    </w:p>
    <w:p w14:paraId="3AC67B67" w14:textId="77777777" w:rsidR="0012240B" w:rsidRPr="0012240B" w:rsidRDefault="0012240B" w:rsidP="00CC415B">
      <w:pPr>
        <w:pStyle w:val="Kop1"/>
        <w:rPr>
          <w:lang w:val="x-none"/>
        </w:rPr>
      </w:pPr>
      <w:bookmarkStart w:id="59" w:name="_Toc26255753"/>
      <w:bookmarkStart w:id="60" w:name="_Toc26255885"/>
      <w:bookmarkStart w:id="61" w:name="_Toc26261402"/>
      <w:bookmarkStart w:id="62" w:name="_Toc26261569"/>
      <w:bookmarkStart w:id="63" w:name="_Toc26261607"/>
      <w:bookmarkStart w:id="64" w:name="_Toc26261635"/>
      <w:bookmarkStart w:id="65" w:name="_Toc33773690"/>
      <w:bookmarkStart w:id="66" w:name="_Toc158298226"/>
      <w:bookmarkStart w:id="67" w:name="_Toc443472397"/>
      <w:bookmarkStart w:id="68" w:name="_Toc213076421"/>
      <w:r w:rsidRPr="0012240B">
        <w:t>Omschrijving ICT Prestatie</w:t>
      </w:r>
      <w:bookmarkEnd w:id="59"/>
      <w:bookmarkEnd w:id="60"/>
      <w:bookmarkEnd w:id="61"/>
      <w:bookmarkEnd w:id="62"/>
      <w:bookmarkEnd w:id="63"/>
      <w:bookmarkEnd w:id="64"/>
      <w:bookmarkEnd w:id="65"/>
      <w:bookmarkEnd w:id="66"/>
      <w:bookmarkEnd w:id="68"/>
      <w:r w:rsidRPr="0012240B">
        <w:rPr>
          <w:lang w:val="x-none"/>
        </w:rPr>
        <w:t xml:space="preserve"> </w:t>
      </w:r>
      <w:bookmarkEnd w:id="67"/>
    </w:p>
    <w:p w14:paraId="6B78F123" w14:textId="1357E441" w:rsidR="0012240B" w:rsidRPr="0012240B" w:rsidRDefault="00CC415B" w:rsidP="00CC415B">
      <w:pPr>
        <w:pStyle w:val="Kop2"/>
      </w:pPr>
      <w:bookmarkStart w:id="69" w:name="_Toc438551298"/>
      <w:bookmarkStart w:id="70" w:name="_Toc443472398"/>
      <w:bookmarkStart w:id="71" w:name="_Toc26255754"/>
      <w:bookmarkStart w:id="72" w:name="_Toc26255886"/>
      <w:bookmarkStart w:id="73" w:name="_Toc26261403"/>
      <w:bookmarkStart w:id="74" w:name="_Toc26261570"/>
      <w:bookmarkStart w:id="75" w:name="_Toc26261608"/>
      <w:bookmarkStart w:id="76" w:name="_Toc33773691"/>
      <w:bookmarkStart w:id="77" w:name="_Toc158298227"/>
      <w:bookmarkStart w:id="78" w:name="_Toc213076422"/>
      <w:r>
        <w:t xml:space="preserve">Artikel </w:t>
      </w:r>
      <w:r w:rsidR="00DC5EAB">
        <w:t>6</w:t>
      </w:r>
      <w:r>
        <w:t xml:space="preserve">. </w:t>
      </w:r>
      <w:r w:rsidR="0012240B" w:rsidRPr="0012240B">
        <w:t xml:space="preserve">Voorwerp van </w:t>
      </w:r>
      <w:r w:rsidR="0012240B" w:rsidRPr="00CC415B">
        <w:t xml:space="preserve">de </w:t>
      </w:r>
      <w:r w:rsidR="0012240B" w:rsidRPr="0012240B">
        <w:t>Overeenkomst</w:t>
      </w:r>
      <w:bookmarkEnd w:id="69"/>
      <w:bookmarkEnd w:id="70"/>
      <w:bookmarkEnd w:id="71"/>
      <w:bookmarkEnd w:id="72"/>
      <w:bookmarkEnd w:id="73"/>
      <w:bookmarkEnd w:id="74"/>
      <w:bookmarkEnd w:id="75"/>
      <w:bookmarkEnd w:id="76"/>
      <w:bookmarkEnd w:id="77"/>
      <w:bookmarkEnd w:id="78"/>
    </w:p>
    <w:p w14:paraId="19C7B9F0" w14:textId="77777777" w:rsidR="0012240B" w:rsidRPr="0012240B" w:rsidRDefault="0012240B" w:rsidP="0012240B">
      <w:pPr>
        <w:pStyle w:val="Lijstalinea"/>
        <w:numPr>
          <w:ilvl w:val="0"/>
          <w:numId w:val="23"/>
        </w:numPr>
      </w:pPr>
      <w:r w:rsidRPr="0012240B">
        <w:t>Tot het overeengekomen gebruik behoort dat de ICT Prestatie voldoet aan wat beschreven is in de in artikel 2. genoemde documenten.</w:t>
      </w:r>
    </w:p>
    <w:p w14:paraId="1E34E729" w14:textId="77777777" w:rsidR="0012240B" w:rsidRPr="0012240B" w:rsidRDefault="0012240B" w:rsidP="0012240B">
      <w:pPr>
        <w:pStyle w:val="Lijstalinea"/>
        <w:numPr>
          <w:ilvl w:val="0"/>
          <w:numId w:val="23"/>
        </w:numPr>
      </w:pPr>
      <w:r w:rsidRPr="0012240B">
        <w:t>Leverancier garandeert dat de ICT Prestatie zal voldoen aan de Gemeentelijke ICT-kwaliteitsnormen en overige normen zoals opgenomen in de GIBIT.</w:t>
      </w:r>
    </w:p>
    <w:p w14:paraId="6E94C17F" w14:textId="77777777" w:rsidR="0012240B" w:rsidRDefault="0012240B" w:rsidP="0012240B">
      <w:pPr>
        <w:pStyle w:val="Lijstalinea"/>
        <w:numPr>
          <w:ilvl w:val="0"/>
          <w:numId w:val="23"/>
        </w:numPr>
      </w:pPr>
      <w:r w:rsidRPr="0012240B">
        <w:t xml:space="preserve">Leverancier stelt Opdrachtgever gedurende de looptijd van de Overeenkomst in staat om te allen tijde </w:t>
      </w:r>
      <w:proofErr w:type="spellStart"/>
      <w:r w:rsidRPr="0012240B">
        <w:t>realtime</w:t>
      </w:r>
      <w:proofErr w:type="spellEnd"/>
      <w:r w:rsidRPr="0012240B">
        <w:t xml:space="preserve"> en 24/7 de data automatisch uit de ICT Prestatie te onttrekken. Leverancier levert aan Opdrachtgever een juiste, volledige en gedetailleerde beschrijving van de aan de ICT Prestatie ten grondslag liggende </w:t>
      </w:r>
      <w:r w:rsidRPr="0012240B">
        <w:lastRenderedPageBreak/>
        <w:t>datamodellen inclusief kenmerken, relaties en eventueel toegepaste berekeningen, teneinde Opdrachtgever in staat te stellen de gegevens zelf te ontsluiten, te interpreteren, te verwerken en of te publiceren.</w:t>
      </w:r>
    </w:p>
    <w:p w14:paraId="314E1453" w14:textId="77777777" w:rsidR="00CC415B" w:rsidRPr="0012240B" w:rsidRDefault="00CC415B" w:rsidP="00CC415B">
      <w:pPr>
        <w:pStyle w:val="Lijstalinea"/>
        <w:ind w:left="360"/>
      </w:pPr>
    </w:p>
    <w:p w14:paraId="5BD0086A" w14:textId="77A3A5E5" w:rsidR="0012240B" w:rsidRPr="0012240B" w:rsidRDefault="00CC415B" w:rsidP="00CC415B">
      <w:pPr>
        <w:pStyle w:val="Kop2"/>
        <w:rPr>
          <w:lang w:val="x-none"/>
        </w:rPr>
      </w:pPr>
      <w:bookmarkStart w:id="79" w:name="_Toc33773693"/>
      <w:bookmarkStart w:id="80" w:name="_Toc158298228"/>
      <w:bookmarkStart w:id="81" w:name="_Toc213076423"/>
      <w:r>
        <w:t xml:space="preserve">Artikel </w:t>
      </w:r>
      <w:r w:rsidR="00DC5EAB">
        <w:t>7</w:t>
      </w:r>
      <w:r>
        <w:t xml:space="preserve">. </w:t>
      </w:r>
      <w:r w:rsidR="0012240B" w:rsidRPr="0012240B">
        <w:t>Implementatie</w:t>
      </w:r>
      <w:bookmarkEnd w:id="79"/>
      <w:bookmarkEnd w:id="80"/>
      <w:bookmarkEnd w:id="81"/>
    </w:p>
    <w:p w14:paraId="0D0C6009" w14:textId="77777777" w:rsidR="0012240B" w:rsidRPr="0012240B" w:rsidRDefault="0012240B" w:rsidP="0012240B">
      <w:pPr>
        <w:pStyle w:val="Lijstalinea"/>
        <w:numPr>
          <w:ilvl w:val="0"/>
          <w:numId w:val="24"/>
        </w:numPr>
      </w:pPr>
      <w:r w:rsidRPr="0012240B">
        <w:t>De Implementatie geschiedt volgens een in nader overleg vast te stellen Implementatieplan zoals bedoeld in artikel 6.3 GIBIT.</w:t>
      </w:r>
    </w:p>
    <w:p w14:paraId="54FCA534" w14:textId="77777777" w:rsidR="0012240B" w:rsidRDefault="0012240B" w:rsidP="0012240B">
      <w:pPr>
        <w:pStyle w:val="Lijstalinea"/>
        <w:numPr>
          <w:ilvl w:val="0"/>
          <w:numId w:val="24"/>
        </w:numPr>
      </w:pPr>
      <w:r w:rsidRPr="0012240B">
        <w:t>De Implementatie dient uiterlijk te zijn voltooid zoals wordt opgenomen in een nader overleg vast te stellen Implementatieplan.</w:t>
      </w:r>
    </w:p>
    <w:p w14:paraId="0F295DA0" w14:textId="77777777" w:rsidR="00CC415B" w:rsidRPr="0012240B" w:rsidRDefault="00CC415B" w:rsidP="00CC415B">
      <w:pPr>
        <w:pStyle w:val="Lijstalinea"/>
        <w:ind w:left="360"/>
      </w:pPr>
    </w:p>
    <w:p w14:paraId="7B5AAAEE" w14:textId="594A34EC" w:rsidR="0012240B" w:rsidRPr="00CC415B" w:rsidRDefault="00CC415B" w:rsidP="00CC415B">
      <w:pPr>
        <w:pStyle w:val="Kop2"/>
        <w:rPr>
          <w:lang w:val="x-none"/>
        </w:rPr>
      </w:pPr>
      <w:bookmarkStart w:id="82" w:name="_Toc33773694"/>
      <w:bookmarkStart w:id="83" w:name="_Toc158298229"/>
      <w:bookmarkStart w:id="84" w:name="_Toc213076424"/>
      <w:r>
        <w:t xml:space="preserve">Artikel </w:t>
      </w:r>
      <w:r w:rsidR="00DC5EAB">
        <w:t>8</w:t>
      </w:r>
      <w:r>
        <w:t xml:space="preserve">. </w:t>
      </w:r>
      <w:r w:rsidR="0012240B" w:rsidRPr="00CC415B">
        <w:t>Acceptatie</w:t>
      </w:r>
      <w:bookmarkEnd w:id="82"/>
      <w:bookmarkEnd w:id="83"/>
      <w:bookmarkEnd w:id="84"/>
    </w:p>
    <w:p w14:paraId="566CC981" w14:textId="77777777" w:rsidR="0012240B" w:rsidRPr="0012240B" w:rsidRDefault="0012240B" w:rsidP="0012240B">
      <w:pPr>
        <w:pStyle w:val="Lijstalinea"/>
        <w:numPr>
          <w:ilvl w:val="0"/>
          <w:numId w:val="25"/>
        </w:numPr>
      </w:pPr>
      <w:r w:rsidRPr="0012240B">
        <w:t>De Acceptatieprocedure verloopt conform het in nader overleg vast te stellen testprotocol.</w:t>
      </w:r>
    </w:p>
    <w:p w14:paraId="4A06184C" w14:textId="77777777" w:rsidR="0012240B" w:rsidRDefault="0012240B" w:rsidP="0012240B">
      <w:pPr>
        <w:pStyle w:val="Lijstalinea"/>
        <w:numPr>
          <w:ilvl w:val="0"/>
          <w:numId w:val="25"/>
        </w:numPr>
      </w:pPr>
      <w:r w:rsidRPr="0012240B">
        <w:t>Als onderdeel van de Acceptatieprocedure zal een ketentest worden uitgevoerd. Daarbij worden alle Koppelingen tussen de ICT Prestatie en het Applicatielandschap getest op de overeengekomen interoperabiliteit.</w:t>
      </w:r>
    </w:p>
    <w:p w14:paraId="34E7BBAC" w14:textId="77777777" w:rsidR="00CC415B" w:rsidRPr="0012240B" w:rsidRDefault="00CC415B" w:rsidP="00CC415B">
      <w:pPr>
        <w:pStyle w:val="Lijstalinea"/>
        <w:ind w:left="360"/>
      </w:pPr>
    </w:p>
    <w:p w14:paraId="66DEF359" w14:textId="1E7FE9F9" w:rsidR="0012240B" w:rsidRPr="0012240B" w:rsidRDefault="00CC415B" w:rsidP="00CC415B">
      <w:pPr>
        <w:pStyle w:val="Kop2"/>
        <w:rPr>
          <w:lang w:val="x-none"/>
        </w:rPr>
      </w:pPr>
      <w:bookmarkStart w:id="85" w:name="_Toc33773695"/>
      <w:bookmarkStart w:id="86" w:name="_Toc158298230"/>
      <w:bookmarkStart w:id="87" w:name="_Toc213076425"/>
      <w:r>
        <w:t xml:space="preserve">Artikel </w:t>
      </w:r>
      <w:r w:rsidR="00DC5EAB">
        <w:t>9</w:t>
      </w:r>
      <w:r>
        <w:t xml:space="preserve">. </w:t>
      </w:r>
      <w:r w:rsidR="0012240B" w:rsidRPr="0012240B">
        <w:t>Onderhoud en ondersteuning</w:t>
      </w:r>
      <w:bookmarkEnd w:id="85"/>
      <w:bookmarkEnd w:id="86"/>
      <w:bookmarkEnd w:id="87"/>
    </w:p>
    <w:p w14:paraId="122A9213" w14:textId="77777777" w:rsidR="0012240B" w:rsidRPr="0012240B" w:rsidRDefault="0012240B" w:rsidP="0012240B">
      <w:pPr>
        <w:pStyle w:val="Lijstalinea"/>
        <w:numPr>
          <w:ilvl w:val="0"/>
          <w:numId w:val="26"/>
        </w:numPr>
      </w:pPr>
      <w:r w:rsidRPr="0012240B">
        <w:t>Het Onderhoud wordt verricht overeenkomstig:</w:t>
      </w:r>
    </w:p>
    <w:p w14:paraId="0632963B" w14:textId="77777777" w:rsidR="0012240B" w:rsidRPr="0012240B" w:rsidRDefault="0012240B" w:rsidP="0012240B">
      <w:pPr>
        <w:pStyle w:val="Lijstalinea"/>
        <w:numPr>
          <w:ilvl w:val="1"/>
          <w:numId w:val="26"/>
        </w:numPr>
        <w:rPr>
          <w:lang w:val="en-US"/>
        </w:rPr>
      </w:pPr>
      <w:r w:rsidRPr="0012240B">
        <w:rPr>
          <w:lang w:val="en-US"/>
        </w:rPr>
        <w:t>de Service Level Agreement,</w:t>
      </w:r>
    </w:p>
    <w:p w14:paraId="5DBA192B" w14:textId="77777777" w:rsidR="0012240B" w:rsidRPr="0012240B" w:rsidRDefault="0012240B" w:rsidP="0012240B">
      <w:pPr>
        <w:pStyle w:val="Lijstalinea"/>
        <w:numPr>
          <w:ilvl w:val="1"/>
          <w:numId w:val="26"/>
        </w:numPr>
      </w:pPr>
      <w:r w:rsidRPr="0012240B">
        <w:t>het onderhoudsplan conform de Offerte van Leverancier.</w:t>
      </w:r>
    </w:p>
    <w:p w14:paraId="47646841" w14:textId="77777777" w:rsidR="0012240B" w:rsidRPr="0012240B" w:rsidRDefault="0012240B" w:rsidP="0012240B">
      <w:pPr>
        <w:pStyle w:val="Lijstalinea"/>
        <w:numPr>
          <w:ilvl w:val="1"/>
          <w:numId w:val="26"/>
        </w:numPr>
        <w:rPr>
          <w:lang w:val="en-US"/>
        </w:rPr>
      </w:pPr>
      <w:proofErr w:type="spellStart"/>
      <w:r w:rsidRPr="0012240B">
        <w:rPr>
          <w:lang w:val="en-US"/>
        </w:rPr>
        <w:t>artikel</w:t>
      </w:r>
      <w:proofErr w:type="spellEnd"/>
      <w:r w:rsidRPr="0012240B">
        <w:rPr>
          <w:lang w:val="en-US"/>
        </w:rPr>
        <w:t xml:space="preserve"> 10 GIBIT</w:t>
      </w:r>
    </w:p>
    <w:p w14:paraId="06C1E312" w14:textId="77777777" w:rsidR="0012240B" w:rsidRPr="0012240B" w:rsidRDefault="0012240B" w:rsidP="0012240B">
      <w:pPr>
        <w:pStyle w:val="Lijstalinea"/>
        <w:numPr>
          <w:ilvl w:val="0"/>
          <w:numId w:val="26"/>
        </w:numPr>
      </w:pPr>
      <w:r w:rsidRPr="0012240B">
        <w:t>Leverancier verzorgt de Implementatie van Updates en Upgrades zodra deze beschikbaar zijn.</w:t>
      </w:r>
    </w:p>
    <w:p w14:paraId="06B89C85" w14:textId="77777777" w:rsidR="0012240B" w:rsidRPr="0012240B" w:rsidRDefault="0012240B" w:rsidP="0012240B">
      <w:pPr>
        <w:pStyle w:val="Lijstalinea"/>
        <w:numPr>
          <w:ilvl w:val="0"/>
          <w:numId w:val="26"/>
        </w:numPr>
      </w:pPr>
      <w:r w:rsidRPr="0012240B">
        <w:t xml:space="preserve">Leverancier verzorgt de Implementatie van Updates en Upgrades zonder nadere Vergoeding. </w:t>
      </w:r>
    </w:p>
    <w:p w14:paraId="18EBFFBA" w14:textId="77777777" w:rsidR="0012240B" w:rsidRPr="0012240B" w:rsidRDefault="0012240B" w:rsidP="0012240B">
      <w:pPr>
        <w:pStyle w:val="Lijstalinea"/>
        <w:numPr>
          <w:ilvl w:val="0"/>
          <w:numId w:val="26"/>
        </w:numPr>
      </w:pPr>
      <w:r w:rsidRPr="0012240B">
        <w:t>Bij Implementatie van een Update zal in afwijking van artikel 10.13 GIBIT, een Acceptatieprocedure plaatsvinden.</w:t>
      </w:r>
    </w:p>
    <w:p w14:paraId="39EBA834" w14:textId="77777777" w:rsidR="00CC415B" w:rsidRPr="0012240B" w:rsidRDefault="00CC415B" w:rsidP="00CC415B">
      <w:pPr>
        <w:pStyle w:val="Lijstalinea"/>
        <w:ind w:left="360"/>
      </w:pPr>
    </w:p>
    <w:p w14:paraId="28A2961B" w14:textId="2889A53B" w:rsidR="0012240B" w:rsidRPr="0012240B" w:rsidRDefault="00DA5AFF" w:rsidP="00DA5AFF">
      <w:pPr>
        <w:pStyle w:val="Kop2"/>
      </w:pPr>
      <w:bookmarkStart w:id="88" w:name="_Toc158298232"/>
      <w:bookmarkStart w:id="89" w:name="_Toc213076426"/>
      <w:r>
        <w:t>Artikel 1</w:t>
      </w:r>
      <w:r w:rsidR="00B10F35">
        <w:t>0</w:t>
      </w:r>
      <w:r>
        <w:t xml:space="preserve">. </w:t>
      </w:r>
      <w:r w:rsidR="0012240B" w:rsidRPr="0012240B">
        <w:t>Dienstverlening op Afstand</w:t>
      </w:r>
      <w:bookmarkEnd w:id="88"/>
      <w:bookmarkEnd w:id="89"/>
    </w:p>
    <w:p w14:paraId="54F8227A" w14:textId="77777777" w:rsidR="0012240B" w:rsidRPr="003E3CD8" w:rsidRDefault="0012240B" w:rsidP="0012240B">
      <w:pPr>
        <w:pStyle w:val="Lijstalinea"/>
        <w:numPr>
          <w:ilvl w:val="0"/>
          <w:numId w:val="28"/>
        </w:numPr>
      </w:pPr>
      <w:r w:rsidRPr="003E3CD8">
        <w:t>Leverancier levert  Dienstverlening op Afstand overeenkomstig de Service Levels zoals omschreven in de Service Level Agreement.</w:t>
      </w:r>
    </w:p>
    <w:p w14:paraId="0DDF76C6" w14:textId="77777777" w:rsidR="0012240B" w:rsidRDefault="0012240B" w:rsidP="0012240B">
      <w:pPr>
        <w:pStyle w:val="Lijstalinea"/>
        <w:numPr>
          <w:ilvl w:val="0"/>
          <w:numId w:val="28"/>
        </w:numPr>
      </w:pPr>
      <w:r w:rsidRPr="0012240B">
        <w:t>De beschikbaarheid is nader gespecificeerd in hetzelfde document als in lid 01 genoemd.</w:t>
      </w:r>
    </w:p>
    <w:p w14:paraId="729A2608" w14:textId="77777777" w:rsidR="00DA5AFF" w:rsidRPr="0012240B" w:rsidRDefault="00DA5AFF" w:rsidP="00DA5AFF">
      <w:pPr>
        <w:pStyle w:val="Lijstalinea"/>
        <w:ind w:left="360"/>
      </w:pPr>
    </w:p>
    <w:p w14:paraId="50DC51A3" w14:textId="349B91B6" w:rsidR="0012240B" w:rsidRPr="0012240B" w:rsidRDefault="00DA5AFF" w:rsidP="00DA5AFF">
      <w:pPr>
        <w:pStyle w:val="Kop2"/>
        <w:rPr>
          <w:lang w:val="x-none"/>
        </w:rPr>
      </w:pPr>
      <w:bookmarkStart w:id="90" w:name="_Toc33773698"/>
      <w:bookmarkStart w:id="91" w:name="_Toc158298233"/>
      <w:bookmarkStart w:id="92" w:name="_Toc213076427"/>
      <w:r>
        <w:t>Artikel 1</w:t>
      </w:r>
      <w:r w:rsidR="00B10F35">
        <w:t>1</w:t>
      </w:r>
      <w:r>
        <w:t xml:space="preserve">. </w:t>
      </w:r>
      <w:r w:rsidR="0012240B" w:rsidRPr="0012240B">
        <w:t>Exit-plan</w:t>
      </w:r>
      <w:bookmarkEnd w:id="90"/>
      <w:bookmarkEnd w:id="91"/>
      <w:bookmarkEnd w:id="92"/>
    </w:p>
    <w:p w14:paraId="67C31A10" w14:textId="77777777" w:rsidR="0012240B" w:rsidRDefault="0012240B" w:rsidP="0012240B">
      <w:pPr>
        <w:pStyle w:val="Lijstalinea"/>
        <w:numPr>
          <w:ilvl w:val="0"/>
          <w:numId w:val="29"/>
        </w:numPr>
      </w:pPr>
      <w:r w:rsidRPr="0012240B">
        <w:t xml:space="preserve">De overstap van Opdrachtgever naar een ander systeem, </w:t>
      </w:r>
      <w:proofErr w:type="spellStart"/>
      <w:r w:rsidRPr="0012240B">
        <w:t>afschaling</w:t>
      </w:r>
      <w:proofErr w:type="spellEnd"/>
      <w:r w:rsidRPr="0012240B">
        <w:t xml:space="preserve"> en/of overdracht wordt uitgewerkt overeenkomstig artikel 26 GIBIT.</w:t>
      </w:r>
    </w:p>
    <w:p w14:paraId="0E0624E4" w14:textId="77777777" w:rsidR="00DA5AFF" w:rsidRPr="0012240B" w:rsidRDefault="00DA5AFF" w:rsidP="00DA5AFF">
      <w:pPr>
        <w:pStyle w:val="Lijstalinea"/>
        <w:ind w:left="360"/>
      </w:pPr>
    </w:p>
    <w:p w14:paraId="4525C85F" w14:textId="42F2B74C" w:rsidR="0012240B" w:rsidRPr="00DA5AFF" w:rsidRDefault="00DA5AFF" w:rsidP="00DA5AFF">
      <w:pPr>
        <w:pStyle w:val="Kop2"/>
      </w:pPr>
      <w:bookmarkStart w:id="93" w:name="_Toc532367403"/>
      <w:bookmarkStart w:id="94" w:name="_Toc26255756"/>
      <w:bookmarkStart w:id="95" w:name="_Toc26255888"/>
      <w:bookmarkStart w:id="96" w:name="_Toc26261405"/>
      <w:bookmarkStart w:id="97" w:name="_Toc26261572"/>
      <w:bookmarkStart w:id="98" w:name="_Toc26261610"/>
      <w:bookmarkStart w:id="99" w:name="_Toc33773700"/>
      <w:bookmarkStart w:id="100" w:name="_Toc158298235"/>
      <w:bookmarkStart w:id="101" w:name="_Toc213076428"/>
      <w:r>
        <w:t>Artikel 1</w:t>
      </w:r>
      <w:r w:rsidR="00B10F35">
        <w:t>2</w:t>
      </w:r>
      <w:r>
        <w:t xml:space="preserve">. </w:t>
      </w:r>
      <w:r w:rsidR="0012240B" w:rsidRPr="00DA5AFF">
        <w:t>Verwerking van persoonsgegevens</w:t>
      </w:r>
      <w:bookmarkEnd w:id="93"/>
      <w:bookmarkEnd w:id="94"/>
      <w:bookmarkEnd w:id="95"/>
      <w:bookmarkEnd w:id="96"/>
      <w:bookmarkEnd w:id="97"/>
      <w:bookmarkEnd w:id="98"/>
      <w:bookmarkEnd w:id="99"/>
      <w:bookmarkEnd w:id="100"/>
      <w:bookmarkEnd w:id="101"/>
    </w:p>
    <w:p w14:paraId="1214049B" w14:textId="77777777" w:rsidR="0012240B" w:rsidRPr="0012240B" w:rsidRDefault="0012240B" w:rsidP="0012240B">
      <w:pPr>
        <w:pStyle w:val="Lijstalinea"/>
        <w:numPr>
          <w:ilvl w:val="0"/>
          <w:numId w:val="31"/>
        </w:numPr>
      </w:pPr>
      <w:r w:rsidRPr="0012240B">
        <w:t>Leverancier handelt als verwerker in de zin van de Algemene Verordening Gegevensbescherming (AVG).</w:t>
      </w:r>
    </w:p>
    <w:p w14:paraId="721380CD" w14:textId="77777777" w:rsidR="0012240B" w:rsidRPr="0012240B" w:rsidRDefault="0012240B" w:rsidP="0012240B">
      <w:pPr>
        <w:pStyle w:val="Lijstalinea"/>
        <w:numPr>
          <w:ilvl w:val="0"/>
          <w:numId w:val="31"/>
        </w:numPr>
      </w:pPr>
      <w:r w:rsidRPr="0012240B">
        <w:t>Als de Opdrachtgever door de Autoriteit Persoonsgegevens aansprakelijk wordt gesteld voor een overtreding waarvoor Leverancier aantoonbaar verwijtbaar is, is de Leverancier een boete verschuldigd aan de Opdrachtgever. De hoogte van deze boete is gelijk aan de boete die door de Autoriteit Persoonsgegevens is opgelegd aan de Opdrachtgever. De verplichtingen uit de verwerkersovereenkomst blijven na opzegging of ontbinding van de Overeenkomst bestaan.</w:t>
      </w:r>
    </w:p>
    <w:p w14:paraId="75F3D443" w14:textId="77777777" w:rsidR="0012240B" w:rsidRPr="0012240B" w:rsidRDefault="0012240B" w:rsidP="00DA5AFF"/>
    <w:p w14:paraId="2623100B" w14:textId="59478730" w:rsidR="0012240B" w:rsidRPr="0012240B" w:rsidRDefault="00DA5AFF" w:rsidP="00DA5AFF">
      <w:pPr>
        <w:pStyle w:val="Kop2"/>
      </w:pPr>
      <w:bookmarkStart w:id="102" w:name="_Toc438551300"/>
      <w:bookmarkStart w:id="103" w:name="_Toc443472400"/>
      <w:bookmarkStart w:id="104" w:name="_Toc26255757"/>
      <w:bookmarkStart w:id="105" w:name="_Toc26255889"/>
      <w:bookmarkStart w:id="106" w:name="_Toc26261406"/>
      <w:bookmarkStart w:id="107" w:name="_Toc26261573"/>
      <w:bookmarkStart w:id="108" w:name="_Toc26261611"/>
      <w:bookmarkStart w:id="109" w:name="_Toc33773701"/>
      <w:bookmarkStart w:id="110" w:name="_Toc158298236"/>
      <w:bookmarkStart w:id="111" w:name="_Toc213076429"/>
      <w:r>
        <w:t>Artikel 1</w:t>
      </w:r>
      <w:r w:rsidR="00B10F35">
        <w:t>3</w:t>
      </w:r>
      <w:r>
        <w:t xml:space="preserve">. </w:t>
      </w:r>
      <w:r w:rsidR="0012240B" w:rsidRPr="0012240B">
        <w:t>Communicatie en informatievoorziening</w:t>
      </w:r>
      <w:bookmarkEnd w:id="102"/>
      <w:bookmarkEnd w:id="103"/>
      <w:bookmarkEnd w:id="104"/>
      <w:bookmarkEnd w:id="105"/>
      <w:bookmarkEnd w:id="106"/>
      <w:bookmarkEnd w:id="107"/>
      <w:bookmarkEnd w:id="108"/>
      <w:bookmarkEnd w:id="109"/>
      <w:bookmarkEnd w:id="110"/>
      <w:bookmarkEnd w:id="111"/>
    </w:p>
    <w:p w14:paraId="2A2B39A8" w14:textId="4D7F7BDF" w:rsidR="0012240B" w:rsidRPr="0012240B" w:rsidRDefault="0012240B" w:rsidP="0012240B">
      <w:pPr>
        <w:pStyle w:val="Lijstalinea"/>
        <w:numPr>
          <w:ilvl w:val="0"/>
          <w:numId w:val="32"/>
        </w:numPr>
      </w:pPr>
      <w:r w:rsidRPr="0012240B">
        <w:t xml:space="preserve">Gedurende de looptijd van de Overeenkomst vindt in beginsel éénmaal per </w:t>
      </w:r>
      <w:r w:rsidRPr="0012240B">
        <w:rPr>
          <w:color w:val="00B0F0"/>
        </w:rPr>
        <w:t xml:space="preserve">week/maand/kwartaal/jaar </w:t>
      </w:r>
      <w:r w:rsidRPr="0012240B">
        <w:t xml:space="preserve">een evaluatieoverleg plaats tussen beide Partijen, op het kantoor </w:t>
      </w:r>
      <w:r w:rsidRPr="0012240B">
        <w:rPr>
          <w:color w:val="00B0F0"/>
        </w:rPr>
        <w:t xml:space="preserve">*op het kantoor van de </w:t>
      </w:r>
      <w:r w:rsidR="00173E74">
        <w:rPr>
          <w:color w:val="00B0F0"/>
        </w:rPr>
        <w:t>Opdrachtgever</w:t>
      </w:r>
      <w:r w:rsidRPr="0012240B">
        <w:rPr>
          <w:color w:val="00B0F0"/>
        </w:rPr>
        <w:t>/digitaal/locatie in overleg/ op het kantoor van Contractant</w:t>
      </w:r>
      <w:r w:rsidRPr="0012240B">
        <w:t xml:space="preserve">. Tijdens de evaluatie komen minimaal aan de orde: </w:t>
      </w:r>
    </w:p>
    <w:p w14:paraId="574FBCB2" w14:textId="77777777" w:rsidR="0012240B" w:rsidRPr="0012240B" w:rsidRDefault="0012240B" w:rsidP="0012240B">
      <w:pPr>
        <w:pStyle w:val="Lijstalinea"/>
        <w:numPr>
          <w:ilvl w:val="1"/>
          <w:numId w:val="32"/>
        </w:numPr>
        <w:rPr>
          <w:lang w:val="en-US"/>
        </w:rPr>
      </w:pPr>
      <w:proofErr w:type="spellStart"/>
      <w:r w:rsidRPr="0012240B">
        <w:rPr>
          <w:lang w:val="en-US"/>
        </w:rPr>
        <w:t>tevredenheid</w:t>
      </w:r>
      <w:proofErr w:type="spellEnd"/>
      <w:r w:rsidRPr="0012240B">
        <w:rPr>
          <w:lang w:val="en-US"/>
        </w:rPr>
        <w:t xml:space="preserve"> </w:t>
      </w:r>
      <w:proofErr w:type="spellStart"/>
      <w:r w:rsidRPr="0012240B">
        <w:rPr>
          <w:lang w:val="en-US"/>
        </w:rPr>
        <w:t>beide</w:t>
      </w:r>
      <w:proofErr w:type="spellEnd"/>
      <w:r w:rsidRPr="0012240B">
        <w:rPr>
          <w:lang w:val="en-US"/>
        </w:rPr>
        <w:t xml:space="preserve"> </w:t>
      </w:r>
      <w:proofErr w:type="spellStart"/>
      <w:r w:rsidRPr="0012240B">
        <w:rPr>
          <w:lang w:val="en-US"/>
        </w:rPr>
        <w:t>Partijen</w:t>
      </w:r>
      <w:proofErr w:type="spellEnd"/>
      <w:r w:rsidRPr="0012240B">
        <w:rPr>
          <w:lang w:val="en-US"/>
        </w:rPr>
        <w:t xml:space="preserve">; </w:t>
      </w:r>
    </w:p>
    <w:p w14:paraId="2906CA43" w14:textId="77777777" w:rsidR="0012240B" w:rsidRPr="0012240B" w:rsidRDefault="0012240B" w:rsidP="0012240B">
      <w:pPr>
        <w:pStyle w:val="Lijstalinea"/>
        <w:numPr>
          <w:ilvl w:val="1"/>
          <w:numId w:val="32"/>
        </w:numPr>
      </w:pPr>
      <w:r w:rsidRPr="0012240B">
        <w:t>voortgang van de Prestatie(s)</w:t>
      </w:r>
    </w:p>
    <w:p w14:paraId="048A3EC4" w14:textId="77777777" w:rsidR="0012240B" w:rsidRPr="0012240B" w:rsidRDefault="0012240B" w:rsidP="0012240B">
      <w:pPr>
        <w:pStyle w:val="Lijstalinea"/>
        <w:numPr>
          <w:ilvl w:val="1"/>
          <w:numId w:val="32"/>
        </w:numPr>
      </w:pPr>
      <w:r w:rsidRPr="0012240B">
        <w:t>nakomen overeengekomen werkafspraken en indicators;</w:t>
      </w:r>
    </w:p>
    <w:p w14:paraId="46969130" w14:textId="77777777" w:rsidR="0012240B" w:rsidRPr="0012240B" w:rsidRDefault="0012240B" w:rsidP="0012240B">
      <w:pPr>
        <w:pStyle w:val="Lijstalinea"/>
        <w:numPr>
          <w:ilvl w:val="1"/>
          <w:numId w:val="32"/>
        </w:numPr>
        <w:rPr>
          <w:lang w:val="en-US"/>
        </w:rPr>
      </w:pPr>
      <w:proofErr w:type="spellStart"/>
      <w:r w:rsidRPr="0012240B">
        <w:rPr>
          <w:lang w:val="en-US"/>
        </w:rPr>
        <w:t>relatiemanagement</w:t>
      </w:r>
      <w:proofErr w:type="spellEnd"/>
      <w:r w:rsidRPr="0012240B">
        <w:rPr>
          <w:lang w:val="en-US"/>
        </w:rPr>
        <w:t>;</w:t>
      </w:r>
    </w:p>
    <w:p w14:paraId="194CA9D1" w14:textId="77777777" w:rsidR="0012240B" w:rsidRPr="0012240B" w:rsidRDefault="0012240B" w:rsidP="0012240B">
      <w:pPr>
        <w:pStyle w:val="Lijstalinea"/>
        <w:numPr>
          <w:ilvl w:val="1"/>
          <w:numId w:val="32"/>
        </w:numPr>
        <w:rPr>
          <w:lang w:val="en-US"/>
        </w:rPr>
      </w:pPr>
      <w:proofErr w:type="spellStart"/>
      <w:r w:rsidRPr="0012240B">
        <w:rPr>
          <w:lang w:val="en-US"/>
        </w:rPr>
        <w:t>signaleren</w:t>
      </w:r>
      <w:proofErr w:type="spellEnd"/>
      <w:r w:rsidRPr="0012240B">
        <w:rPr>
          <w:lang w:val="en-US"/>
        </w:rPr>
        <w:t xml:space="preserve"> en </w:t>
      </w:r>
      <w:proofErr w:type="spellStart"/>
      <w:r w:rsidRPr="0012240B">
        <w:rPr>
          <w:lang w:val="en-US"/>
        </w:rPr>
        <w:t>oplossen</w:t>
      </w:r>
      <w:proofErr w:type="spellEnd"/>
      <w:r w:rsidRPr="0012240B">
        <w:rPr>
          <w:lang w:val="en-US"/>
        </w:rPr>
        <w:t xml:space="preserve"> </w:t>
      </w:r>
      <w:proofErr w:type="spellStart"/>
      <w:r w:rsidRPr="0012240B">
        <w:rPr>
          <w:lang w:val="en-US"/>
        </w:rPr>
        <w:t>knelpunten</w:t>
      </w:r>
      <w:proofErr w:type="spellEnd"/>
      <w:r w:rsidRPr="0012240B">
        <w:rPr>
          <w:lang w:val="en-US"/>
        </w:rPr>
        <w:t xml:space="preserve">; </w:t>
      </w:r>
    </w:p>
    <w:p w14:paraId="2D1B866D" w14:textId="77777777" w:rsidR="0012240B" w:rsidRPr="0012240B" w:rsidRDefault="0012240B" w:rsidP="0012240B">
      <w:pPr>
        <w:pStyle w:val="Lijstalinea"/>
      </w:pPr>
      <w:r w:rsidRPr="0012240B">
        <w:t>Leverancier maakt een verslag van het gesprek en zendt dit binnen vijf (5) werkdagen aan de Opdrachtgever. Na eventuele opmerkingen op het verslag van Opdrachtgever wordt het verslag door beide Partijen goedgekeurd.</w:t>
      </w:r>
    </w:p>
    <w:p w14:paraId="7B38F371" w14:textId="4E2032A9" w:rsidR="0012240B" w:rsidRPr="0012240B" w:rsidRDefault="0012240B" w:rsidP="0012240B">
      <w:pPr>
        <w:pStyle w:val="Lijstalinea"/>
        <w:numPr>
          <w:ilvl w:val="0"/>
          <w:numId w:val="32"/>
        </w:numPr>
      </w:pPr>
      <w:r w:rsidRPr="0012240B">
        <w:t>Gedurende de looptijd van de Overeenkomst rapporteert Leverancier eens per kwartaal op de onderdelen zoals opgenomen in de documenten van artikel 2 lid 01.</w:t>
      </w:r>
    </w:p>
    <w:p w14:paraId="6C5DE976" w14:textId="77777777" w:rsidR="0012240B" w:rsidRPr="0012240B" w:rsidRDefault="0012240B" w:rsidP="0012240B">
      <w:pPr>
        <w:pStyle w:val="Lijstalinea"/>
        <w:numPr>
          <w:ilvl w:val="0"/>
          <w:numId w:val="32"/>
        </w:numPr>
      </w:pPr>
      <w:r w:rsidRPr="0012240B">
        <w:t xml:space="preserve">Leverancier is gehouden aan de verplichtingen zoals omschreven in de documenten van artikel 2 lid 01. Indien zij op onderdelen (tijdelijk) niet meer kan voldoen rapporteert zij dit direct aan de Opdrachtgever. De Opdrachtgever kan </w:t>
      </w:r>
      <w:r w:rsidRPr="0012240B">
        <w:lastRenderedPageBreak/>
        <w:t>beheersmaatregelen eisen of de Overeenkomst zonder schadevergoeding en gerechtelijke tussenkomst (op onderdelen) ontbinden.</w:t>
      </w:r>
    </w:p>
    <w:p w14:paraId="69D24F46" w14:textId="77777777" w:rsidR="0012240B" w:rsidRPr="0012240B" w:rsidRDefault="0012240B" w:rsidP="0012240B">
      <w:pPr>
        <w:pStyle w:val="Lijstalinea"/>
        <w:numPr>
          <w:ilvl w:val="0"/>
          <w:numId w:val="32"/>
        </w:numPr>
        <w:rPr>
          <w:lang w:val="en-US"/>
        </w:rPr>
      </w:pPr>
      <w:r w:rsidRPr="0012240B">
        <w:t xml:space="preserve">Indien gewenst door de Opdrachtgever of Leverancier zal een tussentijdse evaluatie plaatsvinden, op het kantoor van de Opdrachtgever. Tijdens deze evaluatie komen de bespreekpunten aan de orde die op dat moment voor een van beide Partijen actueel zijn. Leverancier maakt een verslag van het gesprek en zendt dit binnen vijf (5) werkdagen aan de Opdrachtgever. </w:t>
      </w:r>
      <w:r w:rsidRPr="0012240B">
        <w:rPr>
          <w:lang w:val="en-US"/>
        </w:rPr>
        <w:t xml:space="preserve">Het </w:t>
      </w:r>
      <w:proofErr w:type="spellStart"/>
      <w:r w:rsidRPr="0012240B">
        <w:rPr>
          <w:lang w:val="en-US"/>
        </w:rPr>
        <w:t>verslag</w:t>
      </w:r>
      <w:proofErr w:type="spellEnd"/>
      <w:r w:rsidRPr="0012240B">
        <w:rPr>
          <w:lang w:val="en-US"/>
        </w:rPr>
        <w:t xml:space="preserve"> </w:t>
      </w:r>
      <w:proofErr w:type="spellStart"/>
      <w:r w:rsidRPr="0012240B">
        <w:rPr>
          <w:lang w:val="en-US"/>
        </w:rPr>
        <w:t>wordt</w:t>
      </w:r>
      <w:proofErr w:type="spellEnd"/>
      <w:r w:rsidRPr="0012240B">
        <w:rPr>
          <w:lang w:val="en-US"/>
        </w:rPr>
        <w:t xml:space="preserve"> door </w:t>
      </w:r>
      <w:proofErr w:type="spellStart"/>
      <w:r w:rsidRPr="0012240B">
        <w:rPr>
          <w:lang w:val="en-US"/>
        </w:rPr>
        <w:t>beide</w:t>
      </w:r>
      <w:proofErr w:type="spellEnd"/>
      <w:r w:rsidRPr="0012240B">
        <w:rPr>
          <w:lang w:val="en-US"/>
        </w:rPr>
        <w:t xml:space="preserve"> </w:t>
      </w:r>
      <w:proofErr w:type="spellStart"/>
      <w:r w:rsidRPr="0012240B">
        <w:rPr>
          <w:lang w:val="en-US"/>
        </w:rPr>
        <w:t>Partijen</w:t>
      </w:r>
      <w:proofErr w:type="spellEnd"/>
      <w:r w:rsidRPr="0012240B">
        <w:rPr>
          <w:lang w:val="en-US"/>
        </w:rPr>
        <w:t xml:space="preserve"> </w:t>
      </w:r>
      <w:proofErr w:type="spellStart"/>
      <w:r w:rsidRPr="0012240B">
        <w:rPr>
          <w:lang w:val="en-US"/>
        </w:rPr>
        <w:t>goedgekeurd</w:t>
      </w:r>
      <w:proofErr w:type="spellEnd"/>
      <w:r w:rsidRPr="0012240B">
        <w:rPr>
          <w:lang w:val="en-US"/>
        </w:rPr>
        <w:t>.</w:t>
      </w:r>
    </w:p>
    <w:p w14:paraId="44381090" w14:textId="77777777" w:rsidR="0012240B" w:rsidRPr="0012240B" w:rsidRDefault="0012240B" w:rsidP="0012240B">
      <w:pPr>
        <w:pStyle w:val="Lijstalinea"/>
        <w:numPr>
          <w:ilvl w:val="0"/>
          <w:numId w:val="32"/>
        </w:numPr>
        <w:rPr>
          <w:lang w:val="en-US"/>
        </w:rPr>
      </w:pPr>
      <w:r w:rsidRPr="0012240B">
        <w:t xml:space="preserve">Na afronden van de Prestaties vindt een eindevaluatie plaats tussen beide Partijen, op het kantoor van de Opdrachtgever. Tijdens de eindevaluatie wordt de ICT Prestatie van Leverancier beoordeeld. De Opdrachtgever maakt een verslag van het gesprek en zendt dit binnen vijf (5) werkdagen aan Leverancier. </w:t>
      </w:r>
      <w:r w:rsidRPr="0012240B">
        <w:rPr>
          <w:lang w:val="en-US"/>
        </w:rPr>
        <w:t xml:space="preserve">Het </w:t>
      </w:r>
      <w:proofErr w:type="spellStart"/>
      <w:r w:rsidRPr="0012240B">
        <w:rPr>
          <w:lang w:val="en-US"/>
        </w:rPr>
        <w:t>verslag</w:t>
      </w:r>
      <w:proofErr w:type="spellEnd"/>
      <w:r w:rsidRPr="0012240B">
        <w:rPr>
          <w:lang w:val="en-US"/>
        </w:rPr>
        <w:t xml:space="preserve"> </w:t>
      </w:r>
      <w:proofErr w:type="spellStart"/>
      <w:r w:rsidRPr="0012240B">
        <w:rPr>
          <w:lang w:val="en-US"/>
        </w:rPr>
        <w:t>wordt</w:t>
      </w:r>
      <w:proofErr w:type="spellEnd"/>
      <w:r w:rsidRPr="0012240B">
        <w:rPr>
          <w:lang w:val="en-US"/>
        </w:rPr>
        <w:t xml:space="preserve"> door </w:t>
      </w:r>
      <w:proofErr w:type="spellStart"/>
      <w:r w:rsidRPr="0012240B">
        <w:rPr>
          <w:lang w:val="en-US"/>
        </w:rPr>
        <w:t>beide</w:t>
      </w:r>
      <w:proofErr w:type="spellEnd"/>
      <w:r w:rsidRPr="0012240B">
        <w:rPr>
          <w:lang w:val="en-US"/>
        </w:rPr>
        <w:t xml:space="preserve"> </w:t>
      </w:r>
      <w:proofErr w:type="spellStart"/>
      <w:r w:rsidRPr="0012240B">
        <w:rPr>
          <w:lang w:val="en-US"/>
        </w:rPr>
        <w:t>partijen</w:t>
      </w:r>
      <w:proofErr w:type="spellEnd"/>
      <w:r w:rsidRPr="0012240B">
        <w:rPr>
          <w:lang w:val="en-US"/>
        </w:rPr>
        <w:t xml:space="preserve"> </w:t>
      </w:r>
      <w:proofErr w:type="spellStart"/>
      <w:r w:rsidRPr="0012240B">
        <w:rPr>
          <w:lang w:val="en-US"/>
        </w:rPr>
        <w:t>goedgekeurd</w:t>
      </w:r>
      <w:proofErr w:type="spellEnd"/>
      <w:r w:rsidRPr="0012240B">
        <w:rPr>
          <w:lang w:val="en-US"/>
        </w:rPr>
        <w:t>.</w:t>
      </w:r>
    </w:p>
    <w:p w14:paraId="35E03FE0" w14:textId="77777777" w:rsidR="0012240B" w:rsidRPr="0012240B" w:rsidRDefault="0012240B" w:rsidP="0012240B">
      <w:pPr>
        <w:pStyle w:val="Lijstalinea"/>
        <w:numPr>
          <w:ilvl w:val="0"/>
          <w:numId w:val="32"/>
        </w:numPr>
      </w:pPr>
      <w:r w:rsidRPr="0012240B">
        <w:t>De afspraken gemaakt in (tussentijdse) evaluaties en eindevaluatie zijn bindend voor beide Partijen, tenzij een van hen aangeeft zich niet te willen binden. De afspraken moeten daarvoor zijn vastgelegd en overeengekomen in gespreksverslagen.</w:t>
      </w:r>
    </w:p>
    <w:p w14:paraId="76FF4CDD" w14:textId="77777777" w:rsidR="0012240B" w:rsidRDefault="0012240B" w:rsidP="0012240B">
      <w:pPr>
        <w:pStyle w:val="Lijstalinea"/>
        <w:numPr>
          <w:ilvl w:val="0"/>
          <w:numId w:val="32"/>
        </w:numPr>
      </w:pPr>
      <w:r w:rsidRPr="0012240B">
        <w:t>De kosten voor deze overleggen en verslaglegging maken onderdeel uit van de Offerte en kunnen daarom niet apart worden gefactureerd.</w:t>
      </w:r>
    </w:p>
    <w:p w14:paraId="7C9E189B" w14:textId="77777777" w:rsidR="00DA5AFF" w:rsidRPr="0012240B" w:rsidRDefault="00DA5AFF" w:rsidP="00DA5AFF">
      <w:pPr>
        <w:pStyle w:val="Lijstalinea"/>
        <w:ind w:left="360"/>
      </w:pPr>
    </w:p>
    <w:p w14:paraId="3B34A7FB" w14:textId="0AFAFD4C" w:rsidR="0012240B" w:rsidRPr="0012240B" w:rsidRDefault="00DA5AFF" w:rsidP="00DA5AFF">
      <w:pPr>
        <w:pStyle w:val="Kop2"/>
      </w:pPr>
      <w:bookmarkStart w:id="112" w:name="_Toc438551301"/>
      <w:bookmarkStart w:id="113" w:name="_Toc443472402"/>
      <w:bookmarkStart w:id="114" w:name="_Toc26255759"/>
      <w:bookmarkStart w:id="115" w:name="_Toc26255891"/>
      <w:bookmarkStart w:id="116" w:name="_Toc26261408"/>
      <w:bookmarkStart w:id="117" w:name="_Toc26261575"/>
      <w:bookmarkStart w:id="118" w:name="_Toc26261613"/>
      <w:bookmarkStart w:id="119" w:name="_Toc33773702"/>
      <w:bookmarkStart w:id="120" w:name="_Toc158298237"/>
      <w:bookmarkStart w:id="121" w:name="_Toc213076430"/>
      <w:r>
        <w:t>Artikel 1</w:t>
      </w:r>
      <w:r w:rsidR="00B10F35">
        <w:t>4</w:t>
      </w:r>
      <w:r>
        <w:t xml:space="preserve">. </w:t>
      </w:r>
      <w:r w:rsidR="0012240B" w:rsidRPr="0012240B">
        <w:t>Prijzen en tarieve</w:t>
      </w:r>
      <w:r w:rsidR="0012240B" w:rsidRPr="005773E9">
        <w:t>n</w:t>
      </w:r>
      <w:bookmarkEnd w:id="112"/>
      <w:bookmarkEnd w:id="113"/>
      <w:bookmarkEnd w:id="114"/>
      <w:bookmarkEnd w:id="115"/>
      <w:bookmarkEnd w:id="116"/>
      <w:bookmarkEnd w:id="117"/>
      <w:bookmarkEnd w:id="118"/>
      <w:bookmarkEnd w:id="119"/>
      <w:bookmarkEnd w:id="120"/>
      <w:bookmarkEnd w:id="121"/>
    </w:p>
    <w:p w14:paraId="6E3C1706" w14:textId="77777777" w:rsidR="0012240B" w:rsidRPr="0012240B" w:rsidRDefault="0012240B" w:rsidP="0012240B">
      <w:pPr>
        <w:pStyle w:val="Lijstalinea"/>
        <w:numPr>
          <w:ilvl w:val="0"/>
          <w:numId w:val="33"/>
        </w:numPr>
      </w:pPr>
      <w:r w:rsidRPr="0012240B">
        <w:t>De ICT Prestaties worden verrekend conform prijzen en/of de tarieven zoals deze zijn aangeboden in de Offerte van Leverancier. In aanvulling op artikel 11.1 GIBIT is de Vergoeding gespecificeerd in:</w:t>
      </w:r>
    </w:p>
    <w:p w14:paraId="124C261C" w14:textId="77777777" w:rsidR="0012240B" w:rsidRPr="0012240B" w:rsidRDefault="0012240B" w:rsidP="0012240B">
      <w:pPr>
        <w:pStyle w:val="Lijstalinea"/>
        <w:numPr>
          <w:ilvl w:val="1"/>
          <w:numId w:val="33"/>
        </w:numPr>
        <w:rPr>
          <w:lang w:val="en-US"/>
        </w:rPr>
      </w:pPr>
      <w:proofErr w:type="spellStart"/>
      <w:r w:rsidRPr="0012240B">
        <w:rPr>
          <w:lang w:val="en-US"/>
        </w:rPr>
        <w:t>Implementatie</w:t>
      </w:r>
      <w:proofErr w:type="spellEnd"/>
      <w:r w:rsidRPr="0012240B">
        <w:rPr>
          <w:lang w:val="en-US"/>
        </w:rPr>
        <w:t xml:space="preserve">- of </w:t>
      </w:r>
      <w:proofErr w:type="spellStart"/>
      <w:r w:rsidRPr="0012240B">
        <w:rPr>
          <w:lang w:val="en-US"/>
        </w:rPr>
        <w:t>ontwikkelingskosten</w:t>
      </w:r>
      <w:proofErr w:type="spellEnd"/>
      <w:r w:rsidRPr="0012240B">
        <w:rPr>
          <w:lang w:val="en-US"/>
        </w:rPr>
        <w:t>.</w:t>
      </w:r>
    </w:p>
    <w:p w14:paraId="0E5ECD6D" w14:textId="77777777" w:rsidR="0012240B" w:rsidRPr="0012240B" w:rsidRDefault="0012240B" w:rsidP="0012240B">
      <w:pPr>
        <w:pStyle w:val="Lijstalinea"/>
        <w:numPr>
          <w:ilvl w:val="1"/>
          <w:numId w:val="33"/>
        </w:numPr>
        <w:rPr>
          <w:lang w:val="en-US"/>
        </w:rPr>
      </w:pPr>
      <w:r w:rsidRPr="0012240B">
        <w:rPr>
          <w:lang w:val="en-US"/>
        </w:rPr>
        <w:t>Onderhoud.</w:t>
      </w:r>
    </w:p>
    <w:p w14:paraId="65FB8C7D" w14:textId="77777777" w:rsidR="0012240B" w:rsidRPr="0012240B" w:rsidRDefault="0012240B" w:rsidP="0012240B">
      <w:pPr>
        <w:pStyle w:val="Lijstalinea"/>
        <w:numPr>
          <w:ilvl w:val="1"/>
          <w:numId w:val="33"/>
        </w:numPr>
        <w:rPr>
          <w:lang w:val="en-US"/>
        </w:rPr>
      </w:pPr>
      <w:proofErr w:type="spellStart"/>
      <w:r w:rsidRPr="0012240B">
        <w:rPr>
          <w:lang w:val="en-US"/>
        </w:rPr>
        <w:t>Gebruiksrechten</w:t>
      </w:r>
      <w:proofErr w:type="spellEnd"/>
      <w:r w:rsidRPr="0012240B">
        <w:rPr>
          <w:lang w:val="en-US"/>
        </w:rPr>
        <w:t>.</w:t>
      </w:r>
    </w:p>
    <w:p w14:paraId="7E497298" w14:textId="77777777" w:rsidR="0012240B" w:rsidRPr="0026720A" w:rsidRDefault="0012240B" w:rsidP="0012240B">
      <w:pPr>
        <w:pStyle w:val="Lijstalinea"/>
        <w:numPr>
          <w:ilvl w:val="1"/>
          <w:numId w:val="33"/>
        </w:numPr>
        <w:rPr>
          <w:lang w:val="en-US"/>
        </w:rPr>
      </w:pPr>
      <w:r w:rsidRPr="0026720A">
        <w:rPr>
          <w:lang w:val="en-US"/>
        </w:rPr>
        <w:t xml:space="preserve"> </w:t>
      </w:r>
      <w:proofErr w:type="spellStart"/>
      <w:r w:rsidRPr="0026720A">
        <w:rPr>
          <w:lang w:val="en-US"/>
        </w:rPr>
        <w:t>Dienstverlening</w:t>
      </w:r>
      <w:proofErr w:type="spellEnd"/>
      <w:r w:rsidRPr="0026720A">
        <w:rPr>
          <w:lang w:val="en-US"/>
        </w:rPr>
        <w:t xml:space="preserve"> op </w:t>
      </w:r>
      <w:proofErr w:type="spellStart"/>
      <w:r w:rsidRPr="0026720A">
        <w:rPr>
          <w:lang w:val="en-US"/>
        </w:rPr>
        <w:t>Afstand</w:t>
      </w:r>
      <w:proofErr w:type="spellEnd"/>
      <w:r w:rsidRPr="0026720A">
        <w:rPr>
          <w:lang w:val="en-US"/>
        </w:rPr>
        <w:t>.</w:t>
      </w:r>
    </w:p>
    <w:p w14:paraId="62BE3398" w14:textId="77777777" w:rsidR="0012240B" w:rsidRPr="0012240B" w:rsidRDefault="0012240B" w:rsidP="0012240B">
      <w:pPr>
        <w:pStyle w:val="Lijstalinea"/>
        <w:numPr>
          <w:ilvl w:val="1"/>
          <w:numId w:val="33"/>
        </w:numPr>
        <w:rPr>
          <w:lang w:val="en-US"/>
        </w:rPr>
      </w:pPr>
      <w:r w:rsidRPr="0012240B">
        <w:rPr>
          <w:lang w:val="en-US"/>
        </w:rPr>
        <w:t xml:space="preserve">ICT </w:t>
      </w:r>
      <w:proofErr w:type="spellStart"/>
      <w:r w:rsidRPr="0012240B">
        <w:rPr>
          <w:lang w:val="en-US"/>
        </w:rPr>
        <w:t>Prestatie</w:t>
      </w:r>
      <w:proofErr w:type="spellEnd"/>
      <w:r w:rsidRPr="0012240B">
        <w:rPr>
          <w:lang w:val="en-US"/>
        </w:rPr>
        <w:t xml:space="preserve"> </w:t>
      </w:r>
      <w:proofErr w:type="spellStart"/>
      <w:r w:rsidRPr="0012240B">
        <w:rPr>
          <w:lang w:val="en-US"/>
        </w:rPr>
        <w:t>Maatwerk</w:t>
      </w:r>
      <w:proofErr w:type="spellEnd"/>
      <w:r w:rsidRPr="0012240B">
        <w:rPr>
          <w:lang w:val="en-US"/>
        </w:rPr>
        <w:t xml:space="preserve">. </w:t>
      </w:r>
    </w:p>
    <w:p w14:paraId="27912609" w14:textId="77777777" w:rsidR="0012240B" w:rsidRDefault="0012240B" w:rsidP="0012240B">
      <w:pPr>
        <w:pStyle w:val="Lijstalinea"/>
        <w:numPr>
          <w:ilvl w:val="0"/>
          <w:numId w:val="33"/>
        </w:numPr>
      </w:pPr>
      <w:r w:rsidRPr="0012240B">
        <w:t>Alle bedragen in de Overeenkomst zijn, in aanvulling op artikel 11.1 GIBIT uitgedrukt in Euro’s en exclusief omzetbelasting (btw), tenzij duidelijk anders is vermeld. Bedragen in Euro’s zijn weergegeven met twee decimalen achter de komma.</w:t>
      </w:r>
    </w:p>
    <w:p w14:paraId="68B6CC1D" w14:textId="77777777" w:rsidR="00DA5AFF" w:rsidRPr="0012240B" w:rsidRDefault="00DA5AFF" w:rsidP="00DA5AFF">
      <w:pPr>
        <w:pStyle w:val="Lijstalinea"/>
        <w:ind w:left="360"/>
      </w:pPr>
    </w:p>
    <w:p w14:paraId="066D017D" w14:textId="35F45394" w:rsidR="0012240B" w:rsidRPr="0012240B" w:rsidRDefault="00DA5AFF" w:rsidP="00DA5AFF">
      <w:pPr>
        <w:pStyle w:val="Kop2"/>
        <w:rPr>
          <w:lang w:val="x-none"/>
        </w:rPr>
      </w:pPr>
      <w:bookmarkStart w:id="122" w:name="_Toc33773703"/>
      <w:bookmarkStart w:id="123" w:name="_Toc158298238"/>
      <w:bookmarkStart w:id="124" w:name="_Toc213076431"/>
      <w:r>
        <w:lastRenderedPageBreak/>
        <w:t>Artikel 1</w:t>
      </w:r>
      <w:r w:rsidR="00B10F35">
        <w:t>5</w:t>
      </w:r>
      <w:r>
        <w:t xml:space="preserve">. </w:t>
      </w:r>
      <w:r w:rsidR="0012240B" w:rsidRPr="0012240B">
        <w:t>Verantwoording, facturering en betaling</w:t>
      </w:r>
      <w:bookmarkEnd w:id="122"/>
      <w:bookmarkEnd w:id="123"/>
      <w:bookmarkEnd w:id="124"/>
    </w:p>
    <w:p w14:paraId="69BDB229" w14:textId="77777777" w:rsidR="0012240B" w:rsidRPr="0012240B" w:rsidRDefault="0012240B" w:rsidP="0012240B">
      <w:pPr>
        <w:pStyle w:val="Lijstalinea"/>
        <w:numPr>
          <w:ilvl w:val="0"/>
          <w:numId w:val="34"/>
        </w:numPr>
      </w:pPr>
      <w:r w:rsidRPr="0012240B">
        <w:t>De omvang van een factuur wordt bepaald op basis van het gestelde in artikel 11.2 GIBIT en eventuele nadere afspraken.</w:t>
      </w:r>
    </w:p>
    <w:p w14:paraId="5A7F7DB9" w14:textId="77777777" w:rsidR="0012240B" w:rsidRPr="0012240B" w:rsidRDefault="0012240B" w:rsidP="0012240B">
      <w:pPr>
        <w:pStyle w:val="Lijstalinea"/>
        <w:numPr>
          <w:ilvl w:val="0"/>
          <w:numId w:val="34"/>
        </w:numPr>
      </w:pPr>
      <w:r w:rsidRPr="0012240B">
        <w:t>Naast de algemene gegevens, zoals vermeld in artikel 11.4 GIBIT, bevat een factuur ook</w:t>
      </w:r>
    </w:p>
    <w:p w14:paraId="68071059" w14:textId="77777777" w:rsidR="0012240B" w:rsidRPr="0012240B" w:rsidRDefault="0012240B" w:rsidP="0012240B">
      <w:pPr>
        <w:pStyle w:val="Lijstalinea"/>
        <w:numPr>
          <w:ilvl w:val="1"/>
          <w:numId w:val="35"/>
        </w:numPr>
      </w:pPr>
      <w:r w:rsidRPr="0012240B">
        <w:t xml:space="preserve">Alle verplichte elementen zoals genoemd in de EN 16931-1 (NLCIUS). </w:t>
      </w:r>
    </w:p>
    <w:p w14:paraId="720B26FB" w14:textId="77777777" w:rsidR="0012240B" w:rsidRPr="0012240B" w:rsidRDefault="0012240B" w:rsidP="0012240B">
      <w:pPr>
        <w:pStyle w:val="Lijstalinea"/>
        <w:numPr>
          <w:ilvl w:val="1"/>
          <w:numId w:val="35"/>
        </w:numPr>
      </w:pPr>
      <w:r w:rsidRPr="0012240B">
        <w:t>het totale factuurbedrag inclusief en exclusief btw</w:t>
      </w:r>
    </w:p>
    <w:p w14:paraId="30E366AB" w14:textId="77777777" w:rsidR="0012240B" w:rsidRPr="0012240B" w:rsidRDefault="0012240B" w:rsidP="0012240B">
      <w:pPr>
        <w:pStyle w:val="Lijstalinea"/>
        <w:numPr>
          <w:ilvl w:val="1"/>
          <w:numId w:val="35"/>
        </w:numPr>
      </w:pPr>
      <w:r w:rsidRPr="0012240B">
        <w:t>een specificatie van de verrichte ICT Prestatie(s);</w:t>
      </w:r>
    </w:p>
    <w:p w14:paraId="524C0EA5" w14:textId="77777777" w:rsidR="00F5333A" w:rsidRDefault="0012240B" w:rsidP="00F5333A">
      <w:pPr>
        <w:pStyle w:val="Lijstalinea"/>
        <w:numPr>
          <w:ilvl w:val="1"/>
          <w:numId w:val="35"/>
        </w:numPr>
        <w:rPr>
          <w:lang w:val="en-US"/>
        </w:rPr>
      </w:pPr>
      <w:proofErr w:type="spellStart"/>
      <w:r w:rsidRPr="00F5333A">
        <w:rPr>
          <w:lang w:val="en-US"/>
        </w:rPr>
        <w:t>Omschrijving</w:t>
      </w:r>
      <w:proofErr w:type="spellEnd"/>
      <w:r w:rsidRPr="00F5333A">
        <w:rPr>
          <w:lang w:val="en-US"/>
        </w:rPr>
        <w:t xml:space="preserve"> </w:t>
      </w:r>
      <w:proofErr w:type="spellStart"/>
      <w:r w:rsidRPr="00F5333A">
        <w:rPr>
          <w:lang w:val="en-US"/>
        </w:rPr>
        <w:t>opdracht</w:t>
      </w:r>
      <w:proofErr w:type="spellEnd"/>
      <w:r w:rsidRPr="00F5333A">
        <w:rPr>
          <w:lang w:val="en-US"/>
        </w:rPr>
        <w:t xml:space="preserve">: </w:t>
      </w:r>
      <w:r w:rsidR="000B7B49" w:rsidRPr="00F5333A">
        <w:rPr>
          <w:lang w:val="en-US"/>
        </w:rPr>
        <w:t xml:space="preserve">ICT </w:t>
      </w:r>
      <w:proofErr w:type="spellStart"/>
      <w:r w:rsidR="000B7B49" w:rsidRPr="00F5333A">
        <w:rPr>
          <w:lang w:val="en-US"/>
        </w:rPr>
        <w:t>Diensten</w:t>
      </w:r>
      <w:proofErr w:type="spellEnd"/>
    </w:p>
    <w:p w14:paraId="4D54EFC2" w14:textId="6D6EE4CA" w:rsidR="0012240B" w:rsidRPr="00F5333A" w:rsidRDefault="0012240B" w:rsidP="00F5333A">
      <w:pPr>
        <w:pStyle w:val="Lijstalinea"/>
        <w:numPr>
          <w:ilvl w:val="1"/>
          <w:numId w:val="35"/>
        </w:numPr>
        <w:rPr>
          <w:lang w:val="en-US"/>
        </w:rPr>
      </w:pPr>
      <w:proofErr w:type="spellStart"/>
      <w:r w:rsidRPr="00F5333A">
        <w:rPr>
          <w:lang w:val="en-US"/>
        </w:rPr>
        <w:t>Contractnummer</w:t>
      </w:r>
      <w:proofErr w:type="spellEnd"/>
      <w:r w:rsidRPr="00F5333A">
        <w:rPr>
          <w:lang w:val="en-US"/>
        </w:rPr>
        <w:t xml:space="preserve">: </w:t>
      </w:r>
      <w:r w:rsidRPr="00F5333A">
        <w:rPr>
          <w:color w:val="4BACC6" w:themeColor="accent5"/>
          <w:lang w:val="en-US"/>
        </w:rPr>
        <w:t>*</w:t>
      </w:r>
      <w:proofErr w:type="spellStart"/>
      <w:r w:rsidR="00F5333A" w:rsidRPr="00F5333A">
        <w:rPr>
          <w:color w:val="4BACC6" w:themeColor="accent5"/>
          <w:lang w:val="en-US"/>
        </w:rPr>
        <w:t>volgt</w:t>
      </w:r>
      <w:proofErr w:type="spellEnd"/>
    </w:p>
    <w:p w14:paraId="656E271D" w14:textId="35F512E4" w:rsidR="0012240B" w:rsidRPr="00F5333A" w:rsidRDefault="0012240B" w:rsidP="0012240B">
      <w:pPr>
        <w:pStyle w:val="Lijstalinea"/>
        <w:numPr>
          <w:ilvl w:val="0"/>
          <w:numId w:val="34"/>
        </w:numPr>
      </w:pPr>
      <w:r w:rsidRPr="00F5333A">
        <w:t xml:space="preserve">Indien Leverancier nog niet met e-facturatie werkt, is het mogelijk om de facturen in te dienen via </w:t>
      </w:r>
      <w:hyperlink r:id="rId11" w:history="1">
        <w:r w:rsidR="00DA5AFF" w:rsidRPr="00F5333A">
          <w:rPr>
            <w:rStyle w:val="Hyperlink"/>
            <w:color w:val="auto"/>
          </w:rPr>
          <w:t>fa@werksaamwf.nl</w:t>
        </w:r>
      </w:hyperlink>
      <w:r w:rsidRPr="00F5333A">
        <w:t xml:space="preserve"> . </w:t>
      </w:r>
    </w:p>
    <w:p w14:paraId="4DDF78CC" w14:textId="77777777" w:rsidR="0012240B" w:rsidRPr="0012240B" w:rsidRDefault="0012240B" w:rsidP="0012240B">
      <w:pPr>
        <w:pStyle w:val="Lijstalinea"/>
        <w:numPr>
          <w:ilvl w:val="0"/>
          <w:numId w:val="34"/>
        </w:numPr>
      </w:pPr>
      <w:r w:rsidRPr="0012240B">
        <w:t>De Opdrachtgever heeft het recht het bedrag van de factuur te verminderen met bedragen voor boetes die Leverancier verschuldigd is aan de Opdrachtgever, ongeacht of de vordering tot betaling daarvan op een derde is overgegaan.</w:t>
      </w:r>
    </w:p>
    <w:p w14:paraId="1570213C" w14:textId="77777777" w:rsidR="0012240B" w:rsidRPr="00B10F35" w:rsidRDefault="0012240B" w:rsidP="0012240B">
      <w:pPr>
        <w:pStyle w:val="Lijstalinea"/>
        <w:numPr>
          <w:ilvl w:val="0"/>
          <w:numId w:val="34"/>
        </w:numPr>
        <w:rPr>
          <w:color w:val="4BACC6" w:themeColor="accent5"/>
        </w:rPr>
      </w:pPr>
      <w:r w:rsidRPr="00B10F35">
        <w:rPr>
          <w:color w:val="4BACC6" w:themeColor="accent5"/>
        </w:rPr>
        <w:t>Indien de ICT Prestatie als gevolg van een toerekenbare tekortkoming van Leverancier niet voldoet aan de Service Levels, wordt aan de Leverancier een boete opgelegd op de Vergoeding overeenkomstig de in de SLA opgenomen boetes.</w:t>
      </w:r>
    </w:p>
    <w:p w14:paraId="09B7B8B1" w14:textId="77777777" w:rsidR="0012240B" w:rsidRDefault="0012240B" w:rsidP="0012240B">
      <w:pPr>
        <w:pStyle w:val="Lijstalinea"/>
        <w:numPr>
          <w:ilvl w:val="0"/>
          <w:numId w:val="34"/>
        </w:numPr>
      </w:pPr>
      <w:r w:rsidRPr="0012240B">
        <w:t>Betaling door de Opdrachtgever houdt op geen enkele wijze afstand van recht of van vorderingen in en ontslaat Leverancier op geen enkele wijze van enige garantie en/of aansprakelijkheid.</w:t>
      </w:r>
    </w:p>
    <w:p w14:paraId="50BB2471" w14:textId="77777777" w:rsidR="00173E74" w:rsidRPr="0012240B" w:rsidRDefault="00173E74" w:rsidP="00173E74">
      <w:pPr>
        <w:pStyle w:val="Lijstalinea"/>
        <w:ind w:left="360"/>
      </w:pPr>
    </w:p>
    <w:p w14:paraId="36FADE9C" w14:textId="77777777" w:rsidR="0012240B" w:rsidRPr="0012240B" w:rsidRDefault="0012240B" w:rsidP="00173E74">
      <w:pPr>
        <w:pStyle w:val="Kop1"/>
      </w:pPr>
      <w:bookmarkStart w:id="125" w:name="_Toc443472407"/>
      <w:bookmarkStart w:id="126" w:name="_Toc26255763"/>
      <w:bookmarkStart w:id="127" w:name="_Toc26255895"/>
      <w:bookmarkStart w:id="128" w:name="_Toc26261412"/>
      <w:bookmarkStart w:id="129" w:name="_Toc26261579"/>
      <w:bookmarkStart w:id="130" w:name="_Toc26261617"/>
      <w:bookmarkStart w:id="131" w:name="_Toc26261636"/>
      <w:bookmarkStart w:id="132" w:name="_Toc33773705"/>
      <w:bookmarkStart w:id="133" w:name="_Toc158298240"/>
      <w:bookmarkStart w:id="134" w:name="_Toc213076432"/>
      <w:r w:rsidRPr="0012240B">
        <w:t>Juridische aspecte</w:t>
      </w:r>
      <w:bookmarkEnd w:id="125"/>
      <w:r w:rsidRPr="0012240B">
        <w:t>n</w:t>
      </w:r>
      <w:bookmarkEnd w:id="126"/>
      <w:bookmarkEnd w:id="127"/>
      <w:bookmarkEnd w:id="128"/>
      <w:bookmarkEnd w:id="129"/>
      <w:bookmarkEnd w:id="130"/>
      <w:bookmarkEnd w:id="131"/>
      <w:bookmarkEnd w:id="132"/>
      <w:bookmarkEnd w:id="133"/>
      <w:bookmarkEnd w:id="134"/>
    </w:p>
    <w:p w14:paraId="513AD785" w14:textId="52C4DBD8" w:rsidR="0012240B" w:rsidRPr="0012240B" w:rsidRDefault="00173E74" w:rsidP="00173E74">
      <w:pPr>
        <w:pStyle w:val="Kop2"/>
      </w:pPr>
      <w:bookmarkStart w:id="135" w:name="_Toc443472411"/>
      <w:bookmarkStart w:id="136" w:name="_Toc26255765"/>
      <w:bookmarkStart w:id="137" w:name="_Toc26255897"/>
      <w:bookmarkStart w:id="138" w:name="_Toc26261414"/>
      <w:bookmarkStart w:id="139" w:name="_Toc26261581"/>
      <w:bookmarkStart w:id="140" w:name="_Toc26261619"/>
      <w:bookmarkStart w:id="141" w:name="_Toc33773707"/>
      <w:bookmarkStart w:id="142" w:name="_Toc158298241"/>
      <w:bookmarkStart w:id="143" w:name="_Toc213076433"/>
      <w:r>
        <w:t xml:space="preserve">Artikel </w:t>
      </w:r>
      <w:r w:rsidR="00B10F35">
        <w:t>16</w:t>
      </w:r>
      <w:r>
        <w:t xml:space="preserve">. </w:t>
      </w:r>
      <w:r w:rsidR="0012240B" w:rsidRPr="0012240B">
        <w:t>Boetebeding en bonus</w:t>
      </w:r>
      <w:bookmarkEnd w:id="135"/>
      <w:bookmarkEnd w:id="136"/>
      <w:bookmarkEnd w:id="137"/>
      <w:bookmarkEnd w:id="138"/>
      <w:bookmarkEnd w:id="139"/>
      <w:bookmarkEnd w:id="140"/>
      <w:bookmarkEnd w:id="141"/>
      <w:bookmarkEnd w:id="142"/>
      <w:bookmarkEnd w:id="143"/>
    </w:p>
    <w:p w14:paraId="596AE2C8" w14:textId="77777777" w:rsidR="0012240B" w:rsidRPr="0012240B" w:rsidRDefault="0012240B" w:rsidP="0012240B">
      <w:pPr>
        <w:pStyle w:val="Lijstalinea"/>
        <w:numPr>
          <w:ilvl w:val="0"/>
          <w:numId w:val="38"/>
        </w:numPr>
      </w:pPr>
      <w:r w:rsidRPr="0012240B">
        <w:t>Als de Opdrachtgever op grond van de Wet ketenaansprakelijkheid aansprakelijk wordt gesteld, is Leverancier, vanwege het niet of niet volledig afdragen van de benodigde belastingen en sociale lasten, een boete van € 5.000 verschuldigd.</w:t>
      </w:r>
    </w:p>
    <w:p w14:paraId="098D65B7" w14:textId="77777777" w:rsidR="00173E74" w:rsidRPr="0012240B" w:rsidRDefault="00173E74" w:rsidP="00173E74">
      <w:pPr>
        <w:pStyle w:val="Lijstalinea"/>
        <w:ind w:left="360"/>
      </w:pPr>
    </w:p>
    <w:p w14:paraId="0FED5DD4" w14:textId="6AD253D0" w:rsidR="0012240B" w:rsidRPr="0012240B" w:rsidRDefault="00173E74" w:rsidP="00173E74">
      <w:pPr>
        <w:pStyle w:val="Kop2"/>
      </w:pPr>
      <w:bookmarkStart w:id="144" w:name="_Toc443472412"/>
      <w:bookmarkStart w:id="145" w:name="_Toc26255766"/>
      <w:bookmarkStart w:id="146" w:name="_Toc26255898"/>
      <w:bookmarkStart w:id="147" w:name="_Toc26261415"/>
      <w:bookmarkStart w:id="148" w:name="_Toc26261582"/>
      <w:bookmarkStart w:id="149" w:name="_Toc26261620"/>
      <w:bookmarkStart w:id="150" w:name="_Toc33773708"/>
      <w:bookmarkStart w:id="151" w:name="_Toc158298242"/>
      <w:bookmarkStart w:id="152" w:name="_Toc213076434"/>
      <w:r>
        <w:t xml:space="preserve">Artikel </w:t>
      </w:r>
      <w:r w:rsidR="00B10F35">
        <w:t>17</w:t>
      </w:r>
      <w:r>
        <w:t xml:space="preserve">. </w:t>
      </w:r>
      <w:r w:rsidR="0012240B" w:rsidRPr="0012240B">
        <w:t>Nietige bepalingen</w:t>
      </w:r>
      <w:bookmarkEnd w:id="144"/>
      <w:bookmarkEnd w:id="145"/>
      <w:bookmarkEnd w:id="146"/>
      <w:bookmarkEnd w:id="147"/>
      <w:bookmarkEnd w:id="148"/>
      <w:bookmarkEnd w:id="149"/>
      <w:bookmarkEnd w:id="150"/>
      <w:bookmarkEnd w:id="151"/>
      <w:bookmarkEnd w:id="152"/>
    </w:p>
    <w:p w14:paraId="20355A5F" w14:textId="77777777" w:rsidR="0012240B" w:rsidRPr="0012240B" w:rsidRDefault="0012240B" w:rsidP="0012240B">
      <w:pPr>
        <w:pStyle w:val="Lijstalinea"/>
        <w:numPr>
          <w:ilvl w:val="0"/>
          <w:numId w:val="39"/>
        </w:numPr>
      </w:pPr>
      <w:r w:rsidRPr="0012240B">
        <w:t xml:space="preserve">Indien enige bepaling van de Overeenkomst, in aanvulling op artikel 2.4 GIBIT, nietig is of vernietigd wordt, zullen de overige bepalingen van de Overeenkomst onverminderd van kracht blijven. Partijen zullen in dat geval in overleg treden met het doel nieuwe bepalingen ter vervanging van de nietige of vernietigde bepalingen </w:t>
      </w:r>
      <w:r w:rsidRPr="0012240B">
        <w:lastRenderedPageBreak/>
        <w:t>overeen te komen, waarbij zoveel mogelijk het doel en de strekking van de nietige dan wel vernietigde bepalingen in acht wordt genomen.</w:t>
      </w:r>
    </w:p>
    <w:p w14:paraId="39D8A583" w14:textId="77777777" w:rsidR="0012240B" w:rsidRPr="0012240B" w:rsidRDefault="0012240B" w:rsidP="0012240B">
      <w:pPr>
        <w:pStyle w:val="Lijstalinea"/>
      </w:pPr>
    </w:p>
    <w:p w14:paraId="47525281" w14:textId="1ABA49B2" w:rsidR="0012240B" w:rsidRPr="0012240B" w:rsidRDefault="00173E74" w:rsidP="00173E74">
      <w:pPr>
        <w:pStyle w:val="Kop2"/>
      </w:pPr>
      <w:bookmarkStart w:id="153" w:name="_Toc213076435"/>
      <w:r w:rsidRPr="00173E74">
        <w:t xml:space="preserve">Artikel </w:t>
      </w:r>
      <w:r w:rsidR="00B10F35">
        <w:t>18</w:t>
      </w:r>
      <w:r w:rsidRPr="00173E74">
        <w:t xml:space="preserve">. </w:t>
      </w:r>
      <w:r w:rsidR="0012240B" w:rsidRPr="00173E74">
        <w:t>Toepasselijk recht, geschillen en rechtbank</w:t>
      </w:r>
      <w:bookmarkEnd w:id="153"/>
    </w:p>
    <w:p w14:paraId="3C33F661" w14:textId="77777777" w:rsidR="0012240B" w:rsidRPr="0012240B" w:rsidRDefault="0012240B" w:rsidP="0012240B">
      <w:pPr>
        <w:pStyle w:val="Lijstalinea"/>
        <w:numPr>
          <w:ilvl w:val="0"/>
          <w:numId w:val="40"/>
        </w:numPr>
      </w:pPr>
      <w:r w:rsidRPr="0012240B">
        <w:t xml:space="preserve">Verschillen van mening tussen Partijen worden, in aanvulling op artikel 27.3 GIBIT, zoveel mogelijk langs minnelijke weg opgelost, waarbij kosten voor </w:t>
      </w:r>
      <w:proofErr w:type="spellStart"/>
      <w:r w:rsidRPr="0012240B">
        <w:t>mediation</w:t>
      </w:r>
      <w:proofErr w:type="spellEnd"/>
      <w:r w:rsidRPr="0012240B">
        <w:t xml:space="preserve"> in gelijke delen worden gedragen. Indien een verschil van mening niet langs minnelijke weg is opgelost, wordt geacht een geschil te bestaan.</w:t>
      </w:r>
    </w:p>
    <w:p w14:paraId="307FC713" w14:textId="77777777" w:rsidR="0012240B" w:rsidRPr="0012240B" w:rsidRDefault="0012240B" w:rsidP="0012240B">
      <w:pPr>
        <w:pStyle w:val="Lijstalinea"/>
        <w:numPr>
          <w:ilvl w:val="0"/>
          <w:numId w:val="40"/>
        </w:numPr>
      </w:pPr>
      <w:r w:rsidRPr="0012240B">
        <w:t xml:space="preserve">Ieder geschil tussen Partijen dat voortvloeit uit of verband houdt met deze Overeenkomst wordt voorgelegd aan de bevoegde rechter van de Rechtbank Noord-Holland. </w:t>
      </w:r>
    </w:p>
    <w:p w14:paraId="3104E398" w14:textId="77777777" w:rsidR="0012240B" w:rsidRPr="0012240B" w:rsidRDefault="0012240B" w:rsidP="0012240B">
      <w:pPr>
        <w:pStyle w:val="Lijstalinea"/>
        <w:numPr>
          <w:ilvl w:val="0"/>
          <w:numId w:val="40"/>
        </w:numPr>
      </w:pPr>
      <w:r w:rsidRPr="0012240B">
        <w:t>Op deze overeenkomst en al hetgeen daarmee verband houdt, is Nederlands recht van toepassing.</w:t>
      </w:r>
    </w:p>
    <w:p w14:paraId="239C00D5" w14:textId="77777777" w:rsidR="0012240B" w:rsidRPr="0012240B" w:rsidRDefault="0012240B" w:rsidP="0012240B">
      <w:pPr>
        <w:pStyle w:val="Lijstalinea"/>
      </w:pPr>
    </w:p>
    <w:p w14:paraId="32D8B137" w14:textId="77777777" w:rsidR="0012240B" w:rsidRPr="0012240B" w:rsidRDefault="0012240B" w:rsidP="0012240B">
      <w:pPr>
        <w:pStyle w:val="Lijstalinea"/>
        <w:rPr>
          <w:b/>
          <w:bCs/>
          <w:color w:val="00588A"/>
          <w:lang w:val="x-none"/>
        </w:rPr>
      </w:pPr>
      <w:bookmarkStart w:id="154" w:name="_Arbeidsvoorwaarden_Personeel_van"/>
      <w:bookmarkStart w:id="155" w:name="_Boetebeding_en_bonus"/>
      <w:bookmarkStart w:id="156" w:name="_Toc158298243"/>
      <w:bookmarkStart w:id="157" w:name="_Toc26261637"/>
      <w:bookmarkStart w:id="158" w:name="_Toc26261417"/>
      <w:bookmarkStart w:id="159" w:name="_Toc26255900"/>
      <w:bookmarkStart w:id="160" w:name="_Toc26255768"/>
      <w:bookmarkStart w:id="161" w:name="_Toc443472413"/>
      <w:bookmarkEnd w:id="42"/>
      <w:bookmarkEnd w:id="154"/>
      <w:bookmarkEnd w:id="155"/>
      <w:r w:rsidRPr="0012240B">
        <w:rPr>
          <w:b/>
          <w:bCs/>
          <w:color w:val="00588A"/>
          <w:lang w:val="x-none"/>
        </w:rPr>
        <w:t>Ondertekening</w:t>
      </w:r>
      <w:bookmarkEnd w:id="156"/>
      <w:bookmarkEnd w:id="157"/>
      <w:bookmarkEnd w:id="158"/>
      <w:bookmarkEnd w:id="159"/>
      <w:bookmarkEnd w:id="160"/>
      <w:bookmarkEnd w:id="161"/>
      <w:r w:rsidRPr="0012240B">
        <w:rPr>
          <w:b/>
          <w:bCs/>
          <w:color w:val="00588A"/>
          <w:lang w:val="x-none"/>
        </w:rPr>
        <w:t xml:space="preserve"> </w:t>
      </w:r>
    </w:p>
    <w:p w14:paraId="3E13498C" w14:textId="77777777" w:rsidR="0012240B" w:rsidRPr="0012240B" w:rsidRDefault="0012240B" w:rsidP="0012240B">
      <w:pPr>
        <w:pStyle w:val="Lijstalinea"/>
      </w:pPr>
    </w:p>
    <w:p w14:paraId="04F94D0A" w14:textId="2900313D" w:rsidR="0012240B" w:rsidRPr="0012240B" w:rsidRDefault="0012240B" w:rsidP="0012240B">
      <w:pPr>
        <w:pStyle w:val="Lijstalinea"/>
      </w:pPr>
      <w:r w:rsidRPr="0012240B">
        <w:t xml:space="preserve">Voor akkoord Opdrachtgever </w:t>
      </w:r>
      <w:r w:rsidRPr="0012240B">
        <w:tab/>
      </w:r>
      <w:r w:rsidRPr="0012240B">
        <w:tab/>
      </w:r>
      <w:r w:rsidRPr="0012240B">
        <w:tab/>
        <w:t>Voor akkoord Leverancier</w:t>
      </w:r>
    </w:p>
    <w:p w14:paraId="6B0D2F8E" w14:textId="77777777" w:rsidR="0012240B" w:rsidRPr="0012240B" w:rsidRDefault="0012240B" w:rsidP="0012240B">
      <w:pPr>
        <w:pStyle w:val="Lijstalinea"/>
      </w:pPr>
    </w:p>
    <w:p w14:paraId="73E639E4" w14:textId="77777777" w:rsidR="0012240B" w:rsidRPr="0012240B" w:rsidRDefault="0012240B" w:rsidP="0012240B">
      <w:pPr>
        <w:pStyle w:val="Lijstalinea"/>
      </w:pPr>
    </w:p>
    <w:p w14:paraId="6247E1D4" w14:textId="48C51152" w:rsidR="0012240B" w:rsidRPr="0012240B" w:rsidRDefault="0012240B" w:rsidP="0012240B">
      <w:pPr>
        <w:pStyle w:val="Lijstalinea"/>
      </w:pPr>
      <w:r w:rsidRPr="0012240B">
        <w:t>Datum</w:t>
      </w:r>
      <w:r w:rsidRPr="0012240B">
        <w:tab/>
        <w:t>: _________________________Datum: __________________________</w:t>
      </w:r>
    </w:p>
    <w:p w14:paraId="7AAF618C" w14:textId="77777777" w:rsidR="0012240B" w:rsidRPr="0012240B" w:rsidRDefault="0012240B" w:rsidP="0012240B">
      <w:pPr>
        <w:pStyle w:val="Lijstalinea"/>
      </w:pPr>
    </w:p>
    <w:p w14:paraId="353E2867" w14:textId="77777777" w:rsidR="0012240B" w:rsidRPr="0012240B" w:rsidRDefault="0012240B" w:rsidP="0012240B">
      <w:pPr>
        <w:pStyle w:val="Lijstalinea"/>
      </w:pPr>
    </w:p>
    <w:p w14:paraId="2CA0CAAA" w14:textId="77777777" w:rsidR="0012240B" w:rsidRPr="0012240B" w:rsidRDefault="0012240B" w:rsidP="0012240B">
      <w:pPr>
        <w:pStyle w:val="Lijstalinea"/>
      </w:pPr>
    </w:p>
    <w:p w14:paraId="2F8BAE08" w14:textId="77777777" w:rsidR="0012240B" w:rsidRPr="0012240B" w:rsidRDefault="0012240B" w:rsidP="0012240B">
      <w:pPr>
        <w:pStyle w:val="Lijstalinea"/>
      </w:pPr>
    </w:p>
    <w:p w14:paraId="718E42DC" w14:textId="5AE414F9" w:rsidR="004446D3" w:rsidRPr="00240021" w:rsidRDefault="0012240B" w:rsidP="009F6BA1">
      <w:pPr>
        <w:pStyle w:val="Lijstalinea"/>
      </w:pPr>
      <w:r w:rsidRPr="0012240B">
        <w:t>Handtekening</w:t>
      </w:r>
      <w:r w:rsidRPr="0012240B">
        <w:tab/>
        <w:t>:____________________</w:t>
      </w:r>
      <w:r w:rsidR="00173E74" w:rsidRPr="00173E74">
        <w:t xml:space="preserve"> </w:t>
      </w:r>
      <w:r w:rsidR="00173E74" w:rsidRPr="0012240B">
        <w:t>Handtekening:____________________</w:t>
      </w:r>
    </w:p>
    <w:sectPr w:rsidR="004446D3" w:rsidRPr="00240021" w:rsidSect="003947D5">
      <w:headerReference w:type="default" r:id="rId12"/>
      <w:footerReference w:type="even" r:id="rId13"/>
      <w:footerReference w:type="default" r:id="rId14"/>
      <w:headerReference w:type="first" r:id="rId15"/>
      <w:footerReference w:type="first" r:id="rId16"/>
      <w:pgSz w:w="11900" w:h="16840"/>
      <w:pgMar w:top="1985" w:right="1552" w:bottom="2127" w:left="1418" w:header="340" w:footer="45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9F00" w14:textId="77777777" w:rsidR="005269A7" w:rsidRDefault="005269A7" w:rsidP="007C0EF6">
      <w:r>
        <w:separator/>
      </w:r>
    </w:p>
  </w:endnote>
  <w:endnote w:type="continuationSeparator" w:id="0">
    <w:p w14:paraId="289E905D" w14:textId="77777777" w:rsidR="005269A7" w:rsidRDefault="005269A7" w:rsidP="007C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199085"/>
      <w:docPartObj>
        <w:docPartGallery w:val="Page Numbers (Bottom of Page)"/>
        <w:docPartUnique/>
      </w:docPartObj>
    </w:sdtPr>
    <w:sdtEndPr/>
    <w:sdtContent>
      <w:p w14:paraId="14F88E7D" w14:textId="4A369619" w:rsidR="0012240B" w:rsidRDefault="0012240B">
        <w:pPr>
          <w:pStyle w:val="Voettekst"/>
          <w:jc w:val="right"/>
        </w:pPr>
        <w:r>
          <w:fldChar w:fldCharType="begin"/>
        </w:r>
        <w:r>
          <w:instrText>PAGE   \* MERGEFORMAT</w:instrText>
        </w:r>
        <w:r>
          <w:fldChar w:fldCharType="separate"/>
        </w:r>
        <w:r>
          <w:t>2</w:t>
        </w:r>
        <w:r>
          <w:fldChar w:fldCharType="end"/>
        </w:r>
      </w:p>
    </w:sdtContent>
  </w:sdt>
  <w:p w14:paraId="46D62185" w14:textId="3F0176FF" w:rsidR="00FB4B31" w:rsidRDefault="0012240B" w:rsidP="00FB4B31">
    <w:pPr>
      <w:pStyle w:val="Voettekst"/>
      <w:ind w:right="360"/>
    </w:pPr>
    <w:r>
      <w:t xml:space="preserve">ICT Overeenkomt </w:t>
    </w:r>
    <w:r w:rsidR="005773E9">
      <w:t>ICT Diensten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5D11" w14:textId="77777777" w:rsidR="00FB4B31" w:rsidRPr="003F3B22" w:rsidRDefault="007C0EF6" w:rsidP="003F3B22">
    <w:pPr>
      <w:pStyle w:val="Voettekst"/>
      <w:framePr w:wrap="around" w:vAnchor="text" w:hAnchor="page" w:x="11139" w:y="244"/>
      <w:rPr>
        <w:rStyle w:val="Paginanummer"/>
      </w:rPr>
    </w:pPr>
    <w:r w:rsidRPr="003F3B22">
      <w:rPr>
        <w:rStyle w:val="Paginanummer"/>
        <w:color w:val="FFFFFF" w:themeColor="background1"/>
        <w:sz w:val="16"/>
      </w:rPr>
      <w:fldChar w:fldCharType="begin"/>
    </w:r>
    <w:r w:rsidR="00FB4B31" w:rsidRPr="003F3B22">
      <w:rPr>
        <w:rStyle w:val="Paginanummer"/>
        <w:color w:val="FFFFFF" w:themeColor="background1"/>
        <w:sz w:val="16"/>
      </w:rPr>
      <w:instrText xml:space="preserve">PAGE  </w:instrText>
    </w:r>
    <w:r w:rsidRPr="003F3B22">
      <w:rPr>
        <w:rStyle w:val="Paginanummer"/>
        <w:color w:val="FFFFFF" w:themeColor="background1"/>
        <w:sz w:val="16"/>
      </w:rPr>
      <w:fldChar w:fldCharType="separate"/>
    </w:r>
    <w:r w:rsidR="004446D3">
      <w:rPr>
        <w:rStyle w:val="Paginanummer"/>
        <w:noProof/>
        <w:color w:val="FFFFFF" w:themeColor="background1"/>
        <w:sz w:val="16"/>
      </w:rPr>
      <w:t>2</w:t>
    </w:r>
    <w:r w:rsidRPr="003F3B22">
      <w:rPr>
        <w:rStyle w:val="Paginanummer"/>
        <w:color w:val="FFFFFF" w:themeColor="background1"/>
        <w:sz w:val="16"/>
      </w:rPr>
      <w:fldChar w:fldCharType="end"/>
    </w:r>
  </w:p>
  <w:p w14:paraId="1BF31DC9" w14:textId="77777777" w:rsidR="00FB4B31" w:rsidRDefault="005729E8" w:rsidP="005729E8">
    <w:pPr>
      <w:pStyle w:val="Voettekst"/>
      <w:tabs>
        <w:tab w:val="clear" w:pos="4536"/>
        <w:tab w:val="clear" w:pos="9072"/>
        <w:tab w:val="left" w:pos="4640"/>
        <w:tab w:val="right" w:pos="8570"/>
      </w:tabs>
      <w:ind w:right="360"/>
    </w:pPr>
    <w:r>
      <w:rPr>
        <w:noProof/>
        <w:lang w:eastAsia="nl-NL"/>
      </w:rPr>
      <w:drawing>
        <wp:anchor distT="0" distB="0" distL="114300" distR="114300" simplePos="0" relativeHeight="251658241" behindDoc="1" locked="0" layoutInCell="1" allowOverlap="1" wp14:anchorId="3C6E604B" wp14:editId="7170F25D">
          <wp:simplePos x="0" y="0"/>
          <wp:positionH relativeFrom="column">
            <wp:posOffset>4890770</wp:posOffset>
          </wp:positionH>
          <wp:positionV relativeFrom="paragraph">
            <wp:posOffset>-1019810</wp:posOffset>
          </wp:positionV>
          <wp:extent cx="2195830" cy="1752600"/>
          <wp:effectExtent l="0" t="0" r="0" b="0"/>
          <wp:wrapTight wrapText="bothSides">
            <wp:wrapPolygon edited="1">
              <wp:start x="5060" y="0"/>
              <wp:lineTo x="4966" y="14087"/>
              <wp:lineTo x="0" y="20896"/>
              <wp:lineTo x="0" y="21365"/>
              <wp:lineTo x="21363" y="21365"/>
              <wp:lineTo x="21363" y="4930"/>
              <wp:lineTo x="19864" y="3757"/>
              <wp:lineTo x="18833" y="3169"/>
              <wp:lineTo x="14429" y="0"/>
              <wp:lineTo x="11525" y="4813"/>
              <wp:lineTo x="5060" y="0"/>
            </wp:wrapPolygon>
          </wp:wrapTight>
          <wp:docPr id="1264357773" name="Afbeelding 1264357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1752600"/>
                  </a:xfrm>
                  <a:prstGeom prst="rect">
                    <a:avLst/>
                  </a:prstGeom>
                  <a:noFill/>
                  <a:ln>
                    <a:noFill/>
                  </a:ln>
                </pic:spPr>
              </pic:pic>
            </a:graphicData>
          </a:graphic>
        </wp:anchor>
      </w:drawing>
    </w:r>
    <w:r w:rsidR="00FB4B31">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CE19" w14:textId="77777777" w:rsidR="001A1731" w:rsidRPr="00372FE7" w:rsidRDefault="00B54CEC" w:rsidP="001A1731">
    <w:pPr>
      <w:pStyle w:val="Basisalinea"/>
      <w:jc w:val="right"/>
      <w:rPr>
        <w:rFonts w:ascii="Verdana" w:hAnsi="Verdana" w:cs="Verdana"/>
        <w:color w:val="575756"/>
        <w:sz w:val="16"/>
        <w:szCs w:val="16"/>
      </w:rPr>
    </w:pPr>
    <w:r>
      <w:rPr>
        <w:noProof/>
        <w:lang w:eastAsia="nl-NL"/>
      </w:rPr>
      <w:drawing>
        <wp:anchor distT="0" distB="0" distL="114300" distR="114300" simplePos="0" relativeHeight="251658242" behindDoc="1" locked="0" layoutInCell="1" allowOverlap="1" wp14:anchorId="11807537" wp14:editId="081D6AF8">
          <wp:simplePos x="0" y="0"/>
          <wp:positionH relativeFrom="column">
            <wp:posOffset>4862195</wp:posOffset>
          </wp:positionH>
          <wp:positionV relativeFrom="paragraph">
            <wp:posOffset>-934085</wp:posOffset>
          </wp:positionV>
          <wp:extent cx="2195830" cy="1752600"/>
          <wp:effectExtent l="0" t="0" r="0" b="0"/>
          <wp:wrapTight wrapText="bothSides">
            <wp:wrapPolygon edited="1">
              <wp:start x="4966" y="0"/>
              <wp:lineTo x="4778" y="14556"/>
              <wp:lineTo x="0" y="20896"/>
              <wp:lineTo x="0" y="21365"/>
              <wp:lineTo x="21363" y="21365"/>
              <wp:lineTo x="21363" y="4930"/>
              <wp:lineTo x="19864" y="3757"/>
              <wp:lineTo x="19208" y="3756"/>
              <wp:lineTo x="14429" y="0"/>
              <wp:lineTo x="11712" y="4461"/>
              <wp:lineTo x="4966" y="0"/>
            </wp:wrapPolygon>
          </wp:wrapTight>
          <wp:docPr id="853285098" name="Afbeelding 853285098" descr="Afbeelding met schermopname, blauw, Elektrisch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35054" name="Afbeelding 1658835054" descr="Afbeelding met schermopname, blauw, Elektrisch blauw,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1752600"/>
                  </a:xfrm>
                  <a:prstGeom prst="rect">
                    <a:avLst/>
                  </a:prstGeom>
                  <a:noFill/>
                  <a:ln>
                    <a:noFill/>
                  </a:ln>
                </pic:spPr>
              </pic:pic>
            </a:graphicData>
          </a:graphic>
        </wp:anchor>
      </w:drawing>
    </w:r>
  </w:p>
  <w:p w14:paraId="40DD4F3A" w14:textId="77777777" w:rsidR="00FB4B31" w:rsidRDefault="00B54CEC">
    <w:pPr>
      <w:pStyle w:val="Voet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DE5C" w14:textId="77777777" w:rsidR="005269A7" w:rsidRDefault="005269A7" w:rsidP="007C0EF6">
      <w:r>
        <w:separator/>
      </w:r>
    </w:p>
  </w:footnote>
  <w:footnote w:type="continuationSeparator" w:id="0">
    <w:p w14:paraId="6BD4748E" w14:textId="77777777" w:rsidR="005269A7" w:rsidRDefault="005269A7" w:rsidP="007C0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35B5" w14:textId="77777777" w:rsidR="003947D5" w:rsidRDefault="003947D5" w:rsidP="003F3B22">
    <w:pPr>
      <w:pStyle w:val="Koptekst"/>
      <w:tabs>
        <w:tab w:val="clear" w:pos="4536"/>
        <w:tab w:val="clear" w:pos="9072"/>
        <w:tab w:val="center" w:pos="4465"/>
      </w:tabs>
      <w:rPr>
        <w:noProof/>
        <w:lang w:eastAsia="nl-NL"/>
      </w:rPr>
    </w:pPr>
    <w:r>
      <w:rPr>
        <w:noProof/>
        <w:lang w:eastAsia="nl-NL"/>
      </w:rPr>
      <w:drawing>
        <wp:anchor distT="0" distB="0" distL="114300" distR="114300" simplePos="0" relativeHeight="251658240" behindDoc="1" locked="0" layoutInCell="1" allowOverlap="1" wp14:anchorId="22944071" wp14:editId="2C78F449">
          <wp:simplePos x="0" y="0"/>
          <wp:positionH relativeFrom="margin">
            <wp:align>left</wp:align>
          </wp:positionH>
          <wp:positionV relativeFrom="paragraph">
            <wp:posOffset>-267970</wp:posOffset>
          </wp:positionV>
          <wp:extent cx="1162685" cy="1029335"/>
          <wp:effectExtent l="0" t="0" r="0" b="0"/>
          <wp:wrapTight wrapText="bothSides">
            <wp:wrapPolygon edited="1">
              <wp:start x="0" y="0"/>
              <wp:lineTo x="-1416" y="3738"/>
              <wp:lineTo x="21600" y="21600"/>
              <wp:lineTo x="21234" y="5306"/>
              <wp:lineTo x="21234" y="3859"/>
              <wp:lineTo x="11325" y="0"/>
              <wp:lineTo x="0" y="0"/>
            </wp:wrapPolygon>
          </wp:wrapTight>
          <wp:docPr id="835820772" name="Afbeelding 835820772" descr="Afbeelding met Kleurrijkheid, schermopnam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Kleurrijkheid, schermopname, Graphics, ontwerp&#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t="39644"/>
                  <a:stretch/>
                </pic:blipFill>
                <pic:spPr bwMode="auto">
                  <a:xfrm flipH="1">
                    <a:off x="0" y="0"/>
                    <a:ext cx="1162685" cy="1029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6D5ACF" w14:textId="77777777" w:rsidR="00FB4B31" w:rsidRDefault="00FB4B31" w:rsidP="003F3B22">
    <w:pPr>
      <w:pStyle w:val="Koptekst"/>
      <w:tabs>
        <w:tab w:val="clear" w:pos="4536"/>
        <w:tab w:val="clear" w:pos="9072"/>
        <w:tab w:val="center" w:pos="44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4829" w14:textId="77777777" w:rsidR="00FB4B31" w:rsidRDefault="001A1731">
    <w:pPr>
      <w:pStyle w:val="Koptekst"/>
    </w:pPr>
    <w:r>
      <w:rPr>
        <w:noProof/>
        <w:lang w:eastAsia="nl-NL"/>
      </w:rPr>
      <w:drawing>
        <wp:anchor distT="0" distB="0" distL="114300" distR="114300" simplePos="0" relativeHeight="251658244" behindDoc="0" locked="0" layoutInCell="1" allowOverlap="1" wp14:anchorId="150EC0D1" wp14:editId="7207BC1C">
          <wp:simplePos x="0" y="0"/>
          <wp:positionH relativeFrom="column">
            <wp:posOffset>3738245</wp:posOffset>
          </wp:positionH>
          <wp:positionV relativeFrom="paragraph">
            <wp:posOffset>71120</wp:posOffset>
          </wp:positionV>
          <wp:extent cx="2754630" cy="1177290"/>
          <wp:effectExtent l="0" t="0" r="7620" b="3810"/>
          <wp:wrapSquare wrapText="bothSides"/>
          <wp:docPr id="1869355354" name="Afbeelding 186935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74998" name="Afbeelding 182147499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4630"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570F">
      <w:rPr>
        <w:noProof/>
        <w:lang w:eastAsia="nl-NL"/>
      </w:rPr>
      <w:drawing>
        <wp:anchor distT="0" distB="0" distL="114300" distR="114300" simplePos="0" relativeHeight="251658243" behindDoc="0" locked="0" layoutInCell="1" allowOverlap="1" wp14:anchorId="2DC86221" wp14:editId="7B694B73">
          <wp:simplePos x="0" y="0"/>
          <wp:positionH relativeFrom="margin">
            <wp:align>left</wp:align>
          </wp:positionH>
          <wp:positionV relativeFrom="paragraph">
            <wp:posOffset>-219075</wp:posOffset>
          </wp:positionV>
          <wp:extent cx="760095" cy="885825"/>
          <wp:effectExtent l="0" t="0" r="1905" b="9525"/>
          <wp:wrapSquare wrapText="bothSides"/>
          <wp:docPr id="1556840280" name="Afbeelding 1" descr="Afbeelding met Kleurrijkheid, schermopname, g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46909" name="Afbeelding 1" descr="Afbeelding met Kleurrijkheid, schermopname, geel, lijn&#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4E4"/>
    <w:multiLevelType w:val="hybridMultilevel"/>
    <w:tmpl w:val="FFBECFB6"/>
    <w:lvl w:ilvl="0" w:tplc="B5E0BF14">
      <w:start w:val="1"/>
      <w:numFmt w:val="decimalZero"/>
      <w:lvlText w:val="%1."/>
      <w:lvlJc w:val="left"/>
      <w:pPr>
        <w:ind w:left="3478" w:hanging="360"/>
      </w:pPr>
      <w:rPr>
        <w:color w:val="auto"/>
      </w:rPr>
    </w:lvl>
    <w:lvl w:ilvl="1" w:tplc="04130019">
      <w:start w:val="1"/>
      <w:numFmt w:val="lowerLetter"/>
      <w:lvlText w:val="%2."/>
      <w:lvlJc w:val="left"/>
      <w:pPr>
        <w:ind w:left="4198" w:hanging="360"/>
      </w:pPr>
    </w:lvl>
    <w:lvl w:ilvl="2" w:tplc="0413001B">
      <w:start w:val="1"/>
      <w:numFmt w:val="lowerRoman"/>
      <w:lvlText w:val="%3."/>
      <w:lvlJc w:val="right"/>
      <w:pPr>
        <w:ind w:left="4918" w:hanging="180"/>
      </w:pPr>
    </w:lvl>
    <w:lvl w:ilvl="3" w:tplc="0413000F">
      <w:start w:val="1"/>
      <w:numFmt w:val="decimal"/>
      <w:lvlText w:val="%4."/>
      <w:lvlJc w:val="left"/>
      <w:pPr>
        <w:ind w:left="5638" w:hanging="360"/>
      </w:pPr>
    </w:lvl>
    <w:lvl w:ilvl="4" w:tplc="04130019">
      <w:start w:val="1"/>
      <w:numFmt w:val="lowerLetter"/>
      <w:lvlText w:val="%5."/>
      <w:lvlJc w:val="left"/>
      <w:pPr>
        <w:ind w:left="6358" w:hanging="360"/>
      </w:pPr>
    </w:lvl>
    <w:lvl w:ilvl="5" w:tplc="0413001B">
      <w:start w:val="1"/>
      <w:numFmt w:val="lowerRoman"/>
      <w:lvlText w:val="%6."/>
      <w:lvlJc w:val="right"/>
      <w:pPr>
        <w:ind w:left="7078" w:hanging="180"/>
      </w:pPr>
    </w:lvl>
    <w:lvl w:ilvl="6" w:tplc="0413000F">
      <w:start w:val="1"/>
      <w:numFmt w:val="decimal"/>
      <w:lvlText w:val="%7."/>
      <w:lvlJc w:val="left"/>
      <w:pPr>
        <w:ind w:left="7798" w:hanging="360"/>
      </w:pPr>
    </w:lvl>
    <w:lvl w:ilvl="7" w:tplc="04130019">
      <w:start w:val="1"/>
      <w:numFmt w:val="lowerLetter"/>
      <w:lvlText w:val="%8."/>
      <w:lvlJc w:val="left"/>
      <w:pPr>
        <w:ind w:left="8518" w:hanging="360"/>
      </w:pPr>
    </w:lvl>
    <w:lvl w:ilvl="8" w:tplc="0413001B">
      <w:start w:val="1"/>
      <w:numFmt w:val="lowerRoman"/>
      <w:lvlText w:val="%9."/>
      <w:lvlJc w:val="right"/>
      <w:pPr>
        <w:ind w:left="9238" w:hanging="180"/>
      </w:pPr>
    </w:lvl>
  </w:abstractNum>
  <w:abstractNum w:abstractNumId="1" w15:restartNumberingAfterBreak="0">
    <w:nsid w:val="04F60BCD"/>
    <w:multiLevelType w:val="hybridMultilevel"/>
    <w:tmpl w:val="F1C82E16"/>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71316AA"/>
    <w:multiLevelType w:val="hybridMultilevel"/>
    <w:tmpl w:val="632283C6"/>
    <w:lvl w:ilvl="0" w:tplc="B5E0BF14">
      <w:start w:val="1"/>
      <w:numFmt w:val="decimalZero"/>
      <w:lvlText w:val="%1."/>
      <w:lvlJc w:val="lef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CCB02E5"/>
    <w:multiLevelType w:val="hybridMultilevel"/>
    <w:tmpl w:val="9A9270EA"/>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0D3848E8"/>
    <w:multiLevelType w:val="hybridMultilevel"/>
    <w:tmpl w:val="6F22DDB6"/>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0ECD1175"/>
    <w:multiLevelType w:val="hybridMultilevel"/>
    <w:tmpl w:val="E51ADB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6200C88"/>
    <w:multiLevelType w:val="hybridMultilevel"/>
    <w:tmpl w:val="F30CACCC"/>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173D4169"/>
    <w:multiLevelType w:val="hybridMultilevel"/>
    <w:tmpl w:val="80AE08D0"/>
    <w:lvl w:ilvl="0" w:tplc="6FA0DB76">
      <w:start w:val="1"/>
      <w:numFmt w:val="decimal"/>
      <w:lvlText w:val="Artikel %1."/>
      <w:lvlJc w:val="left"/>
      <w:pPr>
        <w:ind w:left="360" w:hanging="360"/>
      </w:pPr>
      <w:rPr>
        <w:b/>
        <w:i w:val="0"/>
        <w:sz w:val="20"/>
        <w:szCs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1B925BE2"/>
    <w:multiLevelType w:val="hybridMultilevel"/>
    <w:tmpl w:val="5F86F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D345AE"/>
    <w:multiLevelType w:val="hybridMultilevel"/>
    <w:tmpl w:val="2D023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EE5AD7"/>
    <w:multiLevelType w:val="hybridMultilevel"/>
    <w:tmpl w:val="50121842"/>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27A34A3D"/>
    <w:multiLevelType w:val="hybridMultilevel"/>
    <w:tmpl w:val="9342DE5A"/>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2CA73658"/>
    <w:multiLevelType w:val="hybridMultilevel"/>
    <w:tmpl w:val="E40E7D90"/>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2E773F65"/>
    <w:multiLevelType w:val="hybridMultilevel"/>
    <w:tmpl w:val="69124AE4"/>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2F8A7B50"/>
    <w:multiLevelType w:val="hybridMultilevel"/>
    <w:tmpl w:val="140EB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935824"/>
    <w:multiLevelType w:val="hybridMultilevel"/>
    <w:tmpl w:val="5CE4E94E"/>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2FAA36C3"/>
    <w:multiLevelType w:val="hybridMultilevel"/>
    <w:tmpl w:val="A1082212"/>
    <w:lvl w:ilvl="0" w:tplc="0B1EC05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F157AC"/>
    <w:multiLevelType w:val="hybridMultilevel"/>
    <w:tmpl w:val="46769658"/>
    <w:lvl w:ilvl="0" w:tplc="0B1EC05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50336B"/>
    <w:multiLevelType w:val="hybridMultilevel"/>
    <w:tmpl w:val="7C0AF3F8"/>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15:restartNumberingAfterBreak="0">
    <w:nsid w:val="36E706D0"/>
    <w:multiLevelType w:val="hybridMultilevel"/>
    <w:tmpl w:val="246E0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61467F"/>
    <w:multiLevelType w:val="hybridMultilevel"/>
    <w:tmpl w:val="602CD6F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E615EEE"/>
    <w:multiLevelType w:val="hybridMultilevel"/>
    <w:tmpl w:val="2F262A48"/>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2" w15:restartNumberingAfterBreak="0">
    <w:nsid w:val="3EFF6A91"/>
    <w:multiLevelType w:val="hybridMultilevel"/>
    <w:tmpl w:val="28ACD3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1A93D77"/>
    <w:multiLevelType w:val="hybridMultilevel"/>
    <w:tmpl w:val="662032DA"/>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4" w15:restartNumberingAfterBreak="0">
    <w:nsid w:val="44967ED1"/>
    <w:multiLevelType w:val="hybridMultilevel"/>
    <w:tmpl w:val="EAAA2EC6"/>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5" w15:restartNumberingAfterBreak="0">
    <w:nsid w:val="45796CB3"/>
    <w:multiLevelType w:val="hybridMultilevel"/>
    <w:tmpl w:val="259E65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4E696993"/>
    <w:multiLevelType w:val="hybridMultilevel"/>
    <w:tmpl w:val="138EAB34"/>
    <w:lvl w:ilvl="0" w:tplc="B5E0BF14">
      <w:start w:val="1"/>
      <w:numFmt w:val="decimalZero"/>
      <w:lvlText w:val="%1."/>
      <w:lvlJc w:val="left"/>
      <w:pPr>
        <w:ind w:left="360" w:hanging="360"/>
      </w:pPr>
      <w:rPr>
        <w:color w:val="auto"/>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7" w15:restartNumberingAfterBreak="0">
    <w:nsid w:val="523A3ABF"/>
    <w:multiLevelType w:val="hybridMultilevel"/>
    <w:tmpl w:val="6BA88F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CEE6B31"/>
    <w:multiLevelType w:val="hybridMultilevel"/>
    <w:tmpl w:val="266C468C"/>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5E6D43DC"/>
    <w:multiLevelType w:val="hybridMultilevel"/>
    <w:tmpl w:val="032C1F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BF44FBF"/>
    <w:multiLevelType w:val="hybridMultilevel"/>
    <w:tmpl w:val="3BE8BF68"/>
    <w:lvl w:ilvl="0" w:tplc="FFFFFFFF">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2" w15:restartNumberingAfterBreak="0">
    <w:nsid w:val="710F174D"/>
    <w:multiLevelType w:val="hybridMultilevel"/>
    <w:tmpl w:val="57BE7146"/>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3" w15:restartNumberingAfterBreak="0">
    <w:nsid w:val="74F93B59"/>
    <w:multiLevelType w:val="hybridMultilevel"/>
    <w:tmpl w:val="A8B8102E"/>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4" w15:restartNumberingAfterBreak="0">
    <w:nsid w:val="788972D6"/>
    <w:multiLevelType w:val="hybridMultilevel"/>
    <w:tmpl w:val="77E28C20"/>
    <w:lvl w:ilvl="0" w:tplc="B5E0BF14">
      <w:start w:val="1"/>
      <w:numFmt w:val="decimalZero"/>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5" w15:restartNumberingAfterBreak="0">
    <w:nsid w:val="7B720FFA"/>
    <w:multiLevelType w:val="hybridMultilevel"/>
    <w:tmpl w:val="995C075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F543E4"/>
    <w:multiLevelType w:val="hybridMultilevel"/>
    <w:tmpl w:val="5CE070CA"/>
    <w:lvl w:ilvl="0" w:tplc="3ADA4556">
      <w:numFmt w:val="bullet"/>
      <w:lvlText w:val=""/>
      <w:lvlJc w:val="left"/>
      <w:pPr>
        <w:ind w:left="720" w:hanging="360"/>
      </w:pPr>
      <w:rPr>
        <w:rFonts w:ascii="Wingdings" w:eastAsiaTheme="minorHAnsi" w:hAnsi="Wingdings" w:cstheme="minorBid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DF610FC"/>
    <w:multiLevelType w:val="hybridMultilevel"/>
    <w:tmpl w:val="E5F698C2"/>
    <w:lvl w:ilvl="0" w:tplc="38A6B6A2">
      <w:start w:val="1"/>
      <w:numFmt w:val="decimalZero"/>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70738304">
    <w:abstractNumId w:val="22"/>
  </w:num>
  <w:num w:numId="2" w16cid:durableId="47068929">
    <w:abstractNumId w:val="29"/>
  </w:num>
  <w:num w:numId="3" w16cid:durableId="403181170">
    <w:abstractNumId w:val="5"/>
  </w:num>
  <w:num w:numId="4" w16cid:durableId="1582064980">
    <w:abstractNumId w:val="20"/>
  </w:num>
  <w:num w:numId="5" w16cid:durableId="1540506475">
    <w:abstractNumId w:val="27"/>
  </w:num>
  <w:num w:numId="6" w16cid:durableId="783229955">
    <w:abstractNumId w:val="36"/>
  </w:num>
  <w:num w:numId="7" w16cid:durableId="271935209">
    <w:abstractNumId w:val="5"/>
  </w:num>
  <w:num w:numId="8" w16cid:durableId="1302350282">
    <w:abstractNumId w:val="20"/>
  </w:num>
  <w:num w:numId="9" w16cid:durableId="202594867">
    <w:abstractNumId w:val="8"/>
  </w:num>
  <w:num w:numId="10" w16cid:durableId="2033846883">
    <w:abstractNumId w:val="14"/>
  </w:num>
  <w:num w:numId="11" w16cid:durableId="1381172612">
    <w:abstractNumId w:val="19"/>
  </w:num>
  <w:num w:numId="12" w16cid:durableId="1008140474">
    <w:abstractNumId w:val="9"/>
  </w:num>
  <w:num w:numId="13" w16cid:durableId="229122086">
    <w:abstractNumId w:val="16"/>
  </w:num>
  <w:num w:numId="14" w16cid:durableId="496849449">
    <w:abstractNumId w:val="17"/>
  </w:num>
  <w:num w:numId="15" w16cid:durableId="800538109">
    <w:abstractNumId w:val="35"/>
  </w:num>
  <w:num w:numId="16" w16cid:durableId="1698769201">
    <w:abstractNumId w:val="30"/>
  </w:num>
  <w:num w:numId="17" w16cid:durableId="235359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128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0185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69015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6429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8306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6908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8180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92821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7871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122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8456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0528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562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8191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92366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357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18747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71534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6734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8264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07620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0658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4541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0B"/>
    <w:rsid w:val="00013343"/>
    <w:rsid w:val="00024D9D"/>
    <w:rsid w:val="00031BAD"/>
    <w:rsid w:val="00031C0D"/>
    <w:rsid w:val="0003409B"/>
    <w:rsid w:val="00037FF0"/>
    <w:rsid w:val="00095CEE"/>
    <w:rsid w:val="000A7ECA"/>
    <w:rsid w:val="000B7B49"/>
    <w:rsid w:val="000E0859"/>
    <w:rsid w:val="000E11DF"/>
    <w:rsid w:val="000E5B0C"/>
    <w:rsid w:val="000F0774"/>
    <w:rsid w:val="00105859"/>
    <w:rsid w:val="00106655"/>
    <w:rsid w:val="00116700"/>
    <w:rsid w:val="0012240B"/>
    <w:rsid w:val="0013409A"/>
    <w:rsid w:val="001640EE"/>
    <w:rsid w:val="0016521C"/>
    <w:rsid w:val="00167CF8"/>
    <w:rsid w:val="00173E74"/>
    <w:rsid w:val="001A1731"/>
    <w:rsid w:val="001A7CC8"/>
    <w:rsid w:val="001D338A"/>
    <w:rsid w:val="001D4036"/>
    <w:rsid w:val="001E1266"/>
    <w:rsid w:val="001E72E8"/>
    <w:rsid w:val="002320DB"/>
    <w:rsid w:val="00240021"/>
    <w:rsid w:val="0026720A"/>
    <w:rsid w:val="002764C7"/>
    <w:rsid w:val="002B603F"/>
    <w:rsid w:val="002C1546"/>
    <w:rsid w:val="002C55F1"/>
    <w:rsid w:val="002E42D7"/>
    <w:rsid w:val="003015BD"/>
    <w:rsid w:val="00317191"/>
    <w:rsid w:val="00340AC1"/>
    <w:rsid w:val="003544F4"/>
    <w:rsid w:val="00355411"/>
    <w:rsid w:val="00382195"/>
    <w:rsid w:val="003947D5"/>
    <w:rsid w:val="003C1B1C"/>
    <w:rsid w:val="003D21A8"/>
    <w:rsid w:val="003E3CD8"/>
    <w:rsid w:val="003E4BBD"/>
    <w:rsid w:val="003F3B22"/>
    <w:rsid w:val="00411415"/>
    <w:rsid w:val="0043065C"/>
    <w:rsid w:val="004446D3"/>
    <w:rsid w:val="00456B2C"/>
    <w:rsid w:val="00485B5F"/>
    <w:rsid w:val="00486913"/>
    <w:rsid w:val="004A4B91"/>
    <w:rsid w:val="004F2BCA"/>
    <w:rsid w:val="004F5C13"/>
    <w:rsid w:val="005056EB"/>
    <w:rsid w:val="00522D8F"/>
    <w:rsid w:val="005269A7"/>
    <w:rsid w:val="0053376A"/>
    <w:rsid w:val="00547E54"/>
    <w:rsid w:val="005535E6"/>
    <w:rsid w:val="005607F7"/>
    <w:rsid w:val="0056130E"/>
    <w:rsid w:val="005729E8"/>
    <w:rsid w:val="005736F6"/>
    <w:rsid w:val="005773E9"/>
    <w:rsid w:val="005945BF"/>
    <w:rsid w:val="005B45BE"/>
    <w:rsid w:val="005B6C08"/>
    <w:rsid w:val="005D7837"/>
    <w:rsid w:val="005F1C74"/>
    <w:rsid w:val="005F31C5"/>
    <w:rsid w:val="0065236A"/>
    <w:rsid w:val="0065669E"/>
    <w:rsid w:val="00690B00"/>
    <w:rsid w:val="00694465"/>
    <w:rsid w:val="006B296F"/>
    <w:rsid w:val="006C54D1"/>
    <w:rsid w:val="006E575F"/>
    <w:rsid w:val="006F0418"/>
    <w:rsid w:val="0072532D"/>
    <w:rsid w:val="00731A8B"/>
    <w:rsid w:val="00751D03"/>
    <w:rsid w:val="00792B4A"/>
    <w:rsid w:val="007C0EF6"/>
    <w:rsid w:val="007C4D75"/>
    <w:rsid w:val="007D35CB"/>
    <w:rsid w:val="0081534E"/>
    <w:rsid w:val="0081551F"/>
    <w:rsid w:val="00857044"/>
    <w:rsid w:val="00884F59"/>
    <w:rsid w:val="00887229"/>
    <w:rsid w:val="00887C7F"/>
    <w:rsid w:val="00892C3C"/>
    <w:rsid w:val="008C6882"/>
    <w:rsid w:val="008F7BFC"/>
    <w:rsid w:val="0091674E"/>
    <w:rsid w:val="0093546A"/>
    <w:rsid w:val="009435F9"/>
    <w:rsid w:val="009A6B8A"/>
    <w:rsid w:val="009B0FA6"/>
    <w:rsid w:val="009C06B0"/>
    <w:rsid w:val="009D6C8B"/>
    <w:rsid w:val="009F248A"/>
    <w:rsid w:val="009F503E"/>
    <w:rsid w:val="009F6BA1"/>
    <w:rsid w:val="00A0748E"/>
    <w:rsid w:val="00A168EF"/>
    <w:rsid w:val="00A36363"/>
    <w:rsid w:val="00A66D12"/>
    <w:rsid w:val="00AF7C0D"/>
    <w:rsid w:val="00B0061E"/>
    <w:rsid w:val="00B10F35"/>
    <w:rsid w:val="00B54CEC"/>
    <w:rsid w:val="00B60171"/>
    <w:rsid w:val="00B7570F"/>
    <w:rsid w:val="00B87AB6"/>
    <w:rsid w:val="00BB1E8F"/>
    <w:rsid w:val="00BD52B5"/>
    <w:rsid w:val="00BD561F"/>
    <w:rsid w:val="00BF31C4"/>
    <w:rsid w:val="00BF7E4C"/>
    <w:rsid w:val="00C04FD0"/>
    <w:rsid w:val="00C108D1"/>
    <w:rsid w:val="00C20945"/>
    <w:rsid w:val="00C424FE"/>
    <w:rsid w:val="00C5791B"/>
    <w:rsid w:val="00C91B5E"/>
    <w:rsid w:val="00CA322A"/>
    <w:rsid w:val="00CA7567"/>
    <w:rsid w:val="00CC415B"/>
    <w:rsid w:val="00D43CE8"/>
    <w:rsid w:val="00D67ECB"/>
    <w:rsid w:val="00D74059"/>
    <w:rsid w:val="00D93D0B"/>
    <w:rsid w:val="00DA365A"/>
    <w:rsid w:val="00DA5AFF"/>
    <w:rsid w:val="00DC54CD"/>
    <w:rsid w:val="00DC5EAB"/>
    <w:rsid w:val="00DD419A"/>
    <w:rsid w:val="00DF0445"/>
    <w:rsid w:val="00DF783D"/>
    <w:rsid w:val="00E16F06"/>
    <w:rsid w:val="00E21AB5"/>
    <w:rsid w:val="00EF3289"/>
    <w:rsid w:val="00EF4BE4"/>
    <w:rsid w:val="00F27AF5"/>
    <w:rsid w:val="00F32540"/>
    <w:rsid w:val="00F45E50"/>
    <w:rsid w:val="00F50673"/>
    <w:rsid w:val="00F5333A"/>
    <w:rsid w:val="00F96D94"/>
    <w:rsid w:val="00FA0E5A"/>
    <w:rsid w:val="00FB4B31"/>
    <w:rsid w:val="00FD7DB4"/>
    <w:rsid w:val="00FE3532"/>
    <w:rsid w:val="00FE3CA5"/>
    <w:rsid w:val="00FE576C"/>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6EAD"/>
  <w15:docId w15:val="{EF053D4C-56F9-49C0-A33E-4B144D84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837"/>
    <w:pPr>
      <w:spacing w:line="360" w:lineRule="auto"/>
    </w:pPr>
    <w:rPr>
      <w:rFonts w:ascii="Verdana" w:hAnsi="Verdana"/>
      <w:sz w:val="20"/>
      <w:lang w:val="nl-NL"/>
    </w:rPr>
  </w:style>
  <w:style w:type="paragraph" w:styleId="Kop1">
    <w:name w:val="heading 1"/>
    <w:basedOn w:val="Standaard"/>
    <w:next w:val="Standaard"/>
    <w:link w:val="Kop1Char"/>
    <w:uiPriority w:val="9"/>
    <w:qFormat/>
    <w:rsid w:val="005D7837"/>
    <w:pPr>
      <w:outlineLvl w:val="0"/>
    </w:pPr>
    <w:rPr>
      <w:rFonts w:eastAsiaTheme="majorEastAsia" w:cstheme="majorBidi"/>
      <w:b/>
      <w:bCs/>
      <w:color w:val="00588A"/>
      <w:sz w:val="32"/>
      <w:szCs w:val="28"/>
    </w:rPr>
  </w:style>
  <w:style w:type="paragraph" w:styleId="Kop2">
    <w:name w:val="heading 2"/>
    <w:basedOn w:val="Standaard"/>
    <w:next w:val="Standaard"/>
    <w:link w:val="Kop2Char"/>
    <w:uiPriority w:val="9"/>
    <w:unhideWhenUsed/>
    <w:qFormat/>
    <w:rsid w:val="005D7837"/>
    <w:pPr>
      <w:outlineLvl w:val="1"/>
    </w:pPr>
    <w:rPr>
      <w:rFonts w:eastAsiaTheme="majorEastAsia" w:cstheme="majorBidi"/>
      <w:b/>
      <w:bCs/>
      <w:color w:val="00588A"/>
      <w:sz w:val="24"/>
      <w:szCs w:val="26"/>
    </w:rPr>
  </w:style>
  <w:style w:type="paragraph" w:styleId="Kop3">
    <w:name w:val="heading 3"/>
    <w:basedOn w:val="Standaard"/>
    <w:next w:val="Standaard"/>
    <w:link w:val="Kop3Char"/>
    <w:uiPriority w:val="9"/>
    <w:unhideWhenUsed/>
    <w:qFormat/>
    <w:rsid w:val="005D7837"/>
    <w:pPr>
      <w:keepNext/>
      <w:keepLines/>
      <w:outlineLvl w:val="2"/>
    </w:pPr>
    <w:rPr>
      <w:rFonts w:eastAsiaTheme="majorEastAsia" w:cstheme="majorBidi"/>
      <w:b/>
      <w:bCs/>
      <w:color w:val="00588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322A"/>
    <w:pPr>
      <w:tabs>
        <w:tab w:val="center" w:pos="4536"/>
        <w:tab w:val="right" w:pos="9072"/>
      </w:tabs>
    </w:pPr>
  </w:style>
  <w:style w:type="character" w:customStyle="1" w:styleId="KoptekstChar">
    <w:name w:val="Koptekst Char"/>
    <w:basedOn w:val="Standaardalinea-lettertype"/>
    <w:link w:val="Koptekst"/>
    <w:uiPriority w:val="99"/>
    <w:rsid w:val="00CA322A"/>
    <w:rPr>
      <w:lang w:val="nl-NL"/>
    </w:rPr>
  </w:style>
  <w:style w:type="paragraph" w:styleId="Voettekst">
    <w:name w:val="footer"/>
    <w:basedOn w:val="Standaard"/>
    <w:link w:val="VoettekstChar"/>
    <w:uiPriority w:val="99"/>
    <w:unhideWhenUsed/>
    <w:rsid w:val="00CA322A"/>
    <w:pPr>
      <w:tabs>
        <w:tab w:val="center" w:pos="4536"/>
        <w:tab w:val="right" w:pos="9072"/>
      </w:tabs>
    </w:pPr>
  </w:style>
  <w:style w:type="character" w:customStyle="1" w:styleId="VoettekstChar">
    <w:name w:val="Voettekst Char"/>
    <w:basedOn w:val="Standaardalinea-lettertype"/>
    <w:link w:val="Voettekst"/>
    <w:uiPriority w:val="99"/>
    <w:rsid w:val="00CA322A"/>
    <w:rPr>
      <w:lang w:val="nl-NL"/>
    </w:rPr>
  </w:style>
  <w:style w:type="character" w:styleId="Paginanummer">
    <w:name w:val="page number"/>
    <w:basedOn w:val="Standaardalinea-lettertype"/>
    <w:uiPriority w:val="99"/>
    <w:semiHidden/>
    <w:unhideWhenUsed/>
    <w:rsid w:val="00FB4B31"/>
  </w:style>
  <w:style w:type="character" w:customStyle="1" w:styleId="Kop1Char">
    <w:name w:val="Kop 1 Char"/>
    <w:basedOn w:val="Standaardalinea-lettertype"/>
    <w:link w:val="Kop1"/>
    <w:uiPriority w:val="9"/>
    <w:rsid w:val="005D7837"/>
    <w:rPr>
      <w:rFonts w:ascii="Verdana" w:eastAsiaTheme="majorEastAsia" w:hAnsi="Verdana" w:cstheme="majorBidi"/>
      <w:b/>
      <w:bCs/>
      <w:color w:val="00588A"/>
      <w:sz w:val="32"/>
      <w:szCs w:val="28"/>
      <w:lang w:val="nl-NL"/>
    </w:rPr>
  </w:style>
  <w:style w:type="character" w:customStyle="1" w:styleId="Kop2Char">
    <w:name w:val="Kop 2 Char"/>
    <w:basedOn w:val="Standaardalinea-lettertype"/>
    <w:link w:val="Kop2"/>
    <w:uiPriority w:val="9"/>
    <w:rsid w:val="005D7837"/>
    <w:rPr>
      <w:rFonts w:ascii="Verdana" w:eastAsiaTheme="majorEastAsia" w:hAnsi="Verdana" w:cstheme="majorBidi"/>
      <w:b/>
      <w:bCs/>
      <w:color w:val="00588A"/>
      <w:szCs w:val="26"/>
      <w:lang w:val="nl-NL"/>
    </w:rPr>
  </w:style>
  <w:style w:type="character" w:customStyle="1" w:styleId="Kop3Char">
    <w:name w:val="Kop 3 Char"/>
    <w:basedOn w:val="Standaardalinea-lettertype"/>
    <w:link w:val="Kop3"/>
    <w:uiPriority w:val="9"/>
    <w:rsid w:val="005D7837"/>
    <w:rPr>
      <w:rFonts w:ascii="Verdana" w:eastAsiaTheme="majorEastAsia" w:hAnsi="Verdana" w:cstheme="majorBidi"/>
      <w:b/>
      <w:bCs/>
      <w:color w:val="00588A"/>
      <w:sz w:val="20"/>
      <w:lang w:val="nl-NL"/>
    </w:rPr>
  </w:style>
  <w:style w:type="character" w:styleId="Hyperlink">
    <w:name w:val="Hyperlink"/>
    <w:basedOn w:val="Standaardalinea-lettertype"/>
    <w:uiPriority w:val="99"/>
    <w:unhideWhenUsed/>
    <w:rsid w:val="004446D3"/>
    <w:rPr>
      <w:color w:val="0000FF" w:themeColor="hyperlink"/>
      <w:u w:val="single"/>
    </w:rPr>
  </w:style>
  <w:style w:type="paragraph" w:customStyle="1" w:styleId="Normal0">
    <w:name w:val="Normal0"/>
    <w:uiPriority w:val="99"/>
    <w:rsid w:val="00731A8B"/>
    <w:pPr>
      <w:widowControl w:val="0"/>
      <w:autoSpaceDE w:val="0"/>
      <w:autoSpaceDN w:val="0"/>
      <w:adjustRightInd w:val="0"/>
    </w:pPr>
    <w:rPr>
      <w:rFonts w:ascii="Arial" w:eastAsia="Times New Roman" w:hAnsi="Arial" w:cs="Arial"/>
      <w:lang w:val="nl-NL" w:eastAsia="nl-NL"/>
    </w:rPr>
  </w:style>
  <w:style w:type="paragraph" w:styleId="Lijstalinea">
    <w:name w:val="List Paragraph"/>
    <w:basedOn w:val="Standaard"/>
    <w:uiPriority w:val="34"/>
    <w:qFormat/>
    <w:rsid w:val="009435F9"/>
    <w:pPr>
      <w:ind w:left="720"/>
      <w:contextualSpacing/>
    </w:pPr>
  </w:style>
  <w:style w:type="paragraph" w:customStyle="1" w:styleId="Basisalinea">
    <w:name w:val="[Basisalinea]"/>
    <w:basedOn w:val="Standaard"/>
    <w:uiPriority w:val="99"/>
    <w:rsid w:val="001A1731"/>
    <w:pPr>
      <w:autoSpaceDE w:val="0"/>
      <w:autoSpaceDN w:val="0"/>
      <w:adjustRightInd w:val="0"/>
      <w:spacing w:line="288" w:lineRule="auto"/>
      <w:textAlignment w:val="center"/>
    </w:pPr>
    <w:rPr>
      <w:rFonts w:ascii="MinionPro-Regular" w:hAnsi="MinionPro-Regular" w:cs="MinionPro-Regular"/>
      <w:color w:val="000000"/>
      <w:sz w:val="24"/>
      <w14:ligatures w14:val="standardContextual"/>
    </w:rPr>
  </w:style>
  <w:style w:type="paragraph" w:styleId="Duidelijkcitaat">
    <w:name w:val="Intense Quote"/>
    <w:basedOn w:val="Standaard"/>
    <w:next w:val="Standaard"/>
    <w:link w:val="DuidelijkcitaatChar"/>
    <w:uiPriority w:val="30"/>
    <w:qFormat/>
    <w:rsid w:val="003947D5"/>
    <w:pPr>
      <w:pBdr>
        <w:top w:val="single" w:sz="4" w:space="10" w:color="365F91" w:themeColor="accent1" w:themeShade="BF"/>
        <w:bottom w:val="single" w:sz="4" w:space="10" w:color="365F91" w:themeColor="accent1" w:themeShade="BF"/>
      </w:pBdr>
      <w:spacing w:before="360" w:after="360" w:line="256" w:lineRule="auto"/>
      <w:ind w:left="864" w:right="864"/>
      <w:jc w:val="center"/>
    </w:pPr>
    <w:rPr>
      <w:rFonts w:asciiTheme="minorHAnsi" w:hAnsiTheme="minorHAnsi"/>
      <w:i/>
      <w:iCs/>
      <w:color w:val="365F9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3947D5"/>
    <w:rPr>
      <w:i/>
      <w:iCs/>
      <w:color w:val="365F91" w:themeColor="accent1" w:themeShade="BF"/>
      <w:kern w:val="2"/>
      <w:sz w:val="22"/>
      <w:szCs w:val="22"/>
      <w:lang w:val="nl-NL"/>
      <w14:ligatures w14:val="standardContextual"/>
    </w:rPr>
  </w:style>
  <w:style w:type="character" w:styleId="Subtielebenadrukking">
    <w:name w:val="Subtle Emphasis"/>
    <w:basedOn w:val="Standaardalinea-lettertype"/>
    <w:uiPriority w:val="19"/>
    <w:qFormat/>
    <w:rsid w:val="003947D5"/>
    <w:rPr>
      <w:i/>
      <w:iCs/>
      <w:color w:val="404040" w:themeColor="text1" w:themeTint="BF"/>
    </w:rPr>
  </w:style>
  <w:style w:type="paragraph" w:styleId="Geenafstand">
    <w:name w:val="No Spacing"/>
    <w:uiPriority w:val="1"/>
    <w:semiHidden/>
    <w:qFormat/>
    <w:rsid w:val="0012240B"/>
    <w:rPr>
      <w:rFonts w:ascii="Verdana" w:hAnsi="Verdana"/>
      <w:sz w:val="20"/>
      <w:lang w:val="nl-NL"/>
    </w:rPr>
  </w:style>
  <w:style w:type="character" w:styleId="Onopgelostemelding">
    <w:name w:val="Unresolved Mention"/>
    <w:basedOn w:val="Standaardalinea-lettertype"/>
    <w:uiPriority w:val="99"/>
    <w:semiHidden/>
    <w:unhideWhenUsed/>
    <w:rsid w:val="0012240B"/>
    <w:rPr>
      <w:color w:val="605E5C"/>
      <w:shd w:val="clear" w:color="auto" w:fill="E1DFDD"/>
    </w:rPr>
  </w:style>
  <w:style w:type="paragraph" w:styleId="Kopvaninhoudsopgave">
    <w:name w:val="TOC Heading"/>
    <w:basedOn w:val="Kop1"/>
    <w:next w:val="Standaard"/>
    <w:uiPriority w:val="39"/>
    <w:unhideWhenUsed/>
    <w:qFormat/>
    <w:rsid w:val="0012240B"/>
    <w:pPr>
      <w:keepNext/>
      <w:keepLines/>
      <w:spacing w:before="240" w:line="259" w:lineRule="auto"/>
      <w:outlineLvl w:val="9"/>
    </w:pPr>
    <w:rPr>
      <w:rFonts w:asciiTheme="majorHAnsi" w:hAnsiTheme="majorHAnsi"/>
      <w:b w:val="0"/>
      <w:bCs w:val="0"/>
      <w:color w:val="365F91" w:themeColor="accent1" w:themeShade="BF"/>
      <w:szCs w:val="32"/>
      <w:lang w:eastAsia="nl-NL"/>
    </w:rPr>
  </w:style>
  <w:style w:type="paragraph" w:styleId="Inhopg1">
    <w:name w:val="toc 1"/>
    <w:basedOn w:val="Standaard"/>
    <w:next w:val="Standaard"/>
    <w:autoRedefine/>
    <w:uiPriority w:val="39"/>
    <w:unhideWhenUsed/>
    <w:rsid w:val="00DC5EAB"/>
    <w:pPr>
      <w:spacing w:after="100"/>
    </w:pPr>
  </w:style>
  <w:style w:type="paragraph" w:styleId="Inhopg2">
    <w:name w:val="toc 2"/>
    <w:basedOn w:val="Standaard"/>
    <w:next w:val="Standaard"/>
    <w:autoRedefine/>
    <w:uiPriority w:val="39"/>
    <w:unhideWhenUsed/>
    <w:rsid w:val="00DC5EA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3600">
      <w:bodyDiv w:val="1"/>
      <w:marLeft w:val="0"/>
      <w:marRight w:val="0"/>
      <w:marTop w:val="0"/>
      <w:marBottom w:val="0"/>
      <w:divBdr>
        <w:top w:val="none" w:sz="0" w:space="0" w:color="auto"/>
        <w:left w:val="none" w:sz="0" w:space="0" w:color="auto"/>
        <w:bottom w:val="none" w:sz="0" w:space="0" w:color="auto"/>
        <w:right w:val="none" w:sz="0" w:space="0" w:color="auto"/>
      </w:divBdr>
    </w:div>
    <w:div w:id="154030539">
      <w:bodyDiv w:val="1"/>
      <w:marLeft w:val="0"/>
      <w:marRight w:val="0"/>
      <w:marTop w:val="0"/>
      <w:marBottom w:val="0"/>
      <w:divBdr>
        <w:top w:val="none" w:sz="0" w:space="0" w:color="auto"/>
        <w:left w:val="none" w:sz="0" w:space="0" w:color="auto"/>
        <w:bottom w:val="none" w:sz="0" w:space="0" w:color="auto"/>
        <w:right w:val="none" w:sz="0" w:space="0" w:color="auto"/>
      </w:divBdr>
      <w:divsChild>
        <w:div w:id="1711228188">
          <w:marLeft w:val="0"/>
          <w:marRight w:val="0"/>
          <w:marTop w:val="0"/>
          <w:marBottom w:val="0"/>
          <w:divBdr>
            <w:top w:val="none" w:sz="0" w:space="0" w:color="auto"/>
            <w:left w:val="none" w:sz="0" w:space="0" w:color="auto"/>
            <w:bottom w:val="none" w:sz="0" w:space="0" w:color="auto"/>
            <w:right w:val="none" w:sz="0" w:space="0" w:color="auto"/>
          </w:divBdr>
        </w:div>
        <w:div w:id="1572278583">
          <w:marLeft w:val="0"/>
          <w:marRight w:val="0"/>
          <w:marTop w:val="0"/>
          <w:marBottom w:val="0"/>
          <w:divBdr>
            <w:top w:val="none" w:sz="0" w:space="0" w:color="auto"/>
            <w:left w:val="none" w:sz="0" w:space="0" w:color="auto"/>
            <w:bottom w:val="none" w:sz="0" w:space="0" w:color="auto"/>
            <w:right w:val="none" w:sz="0" w:space="0" w:color="auto"/>
          </w:divBdr>
        </w:div>
      </w:divsChild>
    </w:div>
    <w:div w:id="465970358">
      <w:bodyDiv w:val="1"/>
      <w:marLeft w:val="0"/>
      <w:marRight w:val="0"/>
      <w:marTop w:val="0"/>
      <w:marBottom w:val="0"/>
      <w:divBdr>
        <w:top w:val="none" w:sz="0" w:space="0" w:color="auto"/>
        <w:left w:val="none" w:sz="0" w:space="0" w:color="auto"/>
        <w:bottom w:val="none" w:sz="0" w:space="0" w:color="auto"/>
        <w:right w:val="none" w:sz="0" w:space="0" w:color="auto"/>
      </w:divBdr>
    </w:div>
    <w:div w:id="873272562">
      <w:bodyDiv w:val="1"/>
      <w:marLeft w:val="0"/>
      <w:marRight w:val="0"/>
      <w:marTop w:val="0"/>
      <w:marBottom w:val="0"/>
      <w:divBdr>
        <w:top w:val="none" w:sz="0" w:space="0" w:color="auto"/>
        <w:left w:val="none" w:sz="0" w:space="0" w:color="auto"/>
        <w:bottom w:val="none" w:sz="0" w:space="0" w:color="auto"/>
        <w:right w:val="none" w:sz="0" w:space="0" w:color="auto"/>
      </w:divBdr>
      <w:divsChild>
        <w:div w:id="2066369112">
          <w:marLeft w:val="0"/>
          <w:marRight w:val="0"/>
          <w:marTop w:val="0"/>
          <w:marBottom w:val="0"/>
          <w:divBdr>
            <w:top w:val="none" w:sz="0" w:space="0" w:color="auto"/>
            <w:left w:val="none" w:sz="0" w:space="0" w:color="auto"/>
            <w:bottom w:val="none" w:sz="0" w:space="0" w:color="auto"/>
            <w:right w:val="none" w:sz="0" w:space="0" w:color="auto"/>
          </w:divBdr>
        </w:div>
        <w:div w:id="608246147">
          <w:marLeft w:val="0"/>
          <w:marRight w:val="0"/>
          <w:marTop w:val="0"/>
          <w:marBottom w:val="0"/>
          <w:divBdr>
            <w:top w:val="none" w:sz="0" w:space="0" w:color="auto"/>
            <w:left w:val="none" w:sz="0" w:space="0" w:color="auto"/>
            <w:bottom w:val="none" w:sz="0" w:space="0" w:color="auto"/>
            <w:right w:val="none" w:sz="0" w:space="0" w:color="auto"/>
          </w:divBdr>
        </w:div>
      </w:divsChild>
    </w:div>
    <w:div w:id="1528836120">
      <w:bodyDiv w:val="1"/>
      <w:marLeft w:val="0"/>
      <w:marRight w:val="0"/>
      <w:marTop w:val="0"/>
      <w:marBottom w:val="0"/>
      <w:divBdr>
        <w:top w:val="none" w:sz="0" w:space="0" w:color="auto"/>
        <w:left w:val="none" w:sz="0" w:space="0" w:color="auto"/>
        <w:bottom w:val="none" w:sz="0" w:space="0" w:color="auto"/>
        <w:right w:val="none" w:sz="0" w:space="0" w:color="auto"/>
      </w:divBdr>
    </w:div>
    <w:div w:id="1667826811">
      <w:bodyDiv w:val="1"/>
      <w:marLeft w:val="0"/>
      <w:marRight w:val="0"/>
      <w:marTop w:val="0"/>
      <w:marBottom w:val="0"/>
      <w:divBdr>
        <w:top w:val="none" w:sz="0" w:space="0" w:color="auto"/>
        <w:left w:val="none" w:sz="0" w:space="0" w:color="auto"/>
        <w:bottom w:val="none" w:sz="0" w:space="0" w:color="auto"/>
        <w:right w:val="none" w:sz="0" w:space="0" w:color="auto"/>
      </w:divBdr>
    </w:div>
    <w:div w:id="2140102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werksaamwf.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rst\Downloads\Sjabloon%20Interne%20Brief%20(3).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2D049B18C8445848FDA6AD853C083" ma:contentTypeVersion="10" ma:contentTypeDescription="Een nieuw document maken." ma:contentTypeScope="" ma:versionID="692e40a40e62f9b599d1adaabb22e7c5">
  <xsd:schema xmlns:xsd="http://www.w3.org/2001/XMLSchema" xmlns:xs="http://www.w3.org/2001/XMLSchema" xmlns:p="http://schemas.microsoft.com/office/2006/metadata/properties" xmlns:ns2="d160eac5-07df-4fb7-a6ab-4f266ed4e5cf" xmlns:ns3="013f02d3-c35e-47b7-acb3-a694ec4d1d4a" targetNamespace="http://schemas.microsoft.com/office/2006/metadata/properties" ma:root="true" ma:fieldsID="36c07d85f21ca92178ac68b4b5edd208" ns2:_="" ns3:_="">
    <xsd:import namespace="d160eac5-07df-4fb7-a6ab-4f266ed4e5cf"/>
    <xsd:import namespace="013f02d3-c35e-47b7-acb3-a694ec4d1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0eac5-07df-4fb7-a6ab-4f266ed4e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f02d3-c35e-47b7-acb3-a694ec4d1d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d55ff-5ce1-4e08-bdd2-1ce6eecb0dbf}" ma:internalName="TaxCatchAll" ma:showField="CatchAllData" ma:web="013f02d3-c35e-47b7-acb3-a694ec4d1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0eac5-07df-4fb7-a6ab-4f266ed4e5cf">
      <Terms xmlns="http://schemas.microsoft.com/office/infopath/2007/PartnerControls"/>
    </lcf76f155ced4ddcb4097134ff3c332f>
    <TaxCatchAll xmlns="013f02d3-c35e-47b7-acb3-a694ec4d1d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B91E1-F254-4B2E-A528-3E6E9DD4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0eac5-07df-4fb7-a6ab-4f266ed4e5cf"/>
    <ds:schemaRef ds:uri="013f02d3-c35e-47b7-acb3-a694ec4d1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E4547-6935-4F20-97ED-47E49E0CAA0D}">
  <ds:schemaRefs>
    <ds:schemaRef ds:uri="http://schemas.openxmlformats.org/officeDocument/2006/bibliography"/>
  </ds:schemaRefs>
</ds:datastoreItem>
</file>

<file path=customXml/itemProps3.xml><?xml version="1.0" encoding="utf-8"?>
<ds:datastoreItem xmlns:ds="http://schemas.openxmlformats.org/officeDocument/2006/customXml" ds:itemID="{F1431675-150E-4658-B98B-91DA6E2A8248}">
  <ds:schemaRefs>
    <ds:schemaRef ds:uri="http://schemas.microsoft.com/office/2006/metadata/properties"/>
    <ds:schemaRef ds:uri="http://schemas.microsoft.com/office/infopath/2007/PartnerControls"/>
    <ds:schemaRef ds:uri="d160eac5-07df-4fb7-a6ab-4f266ed4e5cf"/>
    <ds:schemaRef ds:uri="013f02d3-c35e-47b7-acb3-a694ec4d1d4a"/>
  </ds:schemaRefs>
</ds:datastoreItem>
</file>

<file path=customXml/itemProps4.xml><?xml version="1.0" encoding="utf-8"?>
<ds:datastoreItem xmlns:ds="http://schemas.openxmlformats.org/officeDocument/2006/customXml" ds:itemID="{E06AFEFE-B476-42BB-A40D-73FEB919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Interne Brief (3)</Template>
  <TotalTime>114</TotalTime>
  <Pages>11</Pages>
  <Words>2613</Words>
  <Characters>14373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16953</CharactersWithSpaces>
  <SharedDoc>false</SharedDoc>
  <HLinks>
    <vt:vector size="6" baseType="variant">
      <vt:variant>
        <vt:i4>5111909</vt:i4>
      </vt:variant>
      <vt:variant>
        <vt:i4>3</vt:i4>
      </vt:variant>
      <vt:variant>
        <vt:i4>0</vt:i4>
      </vt:variant>
      <vt:variant>
        <vt:i4>5</vt:i4>
      </vt:variant>
      <vt:variant>
        <vt:lpwstr>mailto:fa@werksaamwf.nl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Borst</dc:creator>
  <cp:keywords/>
  <dc:description/>
  <cp:lastModifiedBy>Susanne Borst</cp:lastModifiedBy>
  <cp:revision>54</cp:revision>
  <cp:lastPrinted>2014-11-17T10:04:00Z</cp:lastPrinted>
  <dcterms:created xsi:type="dcterms:W3CDTF">2025-07-24T12:42:00Z</dcterms:created>
  <dcterms:modified xsi:type="dcterms:W3CDTF">2025-11-03T14:33:00Z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0x010100ECB2D049B18C8445848FDA6AD853C083</vt:lpwstr>
  </property>
  <property fmtid="{D5CDD505-2E9C-101B-9397-08002B2CF9AE}" pid="3" name="MSIP_Label_1a718395-49d7-446a-8106-6756e5d3d588_Enabled">
    <vt:lpwstr>true</vt:lpwstr>
  </property>
  <property fmtid="{D5CDD505-2E9C-101B-9397-08002B2CF9AE}" pid="4" name="MSIP_Label_1a718395-49d7-446a-8106-6756e5d3d588_SetDate">
    <vt:lpwstr>2023-02-03T06:58:59Z</vt:lpwstr>
  </property>
  <property fmtid="{D5CDD505-2E9C-101B-9397-08002B2CF9AE}" pid="5" name="MSIP_Label_1a718395-49d7-446a-8106-6756e5d3d588_Method">
    <vt:lpwstr>Standard</vt:lpwstr>
  </property>
  <property fmtid="{D5CDD505-2E9C-101B-9397-08002B2CF9AE}" pid="6" name="MSIP_Label_1a718395-49d7-446a-8106-6756e5d3d588_Name">
    <vt:lpwstr>1-Basis Niveau</vt:lpwstr>
  </property>
  <property fmtid="{D5CDD505-2E9C-101B-9397-08002B2CF9AE}" pid="7" name="MSIP_Label_1a718395-49d7-446a-8106-6756e5d3d588_SiteId">
    <vt:lpwstr>476a641b-841a-4350-b906-22d459b1bbaf</vt:lpwstr>
  </property>
  <property fmtid="{D5CDD505-2E9C-101B-9397-08002B2CF9AE}" pid="8" name="MSIP_Label_1a718395-49d7-446a-8106-6756e5d3d588_ActionId">
    <vt:lpwstr>184f2409-390e-4934-b482-a12262d78caf</vt:lpwstr>
  </property>
  <property fmtid="{D5CDD505-2E9C-101B-9397-08002B2CF9AE}" pid="9" name="MSIP_Label_1a718395-49d7-446a-8106-6756e5d3d588_ContentBits">
    <vt:lpwstr>0</vt:lpwstr>
  </property>
  <property fmtid="{D5CDD505-2E9C-101B-9397-08002B2CF9AE}" pid="10" name="MediaServiceImageTags">
    <vt:lpwstr/>
  </property>
  <property fmtid="{D5CDD505-2E9C-101B-9397-08002B2CF9AE}" pid="11" name="Order">
    <vt:r8>116900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