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48CD9B59" w14:textId="35D43F64" w:rsidR="001A3EA1" w:rsidRPr="001A3EA1" w:rsidRDefault="00644D00" w:rsidP="001A3EA1">
      <w:pPr>
        <w:widowControl w:val="0"/>
        <w:autoSpaceDE w:val="0"/>
        <w:autoSpaceDN w:val="0"/>
        <w:adjustRightInd w:val="0"/>
        <w:spacing w:line="240" w:lineRule="auto"/>
        <w:rPr>
          <w:rFonts w:eastAsia="MS Mincho" w:cs="Arial"/>
          <w:b/>
          <w:color w:val="312E2F"/>
          <w:szCs w:val="20"/>
          <w:lang w:eastAsia="nl-NL"/>
        </w:rPr>
      </w:pPr>
      <w:r w:rsidRPr="00644D00">
        <w:rPr>
          <w:rFonts w:eastAsiaTheme="majorEastAsia" w:cstheme="majorBidi"/>
          <w:b/>
          <w:bCs/>
          <w:sz w:val="24"/>
          <w:szCs w:val="26"/>
          <w:lang w:eastAsia="nl-NL"/>
        </w:rPr>
        <w:t>Cultuurtechnische Machines</w:t>
      </w:r>
      <w:r w:rsidR="00845F66">
        <w:rPr>
          <w:rFonts w:eastAsiaTheme="majorEastAsia" w:cstheme="majorBidi"/>
          <w:b/>
          <w:bCs/>
          <w:sz w:val="24"/>
          <w:szCs w:val="26"/>
          <w:lang w:eastAsia="nl-NL"/>
        </w:rPr>
        <w:t xml:space="preserve"> perceel 3</w:t>
      </w: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6661896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 </w:t>
      </w:r>
      <w:r w:rsidRPr="001A3EA1">
        <w:rPr>
          <w:rFonts w:eastAsia="MS Mincho" w:cs="Arial"/>
          <w:color w:val="312E2F"/>
          <w:szCs w:val="20"/>
          <w:lang w:eastAsia="nl-NL"/>
        </w:rPr>
        <w:tab/>
      </w:r>
      <w:r w:rsidR="00B76E7D" w:rsidRPr="00B76E7D">
        <w:rPr>
          <w:rFonts w:cs="Arial"/>
          <w:szCs w:val="20"/>
        </w:rPr>
        <w:t>Z.HHL.095092</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2119C4DB"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F3774C">
        <w:rPr>
          <w:rFonts w:asciiTheme="majorHAnsi" w:hAnsiTheme="majorHAnsi" w:cstheme="majorHAnsi"/>
          <w:szCs w:val="20"/>
        </w:rPr>
        <w:t xml:space="preserve">vertegenwoordigd door </w:t>
      </w:r>
      <w:r w:rsidR="00F3774C" w:rsidRPr="00F3774C">
        <w:rPr>
          <w:rFonts w:asciiTheme="majorHAnsi" w:hAnsiTheme="majorHAnsi" w:cstheme="majorHAnsi"/>
          <w:szCs w:val="20"/>
        </w:rPr>
        <w:t>burgemeester</w:t>
      </w:r>
      <w:r w:rsidRPr="00F3774C">
        <w:rPr>
          <w:rFonts w:asciiTheme="majorHAnsi" w:hAnsiTheme="majorHAnsi" w:cstheme="majorHAnsi"/>
          <w:szCs w:val="20"/>
        </w:rPr>
        <w:t>, de heer</w:t>
      </w:r>
      <w:r w:rsidR="00F3774C" w:rsidRPr="00F3774C">
        <w:rPr>
          <w:rFonts w:asciiTheme="majorHAnsi" w:hAnsiTheme="majorHAnsi" w:cstheme="majorHAnsi"/>
          <w:szCs w:val="20"/>
        </w:rPr>
        <w:t xml:space="preserve"> H. Broekhuizen</w:t>
      </w:r>
      <w:r w:rsidRPr="00F3774C">
        <w:rPr>
          <w:rFonts w:asciiTheme="majorHAnsi" w:hAnsiTheme="majorHAnsi" w:cstheme="majorHAnsi"/>
          <w:szCs w:val="20"/>
        </w:rPr>
        <w:t xml:space="preserve"> hierna te noemen ‘Opdrachtgever’</w:t>
      </w:r>
      <w:r w:rsidRPr="003E79FE">
        <w:rPr>
          <w:rFonts w:asciiTheme="majorHAnsi" w:hAnsiTheme="majorHAnsi" w:cstheme="majorHAnsi"/>
          <w:szCs w:val="20"/>
        </w:rPr>
        <w:t>;</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59086ADC"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7E5811">
        <w:rPr>
          <w:rFonts w:asciiTheme="majorHAnsi" w:hAnsiTheme="majorHAnsi" w:cstheme="majorHAnsi"/>
          <w:szCs w:val="20"/>
        </w:rPr>
        <w:t>Opdrachtgever een Europese</w:t>
      </w:r>
      <w:r w:rsidR="00B76E7D" w:rsidRPr="007E5811">
        <w:rPr>
          <w:rFonts w:asciiTheme="majorHAnsi" w:hAnsiTheme="majorHAnsi" w:cstheme="majorHAnsi"/>
          <w:szCs w:val="20"/>
        </w:rPr>
        <w:t xml:space="preserve"> </w:t>
      </w:r>
      <w:r w:rsidRPr="007E5811">
        <w:rPr>
          <w:rFonts w:asciiTheme="majorHAnsi" w:hAnsiTheme="majorHAnsi" w:cstheme="majorHAnsi"/>
          <w:szCs w:val="20"/>
        </w:rPr>
        <w:t>aanbestedingsprocedure</w:t>
      </w:r>
      <w:r w:rsidRPr="003E79FE">
        <w:rPr>
          <w:rFonts w:asciiTheme="majorHAnsi" w:hAnsiTheme="majorHAnsi" w:cstheme="majorHAnsi"/>
          <w:szCs w:val="20"/>
        </w:rPr>
        <w:t xml:space="preserve"> is gestart </w:t>
      </w:r>
      <w:r w:rsidR="007E5811">
        <w:rPr>
          <w:rFonts w:asciiTheme="majorHAnsi" w:hAnsiTheme="majorHAnsi" w:cstheme="majorHAnsi"/>
          <w:szCs w:val="20"/>
        </w:rPr>
        <w:t xml:space="preserve">voor het </w:t>
      </w:r>
      <w:r w:rsidR="007E5811" w:rsidRPr="00AE2938">
        <w:rPr>
          <w:rFonts w:cs="Arial"/>
        </w:rPr>
        <w:t xml:space="preserve">leveren van een uitgebreid en divers assortiment aan machines, werktuigen en gereedschappen. </w:t>
      </w:r>
      <w:r w:rsidRPr="003E79FE">
        <w:rPr>
          <w:rFonts w:asciiTheme="majorHAnsi" w:hAnsiTheme="majorHAnsi" w:cstheme="majorHAnsi"/>
          <w:szCs w:val="20"/>
        </w:rPr>
        <w:t xml:space="preserve">met kenmerk: </w:t>
      </w:r>
      <w:r w:rsidR="007E5811" w:rsidRPr="00B76E7D">
        <w:rPr>
          <w:rFonts w:cs="Arial"/>
          <w:szCs w:val="20"/>
        </w:rPr>
        <w:t>Z.HHL.095092</w:t>
      </w:r>
      <w:r w:rsidR="007E5811">
        <w:rPr>
          <w:rFonts w:cs="Arial"/>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4B1B01C3"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955CAA">
        <w:rPr>
          <w:rFonts w:asciiTheme="majorHAnsi" w:hAnsiTheme="majorHAnsi" w:cstheme="majorHAnsi"/>
          <w:szCs w:val="20"/>
        </w:rPr>
        <w:t>naar aanleiding van deze aanbestedingsprocedure de inschrijving van Opdrachtnemer als ‘’economisch meest voordelige inschrijving op basis van beste kwaliteit”</w:t>
      </w:r>
      <w:r w:rsidR="00955CAA" w:rsidRPr="00955CAA">
        <w:rPr>
          <w:rFonts w:asciiTheme="majorHAnsi" w:hAnsiTheme="majorHAnsi" w:cstheme="majorHAnsi"/>
          <w:szCs w:val="20"/>
        </w:rPr>
        <w:t xml:space="preserve"> </w:t>
      </w:r>
      <w:r w:rsidRPr="00955CAA">
        <w:rPr>
          <w:rFonts w:asciiTheme="majorHAnsi" w:hAnsiTheme="majorHAnsi" w:cstheme="majorHAnsi"/>
          <w:szCs w:val="20"/>
        </w:rPr>
        <w:t>naar</w:t>
      </w:r>
      <w:r w:rsidRPr="003E79FE">
        <w:rPr>
          <w:rFonts w:asciiTheme="majorHAnsi" w:hAnsiTheme="majorHAnsi" w:cstheme="majorHAnsi"/>
          <w:szCs w:val="20"/>
        </w:rPr>
        <w:t xml:space="preserve">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4B64675A" w14:textId="382A35D2"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w:t>
      </w:r>
      <w:r w:rsidR="0008377D">
        <w:rPr>
          <w:rFonts w:asciiTheme="majorHAnsi" w:hAnsiTheme="majorHAnsi" w:cstheme="majorHAnsi"/>
          <w:szCs w:val="20"/>
        </w:rPr>
        <w:t>Raamovereenkomst</w:t>
      </w:r>
      <w:r w:rsidRPr="003E79FE">
        <w:rPr>
          <w:rFonts w:asciiTheme="majorHAnsi" w:hAnsiTheme="majorHAnsi" w:cstheme="majorHAnsi"/>
          <w:szCs w:val="20"/>
        </w:rPr>
        <w:t xml:space="preserve"> heeft betrekking op </w:t>
      </w:r>
      <w:r w:rsidR="00955CAA">
        <w:rPr>
          <w:rFonts w:asciiTheme="majorHAnsi" w:hAnsiTheme="majorHAnsi" w:cstheme="majorHAnsi"/>
          <w:szCs w:val="20"/>
        </w:rPr>
        <w:t>de levering van cultuurtechnische machines binnen perceel 3.</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lastRenderedPageBreak/>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0BED61CD" w14:textId="3C12FF6B"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t xml:space="preserve">Offerteaanvraag (incl. de digitale in </w:t>
      </w:r>
      <w:r w:rsidR="007E5811">
        <w:rPr>
          <w:rFonts w:cs="Arial"/>
          <w:szCs w:val="20"/>
        </w:rPr>
        <w:t>Tenderned</w:t>
      </w:r>
      <w:r w:rsidR="00426B15">
        <w:rPr>
          <w:rFonts w:cs="Arial"/>
          <w:szCs w:val="20"/>
        </w:rPr>
        <w:t xml:space="preserve"> </w:t>
      </w:r>
      <w:r>
        <w:rPr>
          <w:rFonts w:cs="Arial"/>
          <w:szCs w:val="20"/>
        </w:rPr>
        <w:t xml:space="preserve">opgenomen informatie, als de vragenlijst) </w:t>
      </w:r>
      <w:r w:rsidR="002B3CD8">
        <w:rPr>
          <w:rFonts w:cs="Arial"/>
          <w:szCs w:val="20"/>
        </w:rPr>
        <w:t xml:space="preserve">ten behoeve </w:t>
      </w:r>
      <w:r w:rsidR="002B3CD8" w:rsidRPr="007E5811">
        <w:rPr>
          <w:rFonts w:cs="Arial"/>
          <w:szCs w:val="20"/>
        </w:rPr>
        <w:t>van de Europese</w:t>
      </w:r>
      <w:r w:rsidR="002B3CD8">
        <w:rPr>
          <w:rFonts w:cs="Arial"/>
          <w:szCs w:val="20"/>
        </w:rPr>
        <w:t xml:space="preserve">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2B3CD8">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63C12CBD" w14:textId="5694402C"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gaat in op </w:t>
      </w:r>
      <w:r w:rsidR="002E76FF">
        <w:rPr>
          <w:rFonts w:asciiTheme="majorHAnsi" w:hAnsiTheme="majorHAnsi" w:cstheme="majorHAnsi"/>
          <w:szCs w:val="20"/>
        </w:rPr>
        <w:t>16</w:t>
      </w:r>
      <w:r w:rsidR="007E5811">
        <w:rPr>
          <w:rFonts w:asciiTheme="majorHAnsi" w:hAnsiTheme="majorHAnsi" w:cstheme="majorHAnsi"/>
          <w:szCs w:val="20"/>
        </w:rPr>
        <w:t xml:space="preserve"> februari 2026</w:t>
      </w:r>
      <w:r w:rsidRPr="003E79FE">
        <w:rPr>
          <w:rFonts w:asciiTheme="majorHAnsi" w:hAnsiTheme="majorHAnsi" w:cstheme="majorHAnsi"/>
          <w:szCs w:val="20"/>
        </w:rPr>
        <w:t xml:space="preserve"> en eindigt van rechtswege na </w:t>
      </w:r>
      <w:r w:rsidR="00B13A24">
        <w:rPr>
          <w:rFonts w:asciiTheme="majorHAnsi" w:hAnsiTheme="majorHAnsi" w:cstheme="majorHAnsi"/>
          <w:szCs w:val="20"/>
        </w:rPr>
        <w:t>2</w:t>
      </w:r>
      <w:r w:rsidRPr="003E79FE">
        <w:rPr>
          <w:rFonts w:asciiTheme="majorHAnsi" w:hAnsiTheme="majorHAnsi" w:cstheme="majorHAnsi"/>
          <w:szCs w:val="20"/>
        </w:rPr>
        <w:t xml:space="preserve"> jaar op </w:t>
      </w:r>
      <w:r w:rsidR="002E76FF">
        <w:rPr>
          <w:rFonts w:asciiTheme="majorHAnsi" w:hAnsiTheme="majorHAnsi" w:cstheme="majorHAnsi"/>
          <w:szCs w:val="20"/>
        </w:rPr>
        <w:t xml:space="preserve">15 februari </w:t>
      </w:r>
      <w:r w:rsidR="00B13A24">
        <w:rPr>
          <w:rFonts w:asciiTheme="majorHAnsi" w:hAnsiTheme="majorHAnsi" w:cstheme="majorHAnsi"/>
          <w:szCs w:val="20"/>
        </w:rPr>
        <w:t>202</w:t>
      </w:r>
      <w:r w:rsidR="002E76FF">
        <w:rPr>
          <w:rFonts w:asciiTheme="majorHAnsi" w:hAnsiTheme="majorHAnsi" w:cstheme="majorHAnsi"/>
          <w:szCs w:val="20"/>
        </w:rPr>
        <w:t>8</w:t>
      </w:r>
      <w:r w:rsidRPr="003E79FE">
        <w:rPr>
          <w:rFonts w:asciiTheme="majorHAnsi" w:hAnsiTheme="majorHAnsi" w:cstheme="majorHAnsi"/>
          <w:szCs w:val="20"/>
        </w:rPr>
        <w:t>.</w:t>
      </w:r>
    </w:p>
    <w:p w14:paraId="256F77B7" w14:textId="017162E8" w:rsidR="00EB3531"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maximaal </w:t>
      </w:r>
      <w:r w:rsidR="00B13A24">
        <w:rPr>
          <w:rFonts w:asciiTheme="majorHAnsi" w:hAnsiTheme="majorHAnsi" w:cstheme="majorHAnsi"/>
          <w:szCs w:val="20"/>
        </w:rPr>
        <w:t>1</w:t>
      </w:r>
      <w:r w:rsidRPr="003E79FE">
        <w:rPr>
          <w:rFonts w:asciiTheme="majorHAnsi" w:hAnsiTheme="majorHAnsi" w:cstheme="majorHAnsi"/>
          <w:szCs w:val="20"/>
        </w:rPr>
        <w:t xml:space="preserve"> keer met </w:t>
      </w:r>
      <w:r w:rsidR="00B13A24">
        <w:rPr>
          <w:rFonts w:asciiTheme="majorHAnsi" w:hAnsiTheme="majorHAnsi" w:cstheme="majorHAnsi"/>
          <w:szCs w:val="20"/>
        </w:rPr>
        <w:t>2</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1B3CE0">
        <w:rPr>
          <w:rFonts w:asciiTheme="majorHAnsi" w:hAnsiTheme="majorHAnsi" w:cstheme="majorHAnsi"/>
          <w:szCs w:val="20"/>
        </w:rPr>
        <w:t>3</w:t>
      </w:r>
      <w:r w:rsidRPr="00004719">
        <w:rPr>
          <w:rFonts w:asciiTheme="majorHAnsi" w:hAnsiTheme="majorHAnsi" w:cstheme="majorHAnsi"/>
          <w:szCs w:val="20"/>
        </w:rPr>
        <w:t xml:space="preserve"> maanden voor het einde van de </w:t>
      </w:r>
      <w:r w:rsidR="0008377D">
        <w:rPr>
          <w:rFonts w:asciiTheme="majorHAnsi" w:hAnsiTheme="majorHAnsi" w:cstheme="majorHAnsi"/>
          <w:szCs w:val="20"/>
        </w:rPr>
        <w:t>Raamovereenkomst</w:t>
      </w:r>
      <w:r w:rsidRPr="00004719">
        <w:rPr>
          <w:rFonts w:asciiTheme="majorHAnsi" w:hAnsiTheme="majorHAnsi" w:cstheme="majorHAnsi"/>
          <w:szCs w:val="20"/>
        </w:rPr>
        <w:t xml:space="preserve"> schriftelijk kenbaar maken aan Opdrachtnemer of hij gebruik maakt van het recht op verlenging en in welke omvang qua volume deze verlenging plaatsvindt. </w:t>
      </w:r>
    </w:p>
    <w:p w14:paraId="6A5086AA" w14:textId="788D2E11"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 xml:space="preserve">De Raamovereenkomst is ten volle benut en </w:t>
      </w:r>
      <w:r w:rsidR="00DB51C8">
        <w:rPr>
          <w:rFonts w:asciiTheme="majorHAnsi" w:hAnsiTheme="majorHAnsi" w:cstheme="majorHAnsi"/>
          <w:szCs w:val="20"/>
        </w:rPr>
        <w:t>eindigt daarmee van rechtswege</w:t>
      </w:r>
      <w:r w:rsidRPr="00BD55EF">
        <w:rPr>
          <w:rFonts w:asciiTheme="majorHAnsi" w:hAnsiTheme="majorHAnsi" w:cstheme="majorHAnsi"/>
          <w:szCs w:val="20"/>
        </w:rPr>
        <w:t xml:space="preserve">, op het moment dat de maximale opdrachtwaarde is bereikt. De maximale </w:t>
      </w:r>
      <w:r w:rsidRPr="006D2DA1">
        <w:rPr>
          <w:rFonts w:asciiTheme="majorHAnsi" w:hAnsiTheme="majorHAnsi" w:cstheme="majorHAnsi"/>
          <w:szCs w:val="20"/>
        </w:rPr>
        <w:t>opdrachtwaarde wordt vastgesteld op basis van de geraamde waarde van de opdracht</w:t>
      </w:r>
      <w:r w:rsidR="001F4C1F">
        <w:rPr>
          <w:rFonts w:asciiTheme="majorHAnsi" w:hAnsiTheme="majorHAnsi" w:cstheme="majorHAnsi"/>
          <w:szCs w:val="20"/>
        </w:rPr>
        <w:t xml:space="preserve"> (€ 170.000)</w:t>
      </w:r>
      <w:r w:rsidRPr="006D2DA1">
        <w:rPr>
          <w:rFonts w:asciiTheme="majorHAnsi" w:hAnsiTheme="majorHAnsi" w:cstheme="majorHAnsi"/>
          <w:szCs w:val="20"/>
        </w:rPr>
        <w:t xml:space="preserve">, vermeerderd met </w:t>
      </w:r>
      <w:r w:rsidR="001F4C1F">
        <w:rPr>
          <w:rFonts w:asciiTheme="majorHAnsi" w:hAnsiTheme="majorHAnsi" w:cstheme="majorHAnsi"/>
          <w:szCs w:val="20"/>
        </w:rPr>
        <w:t>40</w:t>
      </w:r>
      <w:r w:rsidRPr="006D2DA1">
        <w:rPr>
          <w:rFonts w:asciiTheme="majorHAnsi" w:hAnsiTheme="majorHAnsi" w:cstheme="majorHAnsi"/>
          <w:szCs w:val="20"/>
        </w:rPr>
        <w:t xml:space="preserve">%. De maximale waarde bedraagt: </w:t>
      </w:r>
      <w:r w:rsidR="006D2DA1" w:rsidRPr="006D2DA1">
        <w:rPr>
          <w:rFonts w:cs="Arial"/>
        </w:rPr>
        <w:t xml:space="preserve">€ </w:t>
      </w:r>
      <w:r w:rsidR="0053409E">
        <w:rPr>
          <w:rFonts w:cs="Arial"/>
        </w:rPr>
        <w:t>238.000</w:t>
      </w:r>
      <w:r w:rsidR="006D2DA1" w:rsidRPr="006D2DA1">
        <w:rPr>
          <w:rFonts w:cs="Arial"/>
        </w:rPr>
        <w:t xml:space="preserve">,-. </w:t>
      </w:r>
      <w:r w:rsidRPr="006D2DA1">
        <w:rPr>
          <w:rFonts w:asciiTheme="majorHAnsi" w:hAnsiTheme="majorHAnsi" w:cstheme="majorHAnsi"/>
          <w:szCs w:val="20"/>
        </w:rPr>
        <w:t>exclusief BTW.</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504CD37D"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53409E">
        <w:rPr>
          <w:rFonts w:asciiTheme="majorHAnsi" w:hAnsiTheme="majorHAnsi" w:cstheme="majorHAnsi"/>
          <w:szCs w:val="20"/>
        </w:rPr>
        <w:t>6</w:t>
      </w:r>
      <w:r w:rsidRPr="003E79FE">
        <w:rPr>
          <w:rFonts w:asciiTheme="majorHAnsi" w:hAnsiTheme="majorHAnsi" w:cstheme="majorHAnsi"/>
          <w:szCs w:val="20"/>
        </w:rPr>
        <w:t xml:space="preserve"> maanden.</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64CD8449" w14:textId="77777777" w:rsidR="001E1B03" w:rsidRPr="001E1B03" w:rsidRDefault="001E1B03" w:rsidP="001E1B03">
      <w:pPr>
        <w:pStyle w:val="Lijstalinea"/>
        <w:numPr>
          <w:ilvl w:val="1"/>
          <w:numId w:val="12"/>
        </w:numPr>
        <w:jc w:val="both"/>
        <w:rPr>
          <w:rFonts w:asciiTheme="majorHAnsi" w:hAnsiTheme="majorHAnsi" w:cstheme="majorHAnsi"/>
          <w:szCs w:val="20"/>
        </w:rPr>
      </w:pPr>
      <w:r w:rsidRPr="001E1B03">
        <w:rPr>
          <w:rFonts w:asciiTheme="majorHAnsi" w:hAnsiTheme="majorHAnsi" w:cstheme="majorHAnsi"/>
          <w:szCs w:val="20"/>
        </w:rPr>
        <w:t>De prijs voor de aanschaf, onderhoud en keuring zal worden vastgesteld na afronding van de minicompetitie.</w:t>
      </w:r>
    </w:p>
    <w:p w14:paraId="3B58D091" w14:textId="6D4BF9DB" w:rsidR="001E1B03" w:rsidRPr="001E1B03" w:rsidRDefault="001E1B03" w:rsidP="001E1B03">
      <w:pPr>
        <w:pStyle w:val="Lijstalinea"/>
        <w:numPr>
          <w:ilvl w:val="1"/>
          <w:numId w:val="12"/>
        </w:numPr>
        <w:jc w:val="both"/>
        <w:rPr>
          <w:rFonts w:asciiTheme="majorHAnsi" w:hAnsiTheme="majorHAnsi" w:cstheme="majorHAnsi"/>
          <w:szCs w:val="20"/>
        </w:rPr>
      </w:pPr>
      <w:r w:rsidRPr="001E1B03">
        <w:rPr>
          <w:rFonts w:asciiTheme="majorHAnsi" w:hAnsiTheme="majorHAnsi" w:cstheme="majorHAnsi"/>
          <w:szCs w:val="20"/>
        </w:rPr>
        <w:t xml:space="preserve">Het onderhoud mag jaarlijks worden geïndexeerd conform de CBS index: reparatie en installatie van machines (2015=100). Per </w:t>
      </w:r>
      <w:r w:rsidR="00F41F69">
        <w:rPr>
          <w:rFonts w:asciiTheme="majorHAnsi" w:hAnsiTheme="majorHAnsi" w:cstheme="majorHAnsi"/>
          <w:szCs w:val="20"/>
        </w:rPr>
        <w:t>16</w:t>
      </w:r>
      <w:r w:rsidRPr="001E1B03">
        <w:rPr>
          <w:rFonts w:asciiTheme="majorHAnsi" w:hAnsiTheme="majorHAnsi" w:cstheme="majorHAnsi"/>
          <w:szCs w:val="20"/>
        </w:rPr>
        <w:t xml:space="preserve"> februari 2027 mag er voor het eerst geïndexeerd worden. Prijswijzigingen zijn één (1) keer per jaar mogelijk, per ingang van het eventuele navolgende contractjaar, altijd ingaande op </w:t>
      </w:r>
      <w:r w:rsidR="00F41F69">
        <w:rPr>
          <w:rFonts w:asciiTheme="majorHAnsi" w:hAnsiTheme="majorHAnsi" w:cstheme="majorHAnsi"/>
          <w:szCs w:val="20"/>
        </w:rPr>
        <w:t>16</w:t>
      </w:r>
      <w:r w:rsidRPr="001E1B03">
        <w:rPr>
          <w:rFonts w:asciiTheme="majorHAnsi" w:hAnsiTheme="majorHAnsi" w:cstheme="majorHAnsi"/>
          <w:szCs w:val="20"/>
        </w:rPr>
        <w:t xml:space="preserve"> februari van het betreffende jaar. Opdrachtnemer legt een prijswijzigingsvoorstel minimaal drie (3) maanden voorafgaand aan een eventuele prijswijziging ingaande per </w:t>
      </w:r>
      <w:r w:rsidR="00F41F69">
        <w:rPr>
          <w:rFonts w:asciiTheme="majorHAnsi" w:hAnsiTheme="majorHAnsi" w:cstheme="majorHAnsi"/>
          <w:szCs w:val="20"/>
        </w:rPr>
        <w:t>16</w:t>
      </w:r>
      <w:r w:rsidRPr="001E1B03">
        <w:rPr>
          <w:rFonts w:asciiTheme="majorHAnsi" w:hAnsiTheme="majorHAnsi" w:cstheme="majorHAnsi"/>
          <w:szCs w:val="20"/>
        </w:rPr>
        <w:t xml:space="preserve"> februari van het betreffende contractjaar eerst ter goedkeuring voor aan Opdrachtgever, welke voor akkoord zal moeten tekenen.</w:t>
      </w:r>
    </w:p>
    <w:p w14:paraId="72D841B0" w14:textId="2D3209D1"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w:t>
      </w:r>
      <w:r w:rsidR="006B616E" w:rsidRPr="000D4385">
        <w:rPr>
          <w:rFonts w:asciiTheme="majorHAnsi" w:hAnsiTheme="majorHAnsi" w:cstheme="majorHAnsi"/>
          <w:szCs w:val="20"/>
          <w:highlight w:val="lightGray"/>
        </w:rPr>
        <w:t>&lt;of een andere betalingsafspraak&gt;</w:t>
      </w:r>
      <w:r w:rsidR="006B616E">
        <w:rPr>
          <w:rFonts w:asciiTheme="majorHAnsi" w:hAnsiTheme="majorHAnsi" w:cstheme="majorHAnsi"/>
          <w:szCs w:val="20"/>
        </w:rPr>
        <w:t xml:space="preserve"> </w:t>
      </w:r>
      <w:r w:rsidRPr="00587ED5">
        <w:rPr>
          <w:rFonts w:asciiTheme="majorHAnsi" w:hAnsiTheme="majorHAnsi" w:cstheme="majorHAnsi"/>
          <w:szCs w:val="20"/>
        </w:rPr>
        <w:t xml:space="preserve">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r w:rsidRPr="00587ED5">
        <w:rPr>
          <w:rFonts w:asciiTheme="majorHAnsi" w:hAnsiTheme="majorHAnsi" w:cstheme="majorHAnsi"/>
          <w:szCs w:val="20"/>
          <w:highlight w:val="lightGray"/>
        </w:rPr>
        <w:t>&lt;nader te bepalen e-mailadres&gt;.</w:t>
      </w:r>
    </w:p>
    <w:p w14:paraId="4D90AAFB" w14:textId="48E2BC8D"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moet zijn voorzien van </w:t>
      </w:r>
      <w:r w:rsidRPr="00587ED5">
        <w:rPr>
          <w:rFonts w:asciiTheme="majorHAnsi" w:hAnsiTheme="majorHAnsi" w:cstheme="majorHAnsi"/>
          <w:szCs w:val="20"/>
          <w:highlight w:val="lightGray"/>
        </w:rPr>
        <w:t>&lt;eisen factuur die door het team Administratie worden gesteld (verplichtingen administratie), verwijzing Programma van Eisen, bijvoorbeeld prijs/eenheid en contract- en/of Opdrachtnummer. Facturen zonder dit nummer worden niet in behandeling genomen&gt;.</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7140C10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lastRenderedPageBreak/>
        <w:t>Opdrachtnemer is jegens derden en de Opdrachtgever aansprakelijk voor diens handelen of na</w:t>
      </w:r>
      <w:r w:rsidR="004010F7">
        <w:rPr>
          <w:rFonts w:asciiTheme="majorHAnsi" w:hAnsiTheme="majorHAnsi" w:cstheme="majorHAnsi"/>
          <w:szCs w:val="20"/>
        </w:rPr>
        <w:t xml:space="preserve">laten bij de uitvoering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3B18FBE6"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54764D36"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 xml:space="preserve">. </w:t>
      </w:r>
      <w:r w:rsidR="00A65260" w:rsidRPr="00A65260">
        <w:rPr>
          <w:rFonts w:asciiTheme="majorHAnsi" w:hAnsiTheme="majorHAnsi" w:cstheme="majorHAnsi"/>
          <w:szCs w:val="20"/>
          <w:highlight w:val="lightGray"/>
        </w:rPr>
        <w:t>&lt;of hoger bij grote opdrachten&gt;</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221CCE84"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DC3BF3">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lastRenderedPageBreak/>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lastRenderedPageBreak/>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61BC8759"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Pr="00823052">
        <w:rPr>
          <w:rFonts w:asciiTheme="majorHAnsi" w:hAnsiTheme="majorHAnsi" w:cstheme="majorHAnsi"/>
          <w:szCs w:val="20"/>
        </w:rPr>
        <w:t xml:space="preserve">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t>Bibob</w:t>
      </w:r>
    </w:p>
    <w:p w14:paraId="49404225" w14:textId="7F47B78C"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w:t>
      </w:r>
      <w:r w:rsidR="0008377D">
        <w:rPr>
          <w:rFonts w:asciiTheme="majorHAnsi" w:hAnsiTheme="majorHAnsi" w:cstheme="majorHAnsi"/>
          <w:szCs w:val="20"/>
        </w:rPr>
        <w:t>Raamovereenkomst</w:t>
      </w:r>
      <w:r>
        <w:rPr>
          <w:rFonts w:asciiTheme="majorHAnsi" w:hAnsiTheme="majorHAnsi" w:cstheme="majorHAnsi"/>
          <w:szCs w:val="20"/>
        </w:rPr>
        <w:t xml:space="preserve"> </w:t>
      </w:r>
      <w:r w:rsidRPr="00C621C6">
        <w:rPr>
          <w:rFonts w:asciiTheme="majorHAnsi" w:hAnsiTheme="majorHAnsi" w:cstheme="majorHAnsi"/>
          <w:szCs w:val="20"/>
        </w:rPr>
        <w:t>kan er op basis van signalen een Bibob-onderzoek plaatsvinden</w:t>
      </w:r>
      <w:r w:rsidR="00BB2ADC">
        <w:rPr>
          <w:rFonts w:asciiTheme="majorHAnsi" w:hAnsiTheme="majorHAnsi" w:cstheme="majorHAnsi"/>
          <w:szCs w:val="20"/>
        </w:rPr>
        <w:t>.</w:t>
      </w:r>
    </w:p>
    <w:p w14:paraId="6F05D2F0" w14:textId="6921F771"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r w:rsidR="00C621C6" w:rsidRPr="00C621C6">
        <w:rPr>
          <w:rFonts w:asciiTheme="majorHAnsi" w:hAnsiTheme="majorHAnsi" w:cstheme="majorHAnsi"/>
          <w:szCs w:val="20"/>
        </w:rPr>
        <w:t>Bibob-onderzoek g</w:t>
      </w:r>
      <w:r w:rsidR="00C621C6">
        <w:rPr>
          <w:rFonts w:asciiTheme="majorHAnsi" w:hAnsiTheme="majorHAnsi" w:cstheme="majorHAnsi"/>
          <w:szCs w:val="20"/>
        </w:rPr>
        <w:t xml:space="preserve">edurende de looptijd van deze </w:t>
      </w:r>
      <w:r w:rsidR="0008377D">
        <w:rPr>
          <w:rFonts w:asciiTheme="majorHAnsi" w:hAnsiTheme="majorHAnsi" w:cstheme="majorHAnsi"/>
          <w:szCs w:val="20"/>
        </w:rPr>
        <w:t>Raamovereenkomst</w:t>
      </w:r>
      <w:r w:rsidR="00C621C6" w:rsidRPr="00C621C6">
        <w:rPr>
          <w:rFonts w:asciiTheme="majorHAnsi" w:hAnsiTheme="majorHAnsi" w:cstheme="majorHAnsi"/>
          <w:szCs w:val="20"/>
        </w:rPr>
        <w:t xml:space="preserve"> zal zich mede uitstrekken over de zakelijke relaties (in de zin van artikel 3, vierde lid van de Wet Bibo</w:t>
      </w:r>
      <w:r w:rsidR="00C621C6">
        <w:rPr>
          <w:rFonts w:asciiTheme="majorHAnsi" w:hAnsiTheme="majorHAnsi" w:cstheme="majorHAnsi"/>
          <w:szCs w:val="20"/>
        </w:rPr>
        <w:t xml:space="preserve">b)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4A883E8D"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Bibob-</w:t>
      </w:r>
      <w:r w:rsidRPr="00442976">
        <w:rPr>
          <w:rFonts w:asciiTheme="majorHAnsi" w:hAnsiTheme="majorHAnsi" w:cstheme="majorHAnsi"/>
          <w:szCs w:val="20"/>
        </w:rPr>
        <w:t xml:space="preserve">onderzoek, naast ontbinding zoals genoemd in artikel 7 lid 1 van deze </w:t>
      </w:r>
      <w:r w:rsidR="0008377D">
        <w:rPr>
          <w:rFonts w:asciiTheme="majorHAnsi" w:hAnsiTheme="majorHAnsi" w:cstheme="majorHAnsi"/>
          <w:szCs w:val="20"/>
        </w:rPr>
        <w:t>Raamovereenkomst</w:t>
      </w:r>
      <w:r w:rsidRPr="00442976">
        <w:rPr>
          <w:rFonts w:asciiTheme="majorHAnsi" w:hAnsiTheme="majorHAnsi" w:cstheme="majorHAnsi"/>
          <w:szCs w:val="20"/>
        </w:rPr>
        <w: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5C06AFE6"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00014046" w:rsidRPr="003E79FE">
        <w:rPr>
          <w:rFonts w:asciiTheme="majorHAnsi" w:hAnsiTheme="majorHAnsi" w:cstheme="majorHAnsi"/>
          <w:szCs w:val="20"/>
        </w:rPr>
        <w:t xml:space="preserve">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600FC8A6"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welke naar hun aard bestemd zijn om ook na het einde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voort te duren, blijven na beëindiging jegens de betreffende Partij bestaan.</w:t>
      </w:r>
    </w:p>
    <w:p w14:paraId="454F964E" w14:textId="432D84B4"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w:t>
      </w:r>
      <w:r w:rsidR="0008377D">
        <w:rPr>
          <w:rFonts w:asciiTheme="majorHAnsi" w:hAnsiTheme="majorHAnsi" w:cstheme="majorHAnsi"/>
          <w:szCs w:val="20"/>
        </w:rPr>
        <w:t>Raamovereenkomst</w:t>
      </w:r>
      <w:r w:rsidRPr="00823052">
        <w:rPr>
          <w:rFonts w:asciiTheme="majorHAnsi" w:hAnsiTheme="majorHAnsi" w:cstheme="majorHAnsi"/>
          <w:szCs w:val="20"/>
        </w:rPr>
        <w:t xml:space="preserve">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w:t>
      </w:r>
      <w:r w:rsidR="0008377D">
        <w:rPr>
          <w:rFonts w:asciiTheme="majorHAnsi" w:hAnsiTheme="majorHAnsi" w:cstheme="majorHAnsi"/>
          <w:szCs w:val="20"/>
        </w:rPr>
        <w:t>Raamovereenkomst</w:t>
      </w:r>
      <w:r w:rsidRPr="00823052">
        <w:rPr>
          <w:rFonts w:asciiTheme="majorHAnsi" w:hAnsiTheme="majorHAnsi" w:cstheme="majorHAnsi"/>
          <w:szCs w:val="20"/>
        </w:rPr>
        <w:t>.</w:t>
      </w:r>
    </w:p>
    <w:p w14:paraId="7137E77E" w14:textId="3458536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Opdrachtnemer mag de rechten en 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62BC66AE"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Alle geschillen in verband met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671FA114" w14:textId="051242EF"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lastRenderedPageBreak/>
        <w:t xml:space="preserve">Indien een of meer bepalingen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Pr>
          <w:rFonts w:asciiTheme="majorHAnsi" w:hAnsiTheme="majorHAnsi" w:cstheme="majorHAnsi"/>
          <w:szCs w:val="20"/>
        </w:rPr>
        <w:t>Raamovereenkomst</w:t>
      </w:r>
      <w:r w:rsidRPr="003E79FE">
        <w:rPr>
          <w:rFonts w:asciiTheme="majorHAnsi" w:hAnsiTheme="majorHAnsi" w:cstheme="majorHAnsi"/>
          <w:szCs w:val="20"/>
        </w:rPr>
        <w:t>) afwijken van de niet-verbindende bepalingen.</w:t>
      </w:r>
    </w:p>
    <w:p w14:paraId="3CFFC15B" w14:textId="13B37C0D" w:rsidR="001A3EA1" w:rsidRPr="003E79FE" w:rsidRDefault="001A3EA1" w:rsidP="003E79FE">
      <w:pPr>
        <w:tabs>
          <w:tab w:val="left" w:pos="1170"/>
        </w:tabs>
        <w:jc w:val="both"/>
        <w:rPr>
          <w:rFonts w:asciiTheme="majorHAnsi" w:hAnsiTheme="majorHAnsi" w:cstheme="majorHAnsi"/>
          <w:szCs w:val="20"/>
        </w:rPr>
      </w:pPr>
    </w:p>
    <w:p w14:paraId="7DB80E8C" w14:textId="77777777" w:rsidR="00BB2ADC" w:rsidRDefault="00BB2ADC" w:rsidP="003E79FE">
      <w:pPr>
        <w:tabs>
          <w:tab w:val="left" w:pos="1170"/>
        </w:tabs>
        <w:jc w:val="both"/>
        <w:rPr>
          <w:rFonts w:asciiTheme="majorHAnsi" w:hAnsiTheme="majorHAnsi" w:cstheme="majorHAnsi"/>
          <w:b/>
          <w:szCs w:val="20"/>
        </w:rPr>
      </w:pPr>
    </w:p>
    <w:p w14:paraId="1CFDCC96" w14:textId="77777777" w:rsidR="00BB2ADC" w:rsidRDefault="00BB2ADC" w:rsidP="003E79FE">
      <w:pPr>
        <w:tabs>
          <w:tab w:val="left" w:pos="1170"/>
        </w:tabs>
        <w:jc w:val="both"/>
        <w:rPr>
          <w:rFonts w:asciiTheme="majorHAnsi" w:hAnsiTheme="majorHAnsi" w:cstheme="majorHAnsi"/>
          <w:b/>
          <w:szCs w:val="20"/>
        </w:rPr>
      </w:pPr>
    </w:p>
    <w:p w14:paraId="70799D5A" w14:textId="77777777" w:rsidR="00BB2ADC" w:rsidRDefault="00BB2ADC" w:rsidP="003E79FE">
      <w:pPr>
        <w:tabs>
          <w:tab w:val="left" w:pos="1170"/>
        </w:tabs>
        <w:jc w:val="both"/>
        <w:rPr>
          <w:rFonts w:asciiTheme="majorHAnsi" w:hAnsiTheme="majorHAnsi" w:cstheme="majorHAnsi"/>
          <w:b/>
          <w:szCs w:val="20"/>
        </w:rPr>
      </w:pPr>
    </w:p>
    <w:p w14:paraId="3DB0BF44" w14:textId="77777777" w:rsidR="00BB2ADC" w:rsidRDefault="00BB2ADC" w:rsidP="003E79FE">
      <w:pPr>
        <w:tabs>
          <w:tab w:val="left" w:pos="1170"/>
        </w:tabs>
        <w:jc w:val="both"/>
        <w:rPr>
          <w:rFonts w:asciiTheme="majorHAnsi" w:hAnsiTheme="majorHAnsi" w:cstheme="majorHAnsi"/>
          <w:b/>
          <w:szCs w:val="20"/>
        </w:rPr>
      </w:pPr>
    </w:p>
    <w:p w14:paraId="314E016A" w14:textId="77777777" w:rsidR="00BB2ADC" w:rsidRDefault="00BB2ADC" w:rsidP="003E79FE">
      <w:pPr>
        <w:tabs>
          <w:tab w:val="left" w:pos="1170"/>
        </w:tabs>
        <w:jc w:val="both"/>
        <w:rPr>
          <w:rFonts w:asciiTheme="majorHAnsi" w:hAnsiTheme="majorHAnsi" w:cstheme="majorHAnsi"/>
          <w:b/>
          <w:szCs w:val="20"/>
        </w:rPr>
      </w:pP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9BBA655" w14:textId="77777777" w:rsidR="006A5002" w:rsidRPr="003E79FE" w:rsidRDefault="006A5002" w:rsidP="006A5002">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3EE8EBE9" w14:textId="77777777" w:rsidR="006A5002" w:rsidRPr="003E79FE"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08AF2C1B" w14:textId="77777777" w:rsidR="006A5002"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433BAED9" w14:textId="77777777" w:rsidR="006A5002" w:rsidRDefault="006A5002" w:rsidP="006A5002">
      <w:pPr>
        <w:tabs>
          <w:tab w:val="left" w:pos="1170"/>
        </w:tabs>
        <w:jc w:val="both"/>
        <w:rPr>
          <w:rFonts w:asciiTheme="majorHAnsi" w:hAnsiTheme="majorHAnsi" w:cstheme="majorHAnsi"/>
          <w:szCs w:val="20"/>
        </w:rPr>
      </w:pPr>
    </w:p>
    <w:p w14:paraId="63AF86A8" w14:textId="77777777" w:rsidR="006A5002" w:rsidRPr="003E79FE"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5FCDD457" w14:textId="77777777" w:rsidR="006A5002" w:rsidRDefault="006A5002" w:rsidP="006A5002">
      <w:pPr>
        <w:tabs>
          <w:tab w:val="left" w:pos="1170"/>
        </w:tabs>
        <w:jc w:val="both"/>
        <w:rPr>
          <w:rFonts w:asciiTheme="majorHAnsi" w:hAnsiTheme="majorHAnsi" w:cstheme="majorHAnsi"/>
          <w:szCs w:val="20"/>
        </w:rPr>
      </w:pPr>
    </w:p>
    <w:p w14:paraId="7657EA5D" w14:textId="77777777" w:rsidR="006A5002" w:rsidRPr="003E79FE" w:rsidRDefault="006A5002" w:rsidP="006A5002">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25C6ED0B" w14:textId="77777777" w:rsidR="006A5002" w:rsidRPr="003E79FE" w:rsidRDefault="006A5002" w:rsidP="006A5002">
      <w:pPr>
        <w:tabs>
          <w:tab w:val="left" w:pos="1170"/>
        </w:tabs>
        <w:jc w:val="both"/>
        <w:rPr>
          <w:rFonts w:asciiTheme="majorHAnsi" w:hAnsiTheme="majorHAnsi" w:cstheme="majorHAnsi"/>
          <w:szCs w:val="20"/>
        </w:rPr>
      </w:pPr>
    </w:p>
    <w:p w14:paraId="5B809131" w14:textId="77777777" w:rsidR="006A5002" w:rsidRPr="003E79FE" w:rsidRDefault="006A5002" w:rsidP="006A5002">
      <w:pPr>
        <w:tabs>
          <w:tab w:val="left" w:pos="1170"/>
        </w:tabs>
        <w:jc w:val="both"/>
        <w:rPr>
          <w:rFonts w:asciiTheme="majorHAnsi" w:hAnsiTheme="majorHAnsi" w:cstheme="majorHAnsi"/>
          <w:szCs w:val="20"/>
        </w:rPr>
      </w:pPr>
    </w:p>
    <w:p w14:paraId="6E4EE89A" w14:textId="77777777" w:rsidR="006A5002" w:rsidRDefault="006A5002" w:rsidP="006A5002">
      <w:pPr>
        <w:tabs>
          <w:tab w:val="left" w:pos="1170"/>
        </w:tabs>
        <w:jc w:val="both"/>
        <w:rPr>
          <w:rFonts w:asciiTheme="majorHAnsi" w:hAnsiTheme="majorHAnsi" w:cstheme="majorHAnsi"/>
          <w:szCs w:val="20"/>
        </w:rPr>
      </w:pPr>
    </w:p>
    <w:p w14:paraId="643E5A0C" w14:textId="77777777" w:rsidR="006A5002" w:rsidRPr="003E79FE" w:rsidRDefault="006A5002" w:rsidP="006A5002">
      <w:pPr>
        <w:tabs>
          <w:tab w:val="left" w:pos="1170"/>
        </w:tabs>
        <w:jc w:val="both"/>
        <w:rPr>
          <w:rFonts w:asciiTheme="majorHAnsi" w:hAnsiTheme="majorHAnsi" w:cstheme="majorHAnsi"/>
          <w:szCs w:val="20"/>
        </w:rPr>
      </w:pPr>
    </w:p>
    <w:p w14:paraId="4711732C" w14:textId="77777777" w:rsidR="006A5002" w:rsidRPr="003E79FE" w:rsidRDefault="006A5002" w:rsidP="006A5002">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2649D3AD" w14:textId="339BFFFF" w:rsidR="00BB2ADC" w:rsidRDefault="00BB2ADC" w:rsidP="001A3EA1">
      <w:pPr>
        <w:tabs>
          <w:tab w:val="left" w:pos="1170"/>
        </w:tabs>
        <w:jc w:val="both"/>
      </w:pPr>
    </w:p>
    <w:p w14:paraId="02B8A1DF" w14:textId="7C9324C5" w:rsidR="00BB2ADC" w:rsidRDefault="00BB2ADC" w:rsidP="001A3EA1">
      <w:pPr>
        <w:tabs>
          <w:tab w:val="left" w:pos="1170"/>
        </w:tabs>
        <w:jc w:val="both"/>
      </w:pPr>
    </w:p>
    <w:p w14:paraId="27765653" w14:textId="5D97E365" w:rsidR="00C25000" w:rsidRDefault="00C25000" w:rsidP="00C25000">
      <w:pPr>
        <w:pStyle w:val="Geenafstand"/>
        <w:rPr>
          <w:rFonts w:eastAsiaTheme="majorEastAsia" w:cstheme="majorBidi"/>
          <w:b/>
          <w:bCs/>
          <w:sz w:val="24"/>
          <w:szCs w:val="26"/>
          <w:lang w:eastAsia="nl-NL"/>
        </w:rPr>
      </w:pPr>
      <w:bookmarkStart w:id="0" w:name="_Hlk12369980"/>
      <w:r w:rsidRPr="002F2323">
        <w:rPr>
          <w:rFonts w:eastAsia="Calibri" w:cs="Arial"/>
          <w:b/>
          <w:sz w:val="24"/>
        </w:rPr>
        <w:t xml:space="preserve">Bijlagevel </w:t>
      </w:r>
      <w:r w:rsidR="0008377D" w:rsidRPr="002F2323">
        <w:rPr>
          <w:rFonts w:eastAsia="Calibri" w:cs="Arial"/>
          <w:b/>
          <w:sz w:val="24"/>
        </w:rPr>
        <w:t>Raamovereenkomst</w:t>
      </w:r>
      <w:r w:rsidRPr="002F2323">
        <w:rPr>
          <w:rFonts w:eastAsia="Calibri" w:cs="Arial"/>
          <w:b/>
          <w:sz w:val="24"/>
        </w:rPr>
        <w:t xml:space="preserve"> </w:t>
      </w:r>
      <w:r w:rsidRPr="002F2323">
        <w:rPr>
          <w:rFonts w:eastAsiaTheme="majorEastAsia" w:cstheme="majorBidi"/>
          <w:b/>
          <w:bCs/>
          <w:sz w:val="24"/>
          <w:szCs w:val="26"/>
          <w:lang w:eastAsia="nl-NL"/>
        </w:rPr>
        <w:t>Europees openbare</w:t>
      </w:r>
      <w:r w:rsidR="00AF30FD" w:rsidRPr="002F2323">
        <w:rPr>
          <w:rFonts w:eastAsiaTheme="majorEastAsia" w:cstheme="majorBidi"/>
          <w:b/>
          <w:bCs/>
          <w:sz w:val="24"/>
          <w:szCs w:val="26"/>
          <w:lang w:eastAsia="nl-NL"/>
        </w:rPr>
        <w:t xml:space="preserve"> </w:t>
      </w:r>
      <w:r w:rsidRPr="002F2323">
        <w:rPr>
          <w:rFonts w:eastAsiaTheme="majorEastAsia" w:cstheme="majorBidi"/>
          <w:b/>
          <w:bCs/>
          <w:sz w:val="24"/>
          <w:szCs w:val="26"/>
          <w:lang w:eastAsia="nl-NL"/>
        </w:rPr>
        <w:t xml:space="preserve">aanbesteding </w:t>
      </w:r>
      <w:r w:rsidR="002F2323" w:rsidRPr="002F2323">
        <w:rPr>
          <w:rFonts w:eastAsiaTheme="majorEastAsia" w:cstheme="majorBidi"/>
          <w:b/>
          <w:bCs/>
          <w:sz w:val="24"/>
          <w:szCs w:val="26"/>
          <w:lang w:eastAsia="nl-NL"/>
        </w:rPr>
        <w:t>Cultuurtechnische Machines</w:t>
      </w:r>
    </w:p>
    <w:p w14:paraId="3F40CB23" w14:textId="77777777" w:rsidR="002F2323" w:rsidRPr="00C25000" w:rsidRDefault="002F2323" w:rsidP="00C25000">
      <w:pPr>
        <w:pStyle w:val="Geenafstand"/>
        <w:rPr>
          <w:lang w:eastAsia="nl-NL"/>
        </w:rPr>
      </w:pPr>
    </w:p>
    <w:p w14:paraId="1AF6F22E" w14:textId="622A0569"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het </w:t>
      </w:r>
      <w:r w:rsidR="002F2323">
        <w:rPr>
          <w:rFonts w:eastAsia="Arial" w:cs="Arial"/>
        </w:rPr>
        <w:t>Tenderned</w:t>
      </w:r>
      <w:r w:rsidRPr="00C25000">
        <w:rPr>
          <w:rFonts w:eastAsia="Arial" w:cs="Arial"/>
        </w:rPr>
        <w:t xml:space="preserve"> platform en welke door de Opdrachtnemer zijn opgeslagen voor zijn eigen administratie, zoals gepubliceerd d.d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77777777"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AANBESTEDINGSLEIDRAAD (INCL. DE DIGITALE, IN MERCELL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640D9C9C" w:rsidR="00C25000" w:rsidRPr="003E79FE" w:rsidRDefault="002F2323"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H. </w:t>
      </w:r>
      <w:r w:rsidR="006A5002">
        <w:rPr>
          <w:rFonts w:asciiTheme="majorHAnsi" w:hAnsiTheme="majorHAnsi" w:cstheme="majorHAnsi"/>
          <w:szCs w:val="20"/>
        </w:rPr>
        <w:t>Broekhuizen</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t>&lt;naam&gt;</w:t>
      </w:r>
    </w:p>
    <w:p w14:paraId="09AB6315" w14:textId="33278881" w:rsidR="00C25000" w:rsidRDefault="002F2323" w:rsidP="00C25000">
      <w:pPr>
        <w:tabs>
          <w:tab w:val="left" w:pos="1170"/>
        </w:tabs>
        <w:jc w:val="both"/>
        <w:rPr>
          <w:rFonts w:asciiTheme="majorHAnsi" w:hAnsiTheme="majorHAnsi" w:cstheme="majorHAnsi"/>
          <w:szCs w:val="20"/>
        </w:rPr>
      </w:pPr>
      <w:r>
        <w:rPr>
          <w:rFonts w:asciiTheme="majorHAnsi" w:hAnsiTheme="majorHAnsi" w:cstheme="majorHAnsi"/>
          <w:szCs w:val="20"/>
        </w:rPr>
        <w:t>Bu</w:t>
      </w:r>
      <w:r w:rsidR="006A5002">
        <w:rPr>
          <w:rFonts w:asciiTheme="majorHAnsi" w:hAnsiTheme="majorHAnsi" w:cstheme="majorHAnsi"/>
          <w:szCs w:val="20"/>
        </w:rPr>
        <w:t>rgemeester</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2DF3" w14:textId="77777777" w:rsidR="008C0AE4" w:rsidRDefault="008C0AE4" w:rsidP="00E664FA">
      <w:r>
        <w:separator/>
      </w:r>
    </w:p>
  </w:endnote>
  <w:endnote w:type="continuationSeparator" w:id="0">
    <w:p w14:paraId="61C1534E" w14:textId="77777777" w:rsidR="008C0AE4" w:rsidRDefault="008C0AE4"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D278" w14:textId="77777777" w:rsidR="008C0AE4" w:rsidRDefault="008C0AE4" w:rsidP="00E664FA">
      <w:r>
        <w:separator/>
      </w:r>
    </w:p>
  </w:footnote>
  <w:footnote w:type="continuationSeparator" w:id="0">
    <w:p w14:paraId="24121C64" w14:textId="77777777" w:rsidR="008C0AE4" w:rsidRDefault="008C0AE4"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377D"/>
    <w:rsid w:val="0008489B"/>
    <w:rsid w:val="00084FCB"/>
    <w:rsid w:val="000858EA"/>
    <w:rsid w:val="000A048B"/>
    <w:rsid w:val="000A3BE3"/>
    <w:rsid w:val="000D4385"/>
    <w:rsid w:val="000D5FEC"/>
    <w:rsid w:val="000E2A76"/>
    <w:rsid w:val="00123351"/>
    <w:rsid w:val="00130BAE"/>
    <w:rsid w:val="001326E6"/>
    <w:rsid w:val="0013399D"/>
    <w:rsid w:val="00144076"/>
    <w:rsid w:val="00196434"/>
    <w:rsid w:val="001A3EA1"/>
    <w:rsid w:val="001B3CE0"/>
    <w:rsid w:val="001B7C7B"/>
    <w:rsid w:val="001E1B03"/>
    <w:rsid w:val="001F4C1F"/>
    <w:rsid w:val="00224C85"/>
    <w:rsid w:val="0025194B"/>
    <w:rsid w:val="00280008"/>
    <w:rsid w:val="00284EFA"/>
    <w:rsid w:val="002954E9"/>
    <w:rsid w:val="002B15B8"/>
    <w:rsid w:val="002B3CD8"/>
    <w:rsid w:val="002D0E80"/>
    <w:rsid w:val="002E52AB"/>
    <w:rsid w:val="002E76FF"/>
    <w:rsid w:val="002F2323"/>
    <w:rsid w:val="003037A2"/>
    <w:rsid w:val="00315F5F"/>
    <w:rsid w:val="00353655"/>
    <w:rsid w:val="00361E27"/>
    <w:rsid w:val="00364842"/>
    <w:rsid w:val="00366BF2"/>
    <w:rsid w:val="003A5838"/>
    <w:rsid w:val="003E79FE"/>
    <w:rsid w:val="004010F7"/>
    <w:rsid w:val="00413354"/>
    <w:rsid w:val="00414E38"/>
    <w:rsid w:val="0042010E"/>
    <w:rsid w:val="00426B15"/>
    <w:rsid w:val="00431CD3"/>
    <w:rsid w:val="00442976"/>
    <w:rsid w:val="00482F75"/>
    <w:rsid w:val="00486B0A"/>
    <w:rsid w:val="004C4E0C"/>
    <w:rsid w:val="004C7C59"/>
    <w:rsid w:val="004D2F57"/>
    <w:rsid w:val="004E0F06"/>
    <w:rsid w:val="005123FD"/>
    <w:rsid w:val="005147D1"/>
    <w:rsid w:val="0053409E"/>
    <w:rsid w:val="00536F56"/>
    <w:rsid w:val="00570D3A"/>
    <w:rsid w:val="00587ED5"/>
    <w:rsid w:val="005A4B35"/>
    <w:rsid w:val="005B526B"/>
    <w:rsid w:val="005B7759"/>
    <w:rsid w:val="005C4554"/>
    <w:rsid w:val="005F238D"/>
    <w:rsid w:val="00600722"/>
    <w:rsid w:val="00617791"/>
    <w:rsid w:val="00620F6E"/>
    <w:rsid w:val="00644D00"/>
    <w:rsid w:val="0065295A"/>
    <w:rsid w:val="006A0DBE"/>
    <w:rsid w:val="006A5002"/>
    <w:rsid w:val="006B616E"/>
    <w:rsid w:val="006D0E53"/>
    <w:rsid w:val="006D245D"/>
    <w:rsid w:val="006D2DA1"/>
    <w:rsid w:val="0070050A"/>
    <w:rsid w:val="00703E19"/>
    <w:rsid w:val="00755D54"/>
    <w:rsid w:val="0078085B"/>
    <w:rsid w:val="007866A3"/>
    <w:rsid w:val="007A7C0A"/>
    <w:rsid w:val="007C2148"/>
    <w:rsid w:val="007E5811"/>
    <w:rsid w:val="00810CDA"/>
    <w:rsid w:val="00823052"/>
    <w:rsid w:val="00836384"/>
    <w:rsid w:val="00842A12"/>
    <w:rsid w:val="00845F66"/>
    <w:rsid w:val="00880885"/>
    <w:rsid w:val="008A3736"/>
    <w:rsid w:val="008A4E1E"/>
    <w:rsid w:val="008C0AE4"/>
    <w:rsid w:val="008D4BEF"/>
    <w:rsid w:val="009048CA"/>
    <w:rsid w:val="00955CAA"/>
    <w:rsid w:val="0097505E"/>
    <w:rsid w:val="0098317C"/>
    <w:rsid w:val="00986C9B"/>
    <w:rsid w:val="009B2D4B"/>
    <w:rsid w:val="009C1CC9"/>
    <w:rsid w:val="00A16E7D"/>
    <w:rsid w:val="00A36CD4"/>
    <w:rsid w:val="00A43C15"/>
    <w:rsid w:val="00A56169"/>
    <w:rsid w:val="00A57F2F"/>
    <w:rsid w:val="00A6078B"/>
    <w:rsid w:val="00A65260"/>
    <w:rsid w:val="00A84204"/>
    <w:rsid w:val="00AA12FE"/>
    <w:rsid w:val="00AF0598"/>
    <w:rsid w:val="00AF30FD"/>
    <w:rsid w:val="00B06E25"/>
    <w:rsid w:val="00B13A24"/>
    <w:rsid w:val="00B16C2D"/>
    <w:rsid w:val="00B207CB"/>
    <w:rsid w:val="00B23E4D"/>
    <w:rsid w:val="00B76E7D"/>
    <w:rsid w:val="00BA3897"/>
    <w:rsid w:val="00BB2ADC"/>
    <w:rsid w:val="00BD5254"/>
    <w:rsid w:val="00BD55EF"/>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CD27E5"/>
    <w:rsid w:val="00D16923"/>
    <w:rsid w:val="00D34C18"/>
    <w:rsid w:val="00D42AC1"/>
    <w:rsid w:val="00D91BD2"/>
    <w:rsid w:val="00DB51C8"/>
    <w:rsid w:val="00DC3BF3"/>
    <w:rsid w:val="00DC7A40"/>
    <w:rsid w:val="00E310DA"/>
    <w:rsid w:val="00E33895"/>
    <w:rsid w:val="00E42C5A"/>
    <w:rsid w:val="00E63168"/>
    <w:rsid w:val="00E664FA"/>
    <w:rsid w:val="00E776A8"/>
    <w:rsid w:val="00E81C4D"/>
    <w:rsid w:val="00E94B7D"/>
    <w:rsid w:val="00EA3165"/>
    <w:rsid w:val="00EA42E0"/>
    <w:rsid w:val="00EA6B26"/>
    <w:rsid w:val="00EA7E05"/>
    <w:rsid w:val="00EB3531"/>
    <w:rsid w:val="00EB491B"/>
    <w:rsid w:val="00EC0023"/>
    <w:rsid w:val="00ED0FEA"/>
    <w:rsid w:val="00F03353"/>
    <w:rsid w:val="00F14158"/>
    <w:rsid w:val="00F3774C"/>
    <w:rsid w:val="00F41F69"/>
    <w:rsid w:val="00F76C72"/>
    <w:rsid w:val="00F8200C"/>
    <w:rsid w:val="00FA25FF"/>
    <w:rsid w:val="00FA75EA"/>
    <w:rsid w:val="00FB4A48"/>
    <w:rsid w:val="00FC5ABE"/>
    <w:rsid w:val="00FC7425"/>
    <w:rsid w:val="00FD0587"/>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a46348801a8e7e48ef2bbcf033079b4b">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fbcbadcb44c3968925b3609e858eadfc"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3.xml><?xml version="1.0" encoding="utf-8"?>
<ds:datastoreItem xmlns:ds="http://schemas.openxmlformats.org/officeDocument/2006/customXml" ds:itemID="{562F0FC7-CE1B-4208-BA99-352D02F37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0BEB1-3BE4-4DE0-9568-077175A4B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2632</Words>
  <Characters>14482</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42</cp:revision>
  <cp:lastPrinted>2021-08-23T07:44:00Z</cp:lastPrinted>
  <dcterms:created xsi:type="dcterms:W3CDTF">2022-08-01T11:28:00Z</dcterms:created>
  <dcterms:modified xsi:type="dcterms:W3CDTF">2025-10-30T14:21:00Z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