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ECDE" w14:textId="5BA9E2C4" w:rsidR="00C840C9" w:rsidRPr="00E00FB1" w:rsidRDefault="4354809B" w:rsidP="00995004">
      <w:pPr>
        <w:jc w:val="both"/>
        <w:rPr>
          <w:rFonts w:ascii="Verdana" w:hAnsi="Verdana"/>
          <w:b/>
          <w:bCs/>
          <w:sz w:val="20"/>
          <w:szCs w:val="20"/>
        </w:rPr>
      </w:pPr>
      <w:r w:rsidRPr="43141313">
        <w:rPr>
          <w:rFonts w:ascii="Verdana" w:hAnsi="Verdana"/>
          <w:b/>
          <w:bCs/>
          <w:sz w:val="20"/>
          <w:szCs w:val="20"/>
        </w:rPr>
        <w:t xml:space="preserve">Bijlage </w:t>
      </w:r>
      <w:r w:rsidR="28068A0C" w:rsidRPr="43141313">
        <w:rPr>
          <w:rFonts w:ascii="Verdana" w:hAnsi="Verdana"/>
          <w:b/>
          <w:bCs/>
          <w:sz w:val="20"/>
          <w:szCs w:val="20"/>
        </w:rPr>
        <w:t>1</w:t>
      </w:r>
      <w:r w:rsidR="00AC1FF2">
        <w:rPr>
          <w:rFonts w:ascii="Verdana" w:hAnsi="Verdana"/>
          <w:b/>
          <w:bCs/>
          <w:sz w:val="20"/>
          <w:szCs w:val="20"/>
        </w:rPr>
        <w:t>2</w:t>
      </w:r>
      <w:r w:rsidRPr="43141313">
        <w:rPr>
          <w:rFonts w:ascii="Verdana" w:hAnsi="Verdana"/>
          <w:b/>
          <w:bCs/>
          <w:sz w:val="20"/>
          <w:szCs w:val="20"/>
        </w:rPr>
        <w:t>. Kritische prestatie indicatoren</w:t>
      </w:r>
    </w:p>
    <w:p w14:paraId="5834FF80" w14:textId="47E8CB77" w:rsidR="00C840C9" w:rsidRPr="00E00FB1" w:rsidRDefault="00C840C9" w:rsidP="00995004">
      <w:pPr>
        <w:jc w:val="both"/>
        <w:rPr>
          <w:rFonts w:ascii="Verdana" w:hAnsi="Verdana"/>
          <w:sz w:val="20"/>
          <w:szCs w:val="20"/>
        </w:rPr>
      </w:pPr>
      <w:r w:rsidRPr="00E00FB1">
        <w:rPr>
          <w:rFonts w:ascii="Verdana" w:hAnsi="Verdana"/>
          <w:sz w:val="20"/>
          <w:szCs w:val="20"/>
        </w:rPr>
        <w:t>De Gemeente Midden-Drenthe wil grip houden op de kwaliteit, snelheid en kosten van de inhuur van personeel. Om dit te borgen worden onderstaande Kritische Prestatie-Indicatoren (</w:t>
      </w:r>
      <w:proofErr w:type="spellStart"/>
      <w:r w:rsidRPr="00E00FB1">
        <w:rPr>
          <w:rFonts w:ascii="Verdana" w:hAnsi="Verdana"/>
          <w:sz w:val="20"/>
          <w:szCs w:val="20"/>
        </w:rPr>
        <w:t>KPI’s</w:t>
      </w:r>
      <w:proofErr w:type="spellEnd"/>
      <w:r w:rsidRPr="00E00FB1">
        <w:rPr>
          <w:rFonts w:ascii="Verdana" w:hAnsi="Verdana"/>
          <w:sz w:val="20"/>
          <w:szCs w:val="20"/>
        </w:rPr>
        <w:t>) toegepast.</w:t>
      </w:r>
    </w:p>
    <w:p w14:paraId="5CC897E0" w14:textId="13FE5585" w:rsidR="00C840C9" w:rsidRPr="00E00FB1" w:rsidRDefault="00C840C9" w:rsidP="00995004">
      <w:pPr>
        <w:jc w:val="both"/>
        <w:rPr>
          <w:rFonts w:ascii="Verdana" w:hAnsi="Verdana"/>
          <w:sz w:val="20"/>
          <w:szCs w:val="20"/>
        </w:rPr>
      </w:pPr>
      <w:r w:rsidRPr="00E00FB1">
        <w:rPr>
          <w:rFonts w:ascii="Verdana" w:hAnsi="Verdana"/>
          <w:sz w:val="20"/>
          <w:szCs w:val="20"/>
        </w:rPr>
        <w:t xml:space="preserve">De </w:t>
      </w:r>
      <w:proofErr w:type="spellStart"/>
      <w:r w:rsidRPr="00E00FB1">
        <w:rPr>
          <w:rFonts w:ascii="Verdana" w:hAnsi="Verdana"/>
          <w:sz w:val="20"/>
          <w:szCs w:val="20"/>
        </w:rPr>
        <w:t>KPI’s</w:t>
      </w:r>
      <w:proofErr w:type="spellEnd"/>
      <w:r w:rsidRPr="00E00FB1">
        <w:rPr>
          <w:rFonts w:ascii="Verdana" w:hAnsi="Verdana"/>
          <w:sz w:val="20"/>
          <w:szCs w:val="20"/>
        </w:rPr>
        <w:t xml:space="preserve"> worden per kwartaal gemonitord en jaarlijks geëvalueerd op geschiktheid en haalbaarheid.</w:t>
      </w:r>
      <w:r w:rsidR="003A1909" w:rsidRPr="00E00FB1">
        <w:rPr>
          <w:rFonts w:ascii="Verdana" w:hAnsi="Verdana"/>
          <w:sz w:val="20"/>
          <w:szCs w:val="20"/>
        </w:rPr>
        <w:t xml:space="preserve"> </w:t>
      </w:r>
      <w:r w:rsidR="00035D41" w:rsidRPr="00E00FB1">
        <w:rPr>
          <w:rFonts w:ascii="Verdana" w:hAnsi="Verdana"/>
          <w:sz w:val="20"/>
          <w:szCs w:val="20"/>
        </w:rPr>
        <w:t xml:space="preserve">De lijst met </w:t>
      </w:r>
      <w:proofErr w:type="spellStart"/>
      <w:r w:rsidR="00035D41" w:rsidRPr="00E00FB1">
        <w:rPr>
          <w:rFonts w:ascii="Verdana" w:hAnsi="Verdana"/>
          <w:sz w:val="20"/>
          <w:szCs w:val="20"/>
        </w:rPr>
        <w:t>KPI’s</w:t>
      </w:r>
      <w:proofErr w:type="spellEnd"/>
      <w:r w:rsidR="00035D41" w:rsidRPr="00E00FB1">
        <w:rPr>
          <w:rFonts w:ascii="Verdana" w:hAnsi="Verdana"/>
          <w:sz w:val="20"/>
          <w:szCs w:val="20"/>
        </w:rPr>
        <w:t xml:space="preserve"> is dynamisch wat inhoudt dat gedurende de looptijd van de overeenkomst kunnen </w:t>
      </w:r>
      <w:proofErr w:type="spellStart"/>
      <w:r w:rsidR="00035D41" w:rsidRPr="00E00FB1">
        <w:rPr>
          <w:rFonts w:ascii="Verdana" w:hAnsi="Verdana"/>
          <w:sz w:val="20"/>
          <w:szCs w:val="20"/>
        </w:rPr>
        <w:t>KPI’s</w:t>
      </w:r>
      <w:proofErr w:type="spellEnd"/>
      <w:r w:rsidR="00035D41" w:rsidRPr="00E00FB1">
        <w:rPr>
          <w:rFonts w:ascii="Verdana" w:hAnsi="Verdana"/>
          <w:sz w:val="20"/>
          <w:szCs w:val="20"/>
        </w:rPr>
        <w:t xml:space="preserve"> worden gewijzigd of vervangen door andere prestatie-indicatoren die herleidbaar zijn tot de doelstellingen van de overeenkomst. Wijzigingen worden alleen doorgevoerd na schriftelijke instemming van beide partijen.</w:t>
      </w:r>
    </w:p>
    <w:p w14:paraId="1677561A" w14:textId="638867B3" w:rsidR="00C840C9" w:rsidRPr="00E00FB1" w:rsidRDefault="00937261" w:rsidP="00995004">
      <w:pPr>
        <w:jc w:val="both"/>
        <w:rPr>
          <w:rFonts w:ascii="Verdana" w:hAnsi="Verdana"/>
          <w:b/>
          <w:bCs/>
          <w:sz w:val="20"/>
          <w:szCs w:val="20"/>
        </w:rPr>
      </w:pPr>
      <w:r w:rsidRPr="00E00FB1">
        <w:rPr>
          <w:rFonts w:ascii="Verdana" w:hAnsi="Verdana"/>
          <w:b/>
          <w:bCs/>
          <w:sz w:val="20"/>
          <w:szCs w:val="20"/>
        </w:rPr>
        <w:t>Kritische prestatie indicatoren</w:t>
      </w:r>
    </w:p>
    <w:p w14:paraId="4BBD013A" w14:textId="3B31BC43" w:rsidR="00987770" w:rsidRPr="00E00FB1" w:rsidRDefault="4B9C4945" w:rsidP="00995004">
      <w:pPr>
        <w:jc w:val="both"/>
        <w:rPr>
          <w:rFonts w:ascii="Verdana" w:hAnsi="Verdana"/>
          <w:sz w:val="20"/>
          <w:szCs w:val="20"/>
        </w:rPr>
      </w:pPr>
      <w:r w:rsidRPr="43141313">
        <w:rPr>
          <w:rFonts w:ascii="Verdana" w:hAnsi="Verdana"/>
          <w:sz w:val="20"/>
          <w:szCs w:val="20"/>
        </w:rPr>
        <w:t xml:space="preserve">De gemeente zal tijdens de looptijd van het contract </w:t>
      </w:r>
      <w:r w:rsidR="681D25A4" w:rsidRPr="43141313">
        <w:rPr>
          <w:rFonts w:ascii="Verdana" w:hAnsi="Verdana"/>
          <w:sz w:val="20"/>
          <w:szCs w:val="20"/>
        </w:rPr>
        <w:t>7</w:t>
      </w:r>
      <w:r w:rsidRPr="43141313">
        <w:rPr>
          <w:rFonts w:ascii="Verdana" w:hAnsi="Verdana"/>
          <w:sz w:val="20"/>
          <w:szCs w:val="20"/>
        </w:rPr>
        <w:t xml:space="preserve"> </w:t>
      </w:r>
      <w:proofErr w:type="spellStart"/>
      <w:r w:rsidRPr="43141313">
        <w:rPr>
          <w:rFonts w:ascii="Verdana" w:hAnsi="Verdana"/>
          <w:sz w:val="20"/>
          <w:szCs w:val="20"/>
        </w:rPr>
        <w:t>KPI’s</w:t>
      </w:r>
      <w:proofErr w:type="spellEnd"/>
      <w:r w:rsidRPr="43141313">
        <w:rPr>
          <w:rFonts w:ascii="Verdana" w:hAnsi="Verdana"/>
          <w:sz w:val="20"/>
          <w:szCs w:val="20"/>
        </w:rPr>
        <w:t xml:space="preserve"> monitoren. Aan deze </w:t>
      </w:r>
      <w:proofErr w:type="spellStart"/>
      <w:r w:rsidRPr="43141313">
        <w:rPr>
          <w:rFonts w:ascii="Verdana" w:hAnsi="Verdana"/>
          <w:sz w:val="20"/>
          <w:szCs w:val="20"/>
        </w:rPr>
        <w:t>KPI’s</w:t>
      </w:r>
      <w:proofErr w:type="spellEnd"/>
      <w:r w:rsidRPr="43141313">
        <w:rPr>
          <w:rFonts w:ascii="Verdana" w:hAnsi="Verdana"/>
          <w:sz w:val="20"/>
          <w:szCs w:val="20"/>
        </w:rPr>
        <w:t xml:space="preserve"> is een waarde gekoppeld. Wanneer een KPI niet wordt behaald, wordt een punt toegekend. Wanneer een x aantal punten behaald is, worden de consequenties zoals </w:t>
      </w:r>
      <w:r w:rsidR="64776E7B" w:rsidRPr="43141313">
        <w:rPr>
          <w:rFonts w:ascii="Verdana" w:hAnsi="Verdana"/>
          <w:sz w:val="20"/>
          <w:szCs w:val="20"/>
        </w:rPr>
        <w:t xml:space="preserve">in bijlage 1. </w:t>
      </w:r>
      <w:r w:rsidRPr="43141313">
        <w:rPr>
          <w:rFonts w:ascii="Verdana" w:hAnsi="Verdana"/>
          <w:sz w:val="20"/>
          <w:szCs w:val="20"/>
        </w:rPr>
        <w:t xml:space="preserve">op volgende pagina benoemd toegepast. De verdeling van de punten per niet gehaalde KPI zien er als volgt uit: </w:t>
      </w:r>
    </w:p>
    <w:p w14:paraId="2CE4F6D2" w14:textId="5113A845" w:rsidR="00987770" w:rsidRPr="00E00FB1" w:rsidRDefault="00224B97" w:rsidP="00995004">
      <w:pPr>
        <w:pStyle w:val="Lijstalinea"/>
        <w:numPr>
          <w:ilvl w:val="0"/>
          <w:numId w:val="3"/>
        </w:numPr>
        <w:jc w:val="both"/>
        <w:rPr>
          <w:rFonts w:ascii="Verdana" w:hAnsi="Verdana"/>
          <w:sz w:val="20"/>
          <w:szCs w:val="20"/>
        </w:rPr>
      </w:pPr>
      <w:r w:rsidRPr="00E00FB1">
        <w:rPr>
          <w:rFonts w:ascii="Verdana" w:hAnsi="Verdana"/>
          <w:sz w:val="20"/>
          <w:szCs w:val="20"/>
        </w:rPr>
        <w:t>Vulgraad</w:t>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00987770" w:rsidRPr="00E00FB1">
        <w:rPr>
          <w:rFonts w:ascii="Verdana" w:hAnsi="Verdana"/>
          <w:sz w:val="20"/>
          <w:szCs w:val="20"/>
        </w:rPr>
        <w:t xml:space="preserve">    </w:t>
      </w:r>
      <w:r w:rsidR="00987770" w:rsidRPr="00E00FB1">
        <w:rPr>
          <w:rFonts w:ascii="Verdana" w:hAnsi="Verdana"/>
          <w:sz w:val="20"/>
          <w:szCs w:val="20"/>
        </w:rPr>
        <w:tab/>
        <w:t>1 punt</w:t>
      </w:r>
    </w:p>
    <w:p w14:paraId="66DDAD94" w14:textId="74BE7CB0" w:rsidR="00987770" w:rsidRPr="00E00FB1" w:rsidRDefault="00D912CF" w:rsidP="00995004">
      <w:pPr>
        <w:pStyle w:val="Lijstalinea"/>
        <w:numPr>
          <w:ilvl w:val="0"/>
          <w:numId w:val="3"/>
        </w:numPr>
        <w:jc w:val="both"/>
        <w:rPr>
          <w:rFonts w:ascii="Verdana" w:hAnsi="Verdana"/>
          <w:sz w:val="20"/>
          <w:szCs w:val="20"/>
        </w:rPr>
      </w:pPr>
      <w:r w:rsidRPr="75ED4443">
        <w:rPr>
          <w:rFonts w:ascii="Verdana" w:hAnsi="Verdana"/>
          <w:sz w:val="20"/>
          <w:szCs w:val="20"/>
        </w:rPr>
        <w:t xml:space="preserve">Time </w:t>
      </w:r>
      <w:proofErr w:type="spellStart"/>
      <w:r w:rsidRPr="75ED4443">
        <w:rPr>
          <w:rFonts w:ascii="Verdana" w:hAnsi="Verdana"/>
          <w:sz w:val="20"/>
          <w:szCs w:val="20"/>
        </w:rPr>
        <w:t>to</w:t>
      </w:r>
      <w:proofErr w:type="spellEnd"/>
      <w:r w:rsidRPr="75ED4443">
        <w:rPr>
          <w:rFonts w:ascii="Verdana" w:hAnsi="Verdana"/>
          <w:sz w:val="20"/>
          <w:szCs w:val="20"/>
        </w:rPr>
        <w:t xml:space="preserve"> </w:t>
      </w:r>
      <w:proofErr w:type="spellStart"/>
      <w:r w:rsidRPr="75ED4443">
        <w:rPr>
          <w:rFonts w:ascii="Verdana" w:hAnsi="Verdana"/>
          <w:sz w:val="20"/>
          <w:szCs w:val="20"/>
        </w:rPr>
        <w:t>fill</w:t>
      </w:r>
      <w:proofErr w:type="spellEnd"/>
      <w:r>
        <w:tab/>
      </w:r>
      <w:r>
        <w:tab/>
      </w:r>
      <w:r>
        <w:tab/>
      </w:r>
      <w:r>
        <w:tab/>
      </w:r>
      <w:r>
        <w:tab/>
      </w:r>
      <w:r w:rsidR="00987770" w:rsidRPr="75ED4443">
        <w:rPr>
          <w:rFonts w:ascii="Verdana" w:hAnsi="Verdana"/>
          <w:sz w:val="20"/>
          <w:szCs w:val="20"/>
        </w:rPr>
        <w:t xml:space="preserve">                    1 punt</w:t>
      </w:r>
    </w:p>
    <w:p w14:paraId="6158F80E" w14:textId="05A4160B" w:rsidR="00987770" w:rsidRPr="00E00FB1" w:rsidRDefault="00D912CF" w:rsidP="00995004">
      <w:pPr>
        <w:pStyle w:val="Lijstalinea"/>
        <w:numPr>
          <w:ilvl w:val="0"/>
          <w:numId w:val="3"/>
        </w:numPr>
        <w:jc w:val="both"/>
        <w:rPr>
          <w:rFonts w:ascii="Verdana" w:hAnsi="Verdana"/>
          <w:sz w:val="20"/>
          <w:szCs w:val="20"/>
        </w:rPr>
      </w:pPr>
      <w:r w:rsidRPr="75ED4443">
        <w:rPr>
          <w:rFonts w:ascii="Verdana" w:hAnsi="Verdana"/>
          <w:sz w:val="20"/>
          <w:szCs w:val="20"/>
        </w:rPr>
        <w:t>Matchingskwaliteit</w:t>
      </w:r>
      <w:r w:rsidR="00987770" w:rsidRPr="75ED4443">
        <w:rPr>
          <w:rFonts w:ascii="Verdana" w:hAnsi="Verdana"/>
          <w:sz w:val="20"/>
          <w:szCs w:val="20"/>
        </w:rPr>
        <w:t xml:space="preserve">        </w:t>
      </w:r>
      <w:r>
        <w:tab/>
      </w:r>
      <w:r w:rsidR="00987770" w:rsidRPr="75ED4443">
        <w:rPr>
          <w:rFonts w:ascii="Verdana" w:hAnsi="Verdana"/>
          <w:sz w:val="20"/>
          <w:szCs w:val="20"/>
        </w:rPr>
        <w:t xml:space="preserve">                                        1 punt</w:t>
      </w:r>
    </w:p>
    <w:p w14:paraId="505ED751" w14:textId="680A02AA" w:rsidR="00C840C9" w:rsidRPr="00E00FB1" w:rsidRDefault="00D912CF" w:rsidP="00995004">
      <w:pPr>
        <w:pStyle w:val="Lijstalinea"/>
        <w:numPr>
          <w:ilvl w:val="0"/>
          <w:numId w:val="3"/>
        </w:numPr>
        <w:jc w:val="both"/>
        <w:rPr>
          <w:rFonts w:ascii="Verdana" w:hAnsi="Verdana"/>
          <w:sz w:val="20"/>
          <w:szCs w:val="20"/>
        </w:rPr>
      </w:pPr>
      <w:r w:rsidRPr="75ED4443">
        <w:rPr>
          <w:rFonts w:ascii="Verdana" w:hAnsi="Verdana"/>
          <w:sz w:val="20"/>
          <w:szCs w:val="20"/>
        </w:rPr>
        <w:t>Tariefconformiteit</w:t>
      </w:r>
      <w:r>
        <w:tab/>
      </w:r>
      <w:r>
        <w:tab/>
      </w:r>
      <w:r>
        <w:tab/>
      </w:r>
      <w:r>
        <w:tab/>
      </w:r>
      <w:r>
        <w:tab/>
      </w:r>
      <w:r>
        <w:tab/>
      </w:r>
      <w:r w:rsidR="0BB47CF5" w:rsidRPr="75ED4443">
        <w:rPr>
          <w:rFonts w:ascii="Verdana" w:hAnsi="Verdana"/>
          <w:sz w:val="20"/>
          <w:szCs w:val="20"/>
        </w:rPr>
        <w:t>1</w:t>
      </w:r>
      <w:r w:rsidR="00987770" w:rsidRPr="75ED4443">
        <w:rPr>
          <w:rFonts w:ascii="Verdana" w:hAnsi="Verdana"/>
          <w:sz w:val="20"/>
          <w:szCs w:val="20"/>
        </w:rPr>
        <w:t xml:space="preserve"> punt</w:t>
      </w:r>
    </w:p>
    <w:p w14:paraId="45F2E28C" w14:textId="77BD67BD" w:rsidR="00A27373" w:rsidRPr="00E00FB1" w:rsidRDefault="00A27373" w:rsidP="00995004">
      <w:pPr>
        <w:pStyle w:val="Lijstalinea"/>
        <w:numPr>
          <w:ilvl w:val="0"/>
          <w:numId w:val="3"/>
        </w:numPr>
        <w:jc w:val="both"/>
        <w:rPr>
          <w:rFonts w:ascii="Verdana" w:hAnsi="Verdana"/>
          <w:sz w:val="20"/>
          <w:szCs w:val="20"/>
        </w:rPr>
      </w:pPr>
      <w:r w:rsidRPr="00E00FB1">
        <w:rPr>
          <w:rFonts w:ascii="Verdana" w:hAnsi="Verdana"/>
          <w:sz w:val="20"/>
          <w:szCs w:val="20"/>
        </w:rPr>
        <w:t>Klanttevredenheid</w:t>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t>1 punt</w:t>
      </w:r>
    </w:p>
    <w:p w14:paraId="7D74D871" w14:textId="0226A481" w:rsidR="00A27373" w:rsidRPr="00E00FB1" w:rsidRDefault="00A27373" w:rsidP="00995004">
      <w:pPr>
        <w:pStyle w:val="Lijstalinea"/>
        <w:numPr>
          <w:ilvl w:val="0"/>
          <w:numId w:val="3"/>
        </w:numPr>
        <w:jc w:val="both"/>
        <w:rPr>
          <w:rFonts w:ascii="Verdana" w:hAnsi="Verdana"/>
          <w:sz w:val="20"/>
          <w:szCs w:val="20"/>
        </w:rPr>
      </w:pPr>
      <w:r w:rsidRPr="00E00FB1">
        <w:rPr>
          <w:rFonts w:ascii="Verdana" w:hAnsi="Verdana"/>
          <w:sz w:val="20"/>
          <w:szCs w:val="20"/>
        </w:rPr>
        <w:t>Leverancierstevredenheid</w:t>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r>
      <w:r w:rsidRPr="00E00FB1">
        <w:rPr>
          <w:rFonts w:ascii="Verdana" w:hAnsi="Verdana"/>
          <w:sz w:val="20"/>
          <w:szCs w:val="20"/>
        </w:rPr>
        <w:tab/>
        <w:t>1 punt</w:t>
      </w:r>
    </w:p>
    <w:p w14:paraId="23181AA4" w14:textId="2D880C61" w:rsidR="00D912CF" w:rsidRPr="00E00FB1" w:rsidRDefault="00217837" w:rsidP="43141313">
      <w:pPr>
        <w:pStyle w:val="Lijstalinea"/>
        <w:numPr>
          <w:ilvl w:val="0"/>
          <w:numId w:val="3"/>
        </w:numPr>
        <w:jc w:val="both"/>
        <w:rPr>
          <w:rFonts w:ascii="Verdana" w:hAnsi="Verdana"/>
          <w:sz w:val="20"/>
          <w:szCs w:val="20"/>
        </w:rPr>
      </w:pPr>
      <w:r w:rsidRPr="00217837">
        <w:rPr>
          <w:rFonts w:ascii="Verdana" w:hAnsi="Verdana"/>
          <w:sz w:val="20"/>
          <w:szCs w:val="20"/>
        </w:rPr>
        <w:t>Dossiervorming</w:t>
      </w:r>
      <w:r w:rsidR="00D912CF">
        <w:tab/>
      </w:r>
      <w:r w:rsidR="00D912CF">
        <w:tab/>
      </w:r>
      <w:r w:rsidR="00D912CF">
        <w:tab/>
      </w:r>
      <w:r w:rsidR="00D912CF">
        <w:tab/>
      </w:r>
      <w:r w:rsidR="00D912CF">
        <w:tab/>
      </w:r>
      <w:r w:rsidR="00D912CF">
        <w:tab/>
      </w:r>
      <w:r w:rsidR="47221A52" w:rsidRPr="43141313">
        <w:rPr>
          <w:rFonts w:ascii="Verdana" w:hAnsi="Verdana"/>
          <w:sz w:val="20"/>
          <w:szCs w:val="20"/>
        </w:rPr>
        <w:t>1 punt</w:t>
      </w:r>
    </w:p>
    <w:p w14:paraId="61771CC2" w14:textId="425A57A3" w:rsidR="00C840C9" w:rsidRPr="00E00FB1" w:rsidRDefault="00C840C9" w:rsidP="00995004">
      <w:pPr>
        <w:jc w:val="both"/>
        <w:rPr>
          <w:rFonts w:ascii="Verdana" w:hAnsi="Verdana"/>
          <w:b/>
          <w:bCs/>
          <w:sz w:val="20"/>
          <w:szCs w:val="20"/>
        </w:rPr>
      </w:pPr>
      <w:r w:rsidRPr="00E00FB1">
        <w:rPr>
          <w:rFonts w:ascii="Verdana" w:hAnsi="Verdana"/>
          <w:b/>
          <w:bCs/>
          <w:sz w:val="20"/>
          <w:szCs w:val="20"/>
        </w:rPr>
        <w:t xml:space="preserve">Consequenties bij </w:t>
      </w:r>
      <w:proofErr w:type="spellStart"/>
      <w:r w:rsidRPr="00E00FB1">
        <w:rPr>
          <w:rFonts w:ascii="Verdana" w:hAnsi="Verdana"/>
          <w:b/>
          <w:bCs/>
          <w:sz w:val="20"/>
          <w:szCs w:val="20"/>
        </w:rPr>
        <w:t>onderprestatie</w:t>
      </w:r>
      <w:proofErr w:type="spellEnd"/>
    </w:p>
    <w:p w14:paraId="11005285" w14:textId="77777777" w:rsidR="0061666A" w:rsidRPr="0061666A" w:rsidRDefault="0061666A" w:rsidP="00995004">
      <w:pPr>
        <w:jc w:val="both"/>
        <w:rPr>
          <w:rFonts w:ascii="Verdana" w:hAnsi="Verdana"/>
          <w:sz w:val="20"/>
          <w:szCs w:val="20"/>
        </w:rPr>
      </w:pPr>
      <w:r w:rsidRPr="0061666A">
        <w:rPr>
          <w:rFonts w:ascii="Verdana" w:hAnsi="Verdana"/>
          <w:sz w:val="20"/>
          <w:szCs w:val="20"/>
        </w:rPr>
        <w:t>De Gemeente Midden-Drenthe hanteert in deze overeenkomst geen malusregeling in de vorm van boetes. De gemeente hecht waarde aan een goede en duurzame samenwerking met haar leveranciers en beschouwt een boeteclausule niet als een passend fundament voor het opbouwen van een succesvol partnerschap. De focus ligt op het gedeelde belang om de afgesproken prestaties te realiseren.</w:t>
      </w:r>
    </w:p>
    <w:p w14:paraId="546A6160" w14:textId="77777777" w:rsidR="0061666A" w:rsidRPr="0061666A" w:rsidRDefault="0061666A" w:rsidP="00995004">
      <w:pPr>
        <w:jc w:val="both"/>
        <w:rPr>
          <w:rFonts w:ascii="Verdana" w:hAnsi="Verdana"/>
          <w:sz w:val="20"/>
          <w:szCs w:val="20"/>
        </w:rPr>
      </w:pPr>
      <w:proofErr w:type="spellStart"/>
      <w:r w:rsidRPr="0061666A">
        <w:rPr>
          <w:rFonts w:ascii="Verdana" w:hAnsi="Verdana"/>
          <w:sz w:val="20"/>
          <w:szCs w:val="20"/>
        </w:rPr>
        <w:t>Onderprestaties</w:t>
      </w:r>
      <w:proofErr w:type="spellEnd"/>
      <w:r w:rsidRPr="0061666A">
        <w:rPr>
          <w:rFonts w:ascii="Verdana" w:hAnsi="Verdana"/>
          <w:sz w:val="20"/>
          <w:szCs w:val="20"/>
        </w:rPr>
        <w:t xml:space="preserve"> van de opdrachtnemer kunnen echter leiden tot extra kosten en inspanningen voor de gemeente. Van de opdrachtnemer wordt daarom verwacht dat hij, vanuit dit gedeelde belang en een gevoel van medeverantwoordelijkheid, een passende compensatie of oplossing biedt wanneer zich dergelijke situaties voordoen.</w:t>
      </w:r>
    </w:p>
    <w:p w14:paraId="5DD0BA30" w14:textId="314C3D2C" w:rsidR="002328B9" w:rsidRPr="00E00FB1" w:rsidRDefault="29736E1F" w:rsidP="00995004">
      <w:pPr>
        <w:jc w:val="both"/>
        <w:rPr>
          <w:rFonts w:ascii="Verdana" w:hAnsi="Verdana"/>
          <w:sz w:val="20"/>
          <w:szCs w:val="20"/>
        </w:rPr>
      </w:pPr>
      <w:r w:rsidRPr="43141313">
        <w:rPr>
          <w:rFonts w:ascii="Verdana" w:hAnsi="Verdana"/>
          <w:sz w:val="20"/>
          <w:szCs w:val="20"/>
        </w:rPr>
        <w:t xml:space="preserve">Om structurele </w:t>
      </w:r>
      <w:proofErr w:type="spellStart"/>
      <w:r w:rsidRPr="43141313">
        <w:rPr>
          <w:rFonts w:ascii="Verdana" w:hAnsi="Verdana"/>
          <w:sz w:val="20"/>
          <w:szCs w:val="20"/>
        </w:rPr>
        <w:t>onderprestatie</w:t>
      </w:r>
      <w:proofErr w:type="spellEnd"/>
      <w:r w:rsidRPr="43141313">
        <w:rPr>
          <w:rFonts w:ascii="Verdana" w:hAnsi="Verdana"/>
          <w:sz w:val="20"/>
          <w:szCs w:val="20"/>
        </w:rPr>
        <w:t xml:space="preserve"> te kunnen adresseren, wordt een puntenmodel toegepast.</w:t>
      </w:r>
    </w:p>
    <w:p w14:paraId="2B83B927" w14:textId="77777777" w:rsidR="002328B9" w:rsidRPr="00E00FB1" w:rsidRDefault="002328B9" w:rsidP="00995004">
      <w:pPr>
        <w:pStyle w:val="Lijstalinea"/>
        <w:numPr>
          <w:ilvl w:val="0"/>
          <w:numId w:val="4"/>
        </w:numPr>
        <w:jc w:val="both"/>
        <w:rPr>
          <w:rFonts w:ascii="Verdana" w:hAnsi="Verdana"/>
          <w:sz w:val="20"/>
          <w:szCs w:val="20"/>
        </w:rPr>
      </w:pPr>
      <w:r w:rsidRPr="00E00FB1">
        <w:rPr>
          <w:rFonts w:ascii="Verdana" w:hAnsi="Verdana"/>
          <w:sz w:val="20"/>
          <w:szCs w:val="20"/>
        </w:rPr>
        <w:t>Voor iedere niet-gehaalde KPI wordt 1 punt toegekend.</w:t>
      </w:r>
    </w:p>
    <w:p w14:paraId="7762CE5A" w14:textId="77777777" w:rsidR="002328B9" w:rsidRPr="00E00FB1" w:rsidRDefault="002328B9" w:rsidP="00995004">
      <w:pPr>
        <w:pStyle w:val="Lijstalinea"/>
        <w:numPr>
          <w:ilvl w:val="0"/>
          <w:numId w:val="4"/>
        </w:numPr>
        <w:jc w:val="both"/>
        <w:rPr>
          <w:rFonts w:ascii="Verdana" w:hAnsi="Verdana"/>
          <w:sz w:val="20"/>
          <w:szCs w:val="20"/>
        </w:rPr>
      </w:pPr>
      <w:r w:rsidRPr="00E00FB1">
        <w:rPr>
          <w:rFonts w:ascii="Verdana" w:hAnsi="Verdana"/>
          <w:sz w:val="20"/>
          <w:szCs w:val="20"/>
        </w:rPr>
        <w:t>De telling vindt plaats over een periode van twaalf maanden, met een voortschrijdende jaarcyclus (elk kwartaal wordt het totaal over de laatste 12 maanden bepaald).</w:t>
      </w:r>
    </w:p>
    <w:p w14:paraId="249353F3" w14:textId="77777777" w:rsidR="002328B9" w:rsidRPr="002328B9" w:rsidRDefault="002328B9" w:rsidP="00995004">
      <w:pPr>
        <w:jc w:val="both"/>
        <w:rPr>
          <w:rFonts w:ascii="Verdana" w:hAnsi="Verdana"/>
          <w:sz w:val="20"/>
          <w:szCs w:val="20"/>
        </w:rPr>
      </w:pPr>
      <w:r w:rsidRPr="002328B9">
        <w:rPr>
          <w:rFonts w:ascii="Verdana" w:hAnsi="Verdana"/>
          <w:sz w:val="20"/>
          <w:szCs w:val="20"/>
        </w:rPr>
        <w:t>Op basis van het totaal aantal punten gelden de volgende acties: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7"/>
        <w:gridCol w:w="7609"/>
      </w:tblGrid>
      <w:tr w:rsidR="002328B9" w:rsidRPr="002328B9" w14:paraId="5DD656D2" w14:textId="77777777" w:rsidTr="43141313">
        <w:trPr>
          <w:tblHeader/>
          <w:tblCellSpacing w:w="15" w:type="dxa"/>
        </w:trPr>
        <w:tc>
          <w:tcPr>
            <w:tcW w:w="0" w:type="auto"/>
            <w:vAlign w:val="center"/>
            <w:hideMark/>
          </w:tcPr>
          <w:p w14:paraId="4308517E" w14:textId="1F6D6CF8" w:rsidR="002328B9" w:rsidRPr="002328B9" w:rsidRDefault="29736E1F" w:rsidP="00995004">
            <w:pPr>
              <w:jc w:val="both"/>
              <w:rPr>
                <w:rFonts w:ascii="Verdana" w:hAnsi="Verdana"/>
                <w:b/>
                <w:bCs/>
                <w:sz w:val="20"/>
                <w:szCs w:val="20"/>
              </w:rPr>
            </w:pPr>
            <w:r w:rsidRPr="43141313">
              <w:rPr>
                <w:rFonts w:ascii="Verdana" w:hAnsi="Verdana"/>
                <w:b/>
                <w:bCs/>
                <w:sz w:val="20"/>
                <w:szCs w:val="20"/>
              </w:rPr>
              <w:lastRenderedPageBreak/>
              <w:t xml:space="preserve">Totaal aantal punten </w:t>
            </w:r>
          </w:p>
        </w:tc>
        <w:tc>
          <w:tcPr>
            <w:tcW w:w="0" w:type="auto"/>
            <w:vAlign w:val="center"/>
            <w:hideMark/>
          </w:tcPr>
          <w:p w14:paraId="312B1BCD" w14:textId="43FA31EC" w:rsidR="002328B9" w:rsidRPr="002328B9" w:rsidRDefault="002328B9" w:rsidP="00995004">
            <w:pPr>
              <w:jc w:val="both"/>
              <w:rPr>
                <w:rFonts w:ascii="Verdana" w:hAnsi="Verdana"/>
                <w:b/>
                <w:bCs/>
                <w:sz w:val="20"/>
                <w:szCs w:val="20"/>
              </w:rPr>
            </w:pPr>
            <w:r w:rsidRPr="002328B9">
              <w:rPr>
                <w:rFonts w:ascii="Verdana" w:hAnsi="Verdana"/>
                <w:b/>
                <w:bCs/>
                <w:sz w:val="20"/>
                <w:szCs w:val="20"/>
              </w:rPr>
              <w:t xml:space="preserve">Actie </w:t>
            </w:r>
          </w:p>
        </w:tc>
      </w:tr>
      <w:tr w:rsidR="002328B9" w:rsidRPr="002328B9" w14:paraId="4E97C5C7" w14:textId="77777777" w:rsidTr="43141313">
        <w:trPr>
          <w:tblCellSpacing w:w="15" w:type="dxa"/>
        </w:trPr>
        <w:tc>
          <w:tcPr>
            <w:tcW w:w="0" w:type="auto"/>
            <w:vAlign w:val="center"/>
            <w:hideMark/>
          </w:tcPr>
          <w:p w14:paraId="02CD9DD8" w14:textId="790AB0DF" w:rsidR="002328B9" w:rsidRPr="002328B9" w:rsidRDefault="29D62BBC" w:rsidP="00995004">
            <w:pPr>
              <w:jc w:val="both"/>
              <w:rPr>
                <w:rFonts w:ascii="Verdana" w:hAnsi="Verdana"/>
                <w:sz w:val="20"/>
                <w:szCs w:val="20"/>
              </w:rPr>
            </w:pPr>
            <w:r w:rsidRPr="43141313">
              <w:rPr>
                <w:rFonts w:ascii="Verdana" w:hAnsi="Verdana"/>
                <w:sz w:val="20"/>
                <w:szCs w:val="20"/>
              </w:rPr>
              <w:t>6</w:t>
            </w:r>
            <w:r w:rsidR="29736E1F" w:rsidRPr="43141313">
              <w:rPr>
                <w:rFonts w:ascii="Verdana" w:hAnsi="Verdana"/>
                <w:sz w:val="20"/>
                <w:szCs w:val="20"/>
              </w:rPr>
              <w:t xml:space="preserve"> punten </w:t>
            </w:r>
          </w:p>
        </w:tc>
        <w:tc>
          <w:tcPr>
            <w:tcW w:w="0" w:type="auto"/>
            <w:vAlign w:val="center"/>
            <w:hideMark/>
          </w:tcPr>
          <w:p w14:paraId="252D1BFF" w14:textId="77777777" w:rsidR="002328B9" w:rsidRPr="002328B9" w:rsidRDefault="002328B9" w:rsidP="00995004">
            <w:pPr>
              <w:jc w:val="both"/>
              <w:rPr>
                <w:rFonts w:ascii="Verdana" w:hAnsi="Verdana"/>
                <w:sz w:val="20"/>
                <w:szCs w:val="20"/>
              </w:rPr>
            </w:pPr>
            <w:r w:rsidRPr="002328B9">
              <w:rPr>
                <w:rFonts w:ascii="Verdana" w:hAnsi="Verdana"/>
                <w:sz w:val="20"/>
                <w:szCs w:val="20"/>
              </w:rPr>
              <w:t>Opdrachtnemer wordt verzocht binnen vier weken een verbeterplan aan te leveren met concrete maatregelen en tijdslijnen.</w:t>
            </w:r>
          </w:p>
        </w:tc>
      </w:tr>
      <w:tr w:rsidR="002328B9" w:rsidRPr="002328B9" w14:paraId="427B6FDE" w14:textId="77777777" w:rsidTr="43141313">
        <w:trPr>
          <w:tblCellSpacing w:w="15" w:type="dxa"/>
        </w:trPr>
        <w:tc>
          <w:tcPr>
            <w:tcW w:w="0" w:type="auto"/>
            <w:vAlign w:val="center"/>
            <w:hideMark/>
          </w:tcPr>
          <w:p w14:paraId="2F8B405B" w14:textId="0BCFCC7D" w:rsidR="002328B9" w:rsidRPr="002328B9" w:rsidRDefault="29736E1F" w:rsidP="00995004">
            <w:pPr>
              <w:jc w:val="both"/>
              <w:rPr>
                <w:rFonts w:ascii="Verdana" w:hAnsi="Verdana"/>
                <w:sz w:val="20"/>
                <w:szCs w:val="20"/>
              </w:rPr>
            </w:pPr>
            <w:r w:rsidRPr="43141313">
              <w:rPr>
                <w:rFonts w:ascii="Verdana" w:hAnsi="Verdana"/>
                <w:sz w:val="20"/>
                <w:szCs w:val="20"/>
              </w:rPr>
              <w:t>1</w:t>
            </w:r>
            <w:r w:rsidR="459279B5" w:rsidRPr="43141313">
              <w:rPr>
                <w:rFonts w:ascii="Verdana" w:hAnsi="Verdana"/>
                <w:sz w:val="20"/>
                <w:szCs w:val="20"/>
              </w:rPr>
              <w:t>1</w:t>
            </w:r>
            <w:r w:rsidRPr="43141313">
              <w:rPr>
                <w:rFonts w:ascii="Verdana" w:hAnsi="Verdana"/>
                <w:sz w:val="20"/>
                <w:szCs w:val="20"/>
              </w:rPr>
              <w:t xml:space="preserve"> punten</w:t>
            </w:r>
          </w:p>
        </w:tc>
        <w:tc>
          <w:tcPr>
            <w:tcW w:w="0" w:type="auto"/>
            <w:vAlign w:val="center"/>
            <w:hideMark/>
          </w:tcPr>
          <w:p w14:paraId="0C30AD77" w14:textId="77777777" w:rsidR="002328B9" w:rsidRPr="002328B9" w:rsidRDefault="002328B9" w:rsidP="00995004">
            <w:pPr>
              <w:jc w:val="both"/>
              <w:rPr>
                <w:rFonts w:ascii="Verdana" w:hAnsi="Verdana"/>
                <w:sz w:val="20"/>
                <w:szCs w:val="20"/>
              </w:rPr>
            </w:pPr>
            <w:r w:rsidRPr="002328B9">
              <w:rPr>
                <w:rFonts w:ascii="Verdana" w:hAnsi="Verdana"/>
                <w:sz w:val="20"/>
                <w:szCs w:val="20"/>
              </w:rPr>
              <w:t>De gemeente kan besluiten één verlengingsjaar niet te benutten.</w:t>
            </w:r>
          </w:p>
        </w:tc>
      </w:tr>
      <w:tr w:rsidR="002328B9" w:rsidRPr="002328B9" w14:paraId="7A71C274" w14:textId="77777777" w:rsidTr="43141313">
        <w:trPr>
          <w:tblCellSpacing w:w="15" w:type="dxa"/>
        </w:trPr>
        <w:tc>
          <w:tcPr>
            <w:tcW w:w="0" w:type="auto"/>
            <w:vAlign w:val="center"/>
            <w:hideMark/>
          </w:tcPr>
          <w:p w14:paraId="147F75FC" w14:textId="4A767612" w:rsidR="002328B9" w:rsidRPr="002328B9" w:rsidRDefault="38FE24E2" w:rsidP="00995004">
            <w:pPr>
              <w:jc w:val="both"/>
              <w:rPr>
                <w:rFonts w:ascii="Verdana" w:hAnsi="Verdana"/>
                <w:sz w:val="20"/>
                <w:szCs w:val="20"/>
              </w:rPr>
            </w:pPr>
            <w:r w:rsidRPr="43141313">
              <w:rPr>
                <w:rFonts w:ascii="Verdana" w:hAnsi="Verdana"/>
                <w:sz w:val="20"/>
                <w:szCs w:val="20"/>
              </w:rPr>
              <w:t>16</w:t>
            </w:r>
            <w:r w:rsidR="29736E1F" w:rsidRPr="43141313">
              <w:rPr>
                <w:rFonts w:ascii="Verdana" w:hAnsi="Verdana"/>
                <w:sz w:val="20"/>
                <w:szCs w:val="20"/>
              </w:rPr>
              <w:t xml:space="preserve"> punten</w:t>
            </w:r>
          </w:p>
        </w:tc>
        <w:tc>
          <w:tcPr>
            <w:tcW w:w="0" w:type="auto"/>
            <w:vAlign w:val="center"/>
            <w:hideMark/>
          </w:tcPr>
          <w:p w14:paraId="78DE1252" w14:textId="77777777" w:rsidR="002328B9" w:rsidRPr="002328B9" w:rsidRDefault="002328B9" w:rsidP="00995004">
            <w:pPr>
              <w:jc w:val="both"/>
              <w:rPr>
                <w:rFonts w:ascii="Verdana" w:hAnsi="Verdana"/>
                <w:sz w:val="20"/>
                <w:szCs w:val="20"/>
              </w:rPr>
            </w:pPr>
            <w:r w:rsidRPr="002328B9">
              <w:rPr>
                <w:rFonts w:ascii="Verdana" w:hAnsi="Verdana"/>
                <w:sz w:val="20"/>
                <w:szCs w:val="20"/>
              </w:rPr>
              <w:t>De gemeente kan besluiten alle verlengingsjaren te laten vervallen.</w:t>
            </w:r>
          </w:p>
        </w:tc>
      </w:tr>
      <w:tr w:rsidR="002328B9" w:rsidRPr="002328B9" w14:paraId="34E6C9F3" w14:textId="77777777" w:rsidTr="43141313">
        <w:trPr>
          <w:tblCellSpacing w:w="15" w:type="dxa"/>
        </w:trPr>
        <w:tc>
          <w:tcPr>
            <w:tcW w:w="0" w:type="auto"/>
            <w:vAlign w:val="center"/>
            <w:hideMark/>
          </w:tcPr>
          <w:p w14:paraId="793DE748" w14:textId="6EC0582D" w:rsidR="002328B9" w:rsidRPr="002328B9" w:rsidRDefault="5B5296BD" w:rsidP="00995004">
            <w:pPr>
              <w:jc w:val="both"/>
              <w:rPr>
                <w:rFonts w:ascii="Verdana" w:hAnsi="Verdana"/>
                <w:sz w:val="20"/>
                <w:szCs w:val="20"/>
              </w:rPr>
            </w:pPr>
            <w:r w:rsidRPr="43141313">
              <w:rPr>
                <w:rFonts w:ascii="Verdana" w:hAnsi="Verdana"/>
                <w:sz w:val="20"/>
                <w:szCs w:val="20"/>
              </w:rPr>
              <w:t>19</w:t>
            </w:r>
            <w:r w:rsidR="29736E1F" w:rsidRPr="43141313">
              <w:rPr>
                <w:rFonts w:ascii="Verdana" w:hAnsi="Verdana"/>
                <w:sz w:val="20"/>
                <w:szCs w:val="20"/>
              </w:rPr>
              <w:t xml:space="preserve"> punten </w:t>
            </w:r>
          </w:p>
        </w:tc>
        <w:tc>
          <w:tcPr>
            <w:tcW w:w="0" w:type="auto"/>
            <w:vAlign w:val="center"/>
            <w:hideMark/>
          </w:tcPr>
          <w:p w14:paraId="56DE9AD5" w14:textId="77777777" w:rsidR="002328B9" w:rsidRPr="002328B9" w:rsidRDefault="002328B9" w:rsidP="00995004">
            <w:pPr>
              <w:jc w:val="both"/>
              <w:rPr>
                <w:rFonts w:ascii="Verdana" w:hAnsi="Verdana"/>
                <w:sz w:val="20"/>
                <w:szCs w:val="20"/>
              </w:rPr>
            </w:pPr>
            <w:r w:rsidRPr="002328B9">
              <w:rPr>
                <w:rFonts w:ascii="Verdana" w:hAnsi="Verdana"/>
                <w:sz w:val="20"/>
                <w:szCs w:val="20"/>
              </w:rPr>
              <w:t>De opdrachtnemer wordt schriftelijk in gebreke gesteld. Blijft herstel uit of is herstel blijvend onmogelijk, dan kan de gemeente de overeenkomst geheel of gedeeltelijk ontbinden.</w:t>
            </w:r>
          </w:p>
        </w:tc>
      </w:tr>
    </w:tbl>
    <w:p w14:paraId="135812BC" w14:textId="77777777" w:rsidR="001F668B" w:rsidRPr="00E00FB1" w:rsidRDefault="001F668B" w:rsidP="001F668B">
      <w:pPr>
        <w:spacing w:before="240" w:after="0" w:line="276" w:lineRule="auto"/>
        <w:jc w:val="both"/>
        <w:rPr>
          <w:rFonts w:ascii="Verdana" w:eastAsia="Georgia" w:hAnsi="Verdana" w:cs="Georgia"/>
          <w:b/>
          <w:sz w:val="20"/>
          <w:szCs w:val="20"/>
        </w:rPr>
      </w:pPr>
      <w:r w:rsidRPr="00E00FB1">
        <w:rPr>
          <w:rFonts w:ascii="Verdana" w:eastAsia="Georgia" w:hAnsi="Verdana" w:cs="Georgia"/>
          <w:b/>
          <w:sz w:val="20"/>
          <w:szCs w:val="20"/>
        </w:rPr>
        <w:t>In gebreke stellen en ontbinding contract</w:t>
      </w:r>
    </w:p>
    <w:p w14:paraId="7B503C91" w14:textId="747DFF44" w:rsidR="00E00FB1" w:rsidRPr="00E00FB1" w:rsidRDefault="00E00FB1" w:rsidP="00995004">
      <w:pPr>
        <w:jc w:val="both"/>
        <w:rPr>
          <w:rFonts w:ascii="Verdana" w:eastAsia="Georgia" w:hAnsi="Verdana" w:cs="Georgia"/>
          <w:sz w:val="20"/>
          <w:szCs w:val="20"/>
        </w:rPr>
      </w:pPr>
      <w:r w:rsidRPr="00E00FB1">
        <w:rPr>
          <w:rFonts w:ascii="Verdana" w:eastAsia="Georgia" w:hAnsi="Verdana" w:cs="Georgia"/>
          <w:sz w:val="20"/>
          <w:szCs w:val="20"/>
        </w:rPr>
        <w:t xml:space="preserve">Indien tijdens de looptijd van de overeenkomst sprake is van structurele </w:t>
      </w:r>
      <w:proofErr w:type="spellStart"/>
      <w:r w:rsidRPr="00E00FB1">
        <w:rPr>
          <w:rFonts w:ascii="Verdana" w:eastAsia="Georgia" w:hAnsi="Verdana" w:cs="Georgia"/>
          <w:sz w:val="20"/>
          <w:szCs w:val="20"/>
        </w:rPr>
        <w:t>onderprestatie</w:t>
      </w:r>
      <w:proofErr w:type="spellEnd"/>
      <w:r w:rsidRPr="00E00FB1">
        <w:rPr>
          <w:rFonts w:ascii="Verdana" w:eastAsia="Georgia" w:hAnsi="Verdana" w:cs="Georgia"/>
          <w:sz w:val="20"/>
          <w:szCs w:val="20"/>
        </w:rPr>
        <w:t>, waarbij het aantal punten wordt overschreden zoals omschreven in de voorgaande paragraaf, zal de Gemeente Midden-Drenthe de opdrachtnemer schriftelijk in gebreke stellen. In deze ingebrekestelling krijgt de opdrachtnemer een redelijke termijn om de geconstateerde tekortkomingen te herstellen.</w:t>
      </w:r>
    </w:p>
    <w:p w14:paraId="03BAB3EB" w14:textId="097ECABA" w:rsidR="002328B9" w:rsidRPr="00E00FB1" w:rsidRDefault="36942480" w:rsidP="00995004">
      <w:pPr>
        <w:jc w:val="both"/>
        <w:rPr>
          <w:rFonts w:ascii="Verdana" w:hAnsi="Verdana"/>
          <w:sz w:val="20"/>
          <w:szCs w:val="20"/>
        </w:rPr>
      </w:pPr>
      <w:r w:rsidRPr="43141313">
        <w:rPr>
          <w:rFonts w:ascii="Verdana" w:eastAsia="Georgia" w:hAnsi="Verdana" w:cs="Georgia"/>
          <w:sz w:val="20"/>
          <w:szCs w:val="20"/>
        </w:rPr>
        <w:t>Indien de opdrachtnemer niet of niet tijdig tot herstel overgaat, kan de gemeente besluiten de overeenkomst geheel of gedeeltelijk te ontbinden.</w:t>
      </w:r>
      <w:r w:rsidR="44A7C0AD" w:rsidRPr="43141313">
        <w:rPr>
          <w:rFonts w:ascii="Verdana" w:eastAsia="Georgia" w:hAnsi="Verdana" w:cs="Georgia"/>
          <w:sz w:val="20"/>
          <w:szCs w:val="20"/>
        </w:rPr>
        <w:t xml:space="preserve"> </w:t>
      </w:r>
      <w:r w:rsidRPr="43141313">
        <w:rPr>
          <w:rFonts w:ascii="Verdana" w:eastAsia="Georgia" w:hAnsi="Verdana" w:cs="Georgia"/>
          <w:sz w:val="20"/>
          <w:szCs w:val="20"/>
        </w:rPr>
        <w:t>De gemeente zal geen ingebrekestelling verzenden wanneer vaststaat dat nakoming blijvend onmogelijk is of wanneer de schade voortvloeit uit een onrechtmatige daad van de opdrachtnemer. In die gevallen kan de gemeente onmiddellijk overgaan tot ontbinding van de overeenkomst.</w:t>
      </w:r>
    </w:p>
    <w:p w14:paraId="13172E00" w14:textId="4C62CFAB" w:rsidR="43141313" w:rsidRDefault="43141313" w:rsidP="43141313">
      <w:pPr>
        <w:jc w:val="both"/>
        <w:rPr>
          <w:rFonts w:ascii="Verdana" w:eastAsia="Georgia" w:hAnsi="Verdana" w:cs="Georgia"/>
          <w:sz w:val="20"/>
          <w:szCs w:val="20"/>
        </w:rPr>
      </w:pPr>
    </w:p>
    <w:p w14:paraId="570CAF9D" w14:textId="08C22F50" w:rsidR="43141313" w:rsidRDefault="43141313" w:rsidP="43141313">
      <w:pPr>
        <w:jc w:val="both"/>
        <w:rPr>
          <w:rFonts w:ascii="Verdana" w:eastAsia="Georgia" w:hAnsi="Verdana" w:cs="Georgia"/>
          <w:sz w:val="20"/>
          <w:szCs w:val="20"/>
        </w:rPr>
      </w:pPr>
    </w:p>
    <w:p w14:paraId="1D9D0F9D" w14:textId="063B80C7" w:rsidR="43141313" w:rsidRDefault="43141313" w:rsidP="43141313">
      <w:pPr>
        <w:jc w:val="both"/>
        <w:rPr>
          <w:rFonts w:ascii="Verdana" w:eastAsia="Georgia" w:hAnsi="Verdana" w:cs="Georgia"/>
          <w:sz w:val="20"/>
          <w:szCs w:val="20"/>
        </w:rPr>
      </w:pPr>
    </w:p>
    <w:p w14:paraId="6F3BFC50" w14:textId="21C3E026" w:rsidR="43141313" w:rsidRDefault="43141313" w:rsidP="43141313">
      <w:pPr>
        <w:jc w:val="both"/>
        <w:rPr>
          <w:rFonts w:ascii="Verdana" w:eastAsia="Georgia" w:hAnsi="Verdana" w:cs="Georgia"/>
          <w:sz w:val="20"/>
          <w:szCs w:val="20"/>
        </w:rPr>
      </w:pPr>
    </w:p>
    <w:p w14:paraId="1FCD452B" w14:textId="036BE107" w:rsidR="43141313" w:rsidRDefault="43141313" w:rsidP="43141313">
      <w:pPr>
        <w:jc w:val="both"/>
        <w:rPr>
          <w:rFonts w:ascii="Verdana" w:eastAsia="Georgia" w:hAnsi="Verdana" w:cs="Georgia"/>
          <w:sz w:val="20"/>
          <w:szCs w:val="20"/>
        </w:rPr>
      </w:pPr>
    </w:p>
    <w:p w14:paraId="26C05AF7" w14:textId="1024C90F" w:rsidR="43141313" w:rsidRDefault="43141313" w:rsidP="43141313">
      <w:pPr>
        <w:jc w:val="both"/>
        <w:rPr>
          <w:rFonts w:ascii="Verdana" w:eastAsia="Georgia" w:hAnsi="Verdana" w:cs="Georgia"/>
          <w:sz w:val="20"/>
          <w:szCs w:val="20"/>
        </w:rPr>
      </w:pPr>
    </w:p>
    <w:p w14:paraId="0176A48E" w14:textId="1E8AA2C4" w:rsidR="43141313" w:rsidRDefault="43141313" w:rsidP="43141313">
      <w:pPr>
        <w:jc w:val="both"/>
        <w:rPr>
          <w:rFonts w:ascii="Verdana" w:eastAsia="Georgia" w:hAnsi="Verdana" w:cs="Georgia"/>
          <w:sz w:val="20"/>
          <w:szCs w:val="20"/>
        </w:rPr>
      </w:pPr>
    </w:p>
    <w:p w14:paraId="15126BFF" w14:textId="768A4FBA" w:rsidR="43141313" w:rsidRDefault="43141313" w:rsidP="43141313">
      <w:pPr>
        <w:jc w:val="both"/>
        <w:rPr>
          <w:rFonts w:ascii="Verdana" w:eastAsia="Georgia" w:hAnsi="Verdana" w:cs="Georgia"/>
          <w:sz w:val="20"/>
          <w:szCs w:val="20"/>
        </w:rPr>
      </w:pPr>
    </w:p>
    <w:p w14:paraId="75911814" w14:textId="3E515712" w:rsidR="43141313" w:rsidRDefault="43141313" w:rsidP="43141313">
      <w:pPr>
        <w:jc w:val="both"/>
        <w:rPr>
          <w:rFonts w:ascii="Verdana" w:eastAsia="Georgia" w:hAnsi="Verdana" w:cs="Georgia"/>
          <w:sz w:val="20"/>
          <w:szCs w:val="20"/>
        </w:rPr>
      </w:pPr>
    </w:p>
    <w:p w14:paraId="267EA89C" w14:textId="734F89AE" w:rsidR="43141313" w:rsidRDefault="43141313" w:rsidP="43141313">
      <w:pPr>
        <w:jc w:val="both"/>
        <w:rPr>
          <w:rFonts w:ascii="Verdana" w:eastAsia="Georgia" w:hAnsi="Verdana" w:cs="Georgia"/>
          <w:sz w:val="20"/>
          <w:szCs w:val="20"/>
        </w:rPr>
      </w:pPr>
    </w:p>
    <w:p w14:paraId="3F1F826A" w14:textId="4F159035" w:rsidR="43141313" w:rsidRDefault="43141313" w:rsidP="43141313">
      <w:pPr>
        <w:jc w:val="both"/>
        <w:rPr>
          <w:rFonts w:ascii="Verdana" w:eastAsia="Georgia" w:hAnsi="Verdana" w:cs="Georgia"/>
          <w:sz w:val="20"/>
          <w:szCs w:val="20"/>
        </w:rPr>
      </w:pPr>
    </w:p>
    <w:p w14:paraId="6AA7DF27" w14:textId="7C81C2D4" w:rsidR="43141313" w:rsidRDefault="43141313" w:rsidP="43141313">
      <w:pPr>
        <w:jc w:val="both"/>
        <w:rPr>
          <w:rFonts w:ascii="Verdana" w:eastAsia="Georgia" w:hAnsi="Verdana" w:cs="Georgia"/>
          <w:sz w:val="20"/>
          <w:szCs w:val="20"/>
        </w:rPr>
      </w:pPr>
    </w:p>
    <w:p w14:paraId="39560FC5" w14:textId="491A5104" w:rsidR="43141313" w:rsidRDefault="43141313" w:rsidP="43141313">
      <w:pPr>
        <w:jc w:val="both"/>
        <w:rPr>
          <w:rFonts w:ascii="Verdana" w:eastAsia="Georgia" w:hAnsi="Verdana" w:cs="Georgia"/>
          <w:sz w:val="20"/>
          <w:szCs w:val="20"/>
        </w:rPr>
      </w:pPr>
    </w:p>
    <w:p w14:paraId="6701E68D" w14:textId="270B580D" w:rsidR="43141313" w:rsidRDefault="43141313" w:rsidP="43141313">
      <w:pPr>
        <w:jc w:val="both"/>
        <w:rPr>
          <w:rFonts w:ascii="Verdana" w:eastAsia="Georgia" w:hAnsi="Verdana" w:cs="Georgia"/>
          <w:sz w:val="20"/>
          <w:szCs w:val="20"/>
        </w:rPr>
      </w:pPr>
    </w:p>
    <w:p w14:paraId="73D2B3C1" w14:textId="112851D8" w:rsidR="6DDDD283" w:rsidRDefault="6DDDD283" w:rsidP="43141313">
      <w:pPr>
        <w:jc w:val="both"/>
        <w:rPr>
          <w:rFonts w:ascii="Verdana" w:eastAsia="Georgia" w:hAnsi="Verdana" w:cs="Georgia"/>
          <w:sz w:val="20"/>
          <w:szCs w:val="20"/>
        </w:rPr>
      </w:pPr>
      <w:r w:rsidRPr="43141313">
        <w:rPr>
          <w:rFonts w:ascii="Verdana" w:eastAsia="Georgia" w:hAnsi="Verdana" w:cs="Georgia"/>
          <w:sz w:val="20"/>
          <w:szCs w:val="20"/>
        </w:rPr>
        <w:lastRenderedPageBreak/>
        <w:t xml:space="preserve">Bijlage 1. </w:t>
      </w:r>
      <w:proofErr w:type="spellStart"/>
      <w:r w:rsidRPr="43141313">
        <w:rPr>
          <w:rFonts w:ascii="Verdana" w:eastAsia="Georgia" w:hAnsi="Verdana" w:cs="Georgia"/>
          <w:sz w:val="20"/>
          <w:szCs w:val="20"/>
        </w:rPr>
        <w:t>KPI's</w:t>
      </w:r>
      <w:proofErr w:type="spellEnd"/>
      <w:r w:rsidRPr="43141313">
        <w:rPr>
          <w:rFonts w:ascii="Verdana" w:eastAsia="Georgia" w:hAnsi="Verdana" w:cs="Georgia"/>
          <w:sz w:val="20"/>
          <w:szCs w:val="20"/>
        </w:rPr>
        <w:t xml:space="preserve"> en meetwijze</w:t>
      </w:r>
    </w:p>
    <w:tbl>
      <w:tblPr>
        <w:tblW w:w="0" w:type="auto"/>
        <w:tblLayout w:type="fixed"/>
        <w:tblLook w:val="06A0" w:firstRow="1" w:lastRow="0" w:firstColumn="1" w:lastColumn="0" w:noHBand="1" w:noVBand="1"/>
      </w:tblPr>
      <w:tblGrid>
        <w:gridCol w:w="1545"/>
        <w:gridCol w:w="3240"/>
        <w:gridCol w:w="1740"/>
        <w:gridCol w:w="1763"/>
        <w:gridCol w:w="840"/>
      </w:tblGrid>
      <w:tr w:rsidR="43141313" w14:paraId="71464D3A" w14:textId="77777777" w:rsidTr="43141313">
        <w:trPr>
          <w:trHeight w:val="25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F81BD"/>
            <w:tcMar>
              <w:top w:w="15" w:type="dxa"/>
              <w:left w:w="15" w:type="dxa"/>
              <w:right w:w="15" w:type="dxa"/>
            </w:tcMar>
          </w:tcPr>
          <w:p w14:paraId="1DA6B54B" w14:textId="46D3DF0E" w:rsidR="43141313" w:rsidRDefault="43141313" w:rsidP="43141313">
            <w:pPr>
              <w:spacing w:after="0"/>
              <w:jc w:val="both"/>
            </w:pPr>
            <w:r w:rsidRPr="43141313">
              <w:rPr>
                <w:rFonts w:ascii="Arial" w:eastAsia="Arial" w:hAnsi="Arial" w:cs="Arial"/>
                <w:b/>
                <w:bCs/>
                <w:color w:val="FFFFFF" w:themeColor="background1"/>
                <w:sz w:val="20"/>
                <w:szCs w:val="20"/>
              </w:rPr>
              <w:t>Onderwerp</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F81BD"/>
            <w:tcMar>
              <w:top w:w="15" w:type="dxa"/>
              <w:left w:w="15" w:type="dxa"/>
              <w:right w:w="15" w:type="dxa"/>
            </w:tcMar>
          </w:tcPr>
          <w:p w14:paraId="6451398A" w14:textId="496B043A" w:rsidR="43141313" w:rsidRDefault="43141313" w:rsidP="43141313">
            <w:pPr>
              <w:spacing w:after="0"/>
              <w:jc w:val="both"/>
            </w:pPr>
            <w:r w:rsidRPr="43141313">
              <w:rPr>
                <w:rFonts w:ascii="Arial" w:eastAsia="Arial" w:hAnsi="Arial" w:cs="Arial"/>
                <w:b/>
                <w:bCs/>
                <w:color w:val="FFFFFF" w:themeColor="background1"/>
                <w:sz w:val="20"/>
                <w:szCs w:val="20"/>
              </w:rPr>
              <w:t>Controle item</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F81BD"/>
            <w:tcMar>
              <w:top w:w="15" w:type="dxa"/>
              <w:left w:w="15" w:type="dxa"/>
              <w:right w:w="15" w:type="dxa"/>
            </w:tcMar>
          </w:tcPr>
          <w:p w14:paraId="12A9DD71" w14:textId="538A22B4" w:rsidR="43141313" w:rsidRDefault="43141313" w:rsidP="43141313">
            <w:pPr>
              <w:spacing w:after="0"/>
              <w:jc w:val="both"/>
            </w:pPr>
            <w:r w:rsidRPr="43141313">
              <w:rPr>
                <w:rFonts w:ascii="Arial" w:eastAsia="Arial" w:hAnsi="Arial" w:cs="Arial"/>
                <w:b/>
                <w:bCs/>
                <w:color w:val="FFFFFF" w:themeColor="background1"/>
                <w:sz w:val="20"/>
                <w:szCs w:val="20"/>
              </w:rPr>
              <w:t>Meetwijze</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F81BD"/>
            <w:tcMar>
              <w:top w:w="15" w:type="dxa"/>
              <w:left w:w="15" w:type="dxa"/>
              <w:right w:w="15" w:type="dxa"/>
            </w:tcMar>
          </w:tcPr>
          <w:p w14:paraId="05E05CCC" w14:textId="097BDA89" w:rsidR="43141313" w:rsidRDefault="43141313" w:rsidP="43141313">
            <w:pPr>
              <w:spacing w:after="0"/>
              <w:jc w:val="both"/>
            </w:pPr>
            <w:r w:rsidRPr="43141313">
              <w:rPr>
                <w:rFonts w:ascii="Arial" w:eastAsia="Arial" w:hAnsi="Arial" w:cs="Arial"/>
                <w:b/>
                <w:bCs/>
                <w:color w:val="FFFFFF" w:themeColor="background1"/>
                <w:sz w:val="20"/>
                <w:szCs w:val="20"/>
              </w:rPr>
              <w:t>Definitie resultaat</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F81BD"/>
            <w:tcMar>
              <w:top w:w="15" w:type="dxa"/>
              <w:left w:w="15" w:type="dxa"/>
              <w:right w:w="15" w:type="dxa"/>
            </w:tcMar>
          </w:tcPr>
          <w:p w14:paraId="2FD2DD98" w14:textId="49BD8B56" w:rsidR="43141313" w:rsidRDefault="43141313" w:rsidP="43141313">
            <w:pPr>
              <w:spacing w:after="0"/>
              <w:jc w:val="both"/>
            </w:pPr>
            <w:r w:rsidRPr="43141313">
              <w:rPr>
                <w:rFonts w:ascii="Arial" w:eastAsia="Arial" w:hAnsi="Arial" w:cs="Arial"/>
                <w:b/>
                <w:bCs/>
                <w:color w:val="FFFFFF" w:themeColor="background1"/>
                <w:sz w:val="20"/>
                <w:szCs w:val="20"/>
              </w:rPr>
              <w:t>punten bij fout</w:t>
            </w:r>
          </w:p>
        </w:tc>
      </w:tr>
      <w:tr w:rsidR="43141313" w14:paraId="3326F242" w14:textId="77777777" w:rsidTr="43141313">
        <w:trPr>
          <w:trHeight w:val="1050"/>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4478BC7" w14:textId="188A9EE0" w:rsidR="43141313" w:rsidRDefault="43141313" w:rsidP="43141313">
            <w:pPr>
              <w:spacing w:after="0"/>
              <w:jc w:val="both"/>
            </w:pPr>
            <w:r w:rsidRPr="43141313">
              <w:rPr>
                <w:rFonts w:ascii="Arial" w:eastAsia="Arial" w:hAnsi="Arial" w:cs="Arial"/>
                <w:color w:val="000000" w:themeColor="text1"/>
                <w:sz w:val="20"/>
                <w:szCs w:val="20"/>
              </w:rPr>
              <w:t>Vervulgraad</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9BBCE4D" w14:textId="6A6E01EE" w:rsidR="43141313" w:rsidRDefault="43141313" w:rsidP="43141313">
            <w:pPr>
              <w:spacing w:after="0"/>
              <w:jc w:val="both"/>
            </w:pPr>
            <w:r w:rsidRPr="43141313">
              <w:rPr>
                <w:rFonts w:ascii="Arial" w:eastAsia="Arial" w:hAnsi="Arial" w:cs="Arial"/>
                <w:color w:val="000000" w:themeColor="text1"/>
                <w:sz w:val="20"/>
                <w:szCs w:val="20"/>
              </w:rPr>
              <w:t xml:space="preserve">Geeft aan in hoeverre </w:t>
            </w:r>
            <w:r w:rsidR="7882A106" w:rsidRPr="43141313">
              <w:rPr>
                <w:rFonts w:ascii="Arial" w:eastAsia="Arial" w:hAnsi="Arial" w:cs="Arial"/>
                <w:color w:val="000000" w:themeColor="text1"/>
                <w:sz w:val="20"/>
                <w:szCs w:val="20"/>
              </w:rPr>
              <w:t>inhuur uitvragen</w:t>
            </w:r>
            <w:r w:rsidRPr="43141313">
              <w:rPr>
                <w:rFonts w:ascii="Arial" w:eastAsia="Arial" w:hAnsi="Arial" w:cs="Arial"/>
                <w:color w:val="000000" w:themeColor="text1"/>
                <w:sz w:val="20"/>
                <w:szCs w:val="20"/>
              </w:rPr>
              <w:t xml:space="preserve"> succesvol zijn ingevuld. Een uitvraag geldt als succesvol ingevuld wanneer de kandidaat is aangenomen én minimaal één maand in dienst is geweest.</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01002994" w14:textId="379E423E" w:rsidR="43141313" w:rsidRDefault="43141313" w:rsidP="43141313">
            <w:pPr>
              <w:spacing w:after="0"/>
              <w:jc w:val="both"/>
            </w:pPr>
            <w:r w:rsidRPr="43141313">
              <w:rPr>
                <w:rFonts w:ascii="Arial" w:eastAsia="Arial" w:hAnsi="Arial" w:cs="Arial"/>
                <w:color w:val="000000" w:themeColor="text1"/>
                <w:sz w:val="20"/>
                <w:szCs w:val="20"/>
              </w:rPr>
              <w:t>Opvraagbaar vanuit rapportage per kwartaal.</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7627DB62" w14:textId="1A663D21" w:rsidR="43141313" w:rsidRDefault="43141313" w:rsidP="43141313">
            <w:pPr>
              <w:spacing w:after="0"/>
              <w:jc w:val="both"/>
            </w:pPr>
            <w:r w:rsidRPr="43141313">
              <w:rPr>
                <w:rFonts w:ascii="Arial" w:eastAsia="Arial" w:hAnsi="Arial" w:cs="Arial"/>
                <w:color w:val="000000" w:themeColor="text1"/>
                <w:sz w:val="20"/>
                <w:szCs w:val="20"/>
              </w:rPr>
              <w:t>≥ 95 % van alle aanvragen wordt succesvol ingevuld.</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75F7E619" w14:textId="7572472E"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30EA54E5" w14:textId="77777777" w:rsidTr="43141313">
        <w:trPr>
          <w:trHeight w:val="2340"/>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4924B0D2" w14:textId="46FA482F" w:rsidR="43141313" w:rsidRDefault="43141313" w:rsidP="43141313">
            <w:pPr>
              <w:spacing w:after="0"/>
              <w:jc w:val="both"/>
              <w:rPr>
                <w:rFonts w:ascii="Arial" w:eastAsia="Arial" w:hAnsi="Arial" w:cs="Arial"/>
                <w:color w:val="000000" w:themeColor="text1"/>
                <w:sz w:val="20"/>
                <w:szCs w:val="20"/>
              </w:rPr>
            </w:pPr>
            <w:r w:rsidRPr="43141313">
              <w:rPr>
                <w:rFonts w:ascii="Arial" w:eastAsia="Arial" w:hAnsi="Arial" w:cs="Arial"/>
                <w:color w:val="000000" w:themeColor="text1"/>
                <w:sz w:val="20"/>
                <w:szCs w:val="20"/>
              </w:rPr>
              <w:t xml:space="preserve">Time </w:t>
            </w:r>
            <w:proofErr w:type="spellStart"/>
            <w:r w:rsidRPr="43141313">
              <w:rPr>
                <w:rFonts w:ascii="Arial" w:eastAsia="Arial" w:hAnsi="Arial" w:cs="Arial"/>
                <w:color w:val="000000" w:themeColor="text1"/>
                <w:sz w:val="20"/>
                <w:szCs w:val="20"/>
              </w:rPr>
              <w:t>to</w:t>
            </w:r>
            <w:proofErr w:type="spellEnd"/>
            <w:r w:rsidRPr="43141313">
              <w:rPr>
                <w:rFonts w:ascii="Arial" w:eastAsia="Arial" w:hAnsi="Arial" w:cs="Arial"/>
                <w:color w:val="000000" w:themeColor="text1"/>
                <w:sz w:val="20"/>
                <w:szCs w:val="20"/>
              </w:rPr>
              <w:t xml:space="preserve"> </w:t>
            </w:r>
            <w:proofErr w:type="spellStart"/>
            <w:r w:rsidRPr="43141313">
              <w:rPr>
                <w:rFonts w:ascii="Arial" w:eastAsia="Arial" w:hAnsi="Arial" w:cs="Arial"/>
                <w:color w:val="000000" w:themeColor="text1"/>
                <w:sz w:val="20"/>
                <w:szCs w:val="20"/>
              </w:rPr>
              <w:t>fill</w:t>
            </w:r>
            <w:proofErr w:type="spellEnd"/>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38222CF7" w14:textId="42C392EF" w:rsidR="43141313" w:rsidRDefault="43141313" w:rsidP="43141313">
            <w:pPr>
              <w:spacing w:after="0"/>
              <w:jc w:val="both"/>
            </w:pPr>
            <w:r w:rsidRPr="43141313">
              <w:rPr>
                <w:rFonts w:ascii="Arial" w:eastAsia="Arial" w:hAnsi="Arial" w:cs="Arial"/>
                <w:color w:val="000000" w:themeColor="text1"/>
                <w:sz w:val="20"/>
                <w:szCs w:val="20"/>
              </w:rPr>
              <w:t>Aantal werkdagen tussen de datum van uitvraag en het moment waarop een geschikte kandidaat wordt voorgesteld.</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23744AA3" w14:textId="396B6F84" w:rsidR="43141313" w:rsidRDefault="43141313" w:rsidP="43141313">
            <w:pPr>
              <w:spacing w:after="0"/>
              <w:jc w:val="both"/>
            </w:pPr>
            <w:r w:rsidRPr="43141313">
              <w:rPr>
                <w:rFonts w:ascii="Arial" w:eastAsia="Arial" w:hAnsi="Arial" w:cs="Arial"/>
                <w:color w:val="000000" w:themeColor="text1"/>
                <w:sz w:val="20"/>
                <w:szCs w:val="20"/>
              </w:rPr>
              <w:t>Rapportage per kwartaal met gemiddelde doorlooptijd per type inhuur.</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5419E47C" w14:textId="7967FA8C" w:rsidR="43141313" w:rsidRDefault="43141313" w:rsidP="43141313">
            <w:pPr>
              <w:spacing w:after="0"/>
              <w:jc w:val="both"/>
            </w:pPr>
            <w:r w:rsidRPr="43141313">
              <w:rPr>
                <w:rFonts w:ascii="Arial" w:eastAsia="Arial" w:hAnsi="Arial" w:cs="Arial"/>
                <w:color w:val="000000" w:themeColor="text1"/>
                <w:sz w:val="20"/>
                <w:szCs w:val="20"/>
              </w:rPr>
              <w:t>Detachering: gemiddeld ≤ 5 werkdagen</w:t>
            </w:r>
            <w:r>
              <w:br/>
            </w:r>
            <w:r w:rsidRPr="43141313">
              <w:rPr>
                <w:rFonts w:ascii="Arial" w:eastAsia="Arial" w:hAnsi="Arial" w:cs="Arial"/>
                <w:color w:val="000000" w:themeColor="text1"/>
                <w:sz w:val="20"/>
                <w:szCs w:val="20"/>
              </w:rPr>
              <w:t xml:space="preserve"> ZZP: gemiddeld ≤ 5 werkdagen</w:t>
            </w:r>
            <w:r>
              <w:br/>
            </w:r>
            <w:r w:rsidRPr="43141313">
              <w:rPr>
                <w:rFonts w:ascii="Arial" w:eastAsia="Arial" w:hAnsi="Arial" w:cs="Arial"/>
                <w:color w:val="000000" w:themeColor="text1"/>
                <w:sz w:val="20"/>
                <w:szCs w:val="20"/>
              </w:rPr>
              <w:t xml:space="preserve"> Uitzendkracht: gemiddeld ≤ 5 werkdagen</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0FDA9B92" w14:textId="4154914F"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14625230" w14:textId="77777777" w:rsidTr="43141313">
        <w:trPr>
          <w:trHeight w:val="97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7BA12023" w14:textId="5084D1A8" w:rsidR="43141313" w:rsidRDefault="43141313" w:rsidP="43141313">
            <w:pPr>
              <w:spacing w:after="0"/>
              <w:jc w:val="both"/>
            </w:pPr>
            <w:r w:rsidRPr="43141313">
              <w:rPr>
                <w:rFonts w:ascii="Arial" w:eastAsia="Arial" w:hAnsi="Arial" w:cs="Arial"/>
                <w:color w:val="000000" w:themeColor="text1"/>
                <w:sz w:val="20"/>
                <w:szCs w:val="20"/>
              </w:rPr>
              <w:t>Matchingkwaliteit</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7A215A1F" w14:textId="76ACAA69" w:rsidR="43141313" w:rsidRDefault="43141313" w:rsidP="43141313">
            <w:pPr>
              <w:spacing w:after="0"/>
              <w:jc w:val="both"/>
            </w:pPr>
            <w:r w:rsidRPr="43141313">
              <w:rPr>
                <w:rFonts w:ascii="Arial" w:eastAsia="Arial" w:hAnsi="Arial" w:cs="Arial"/>
                <w:color w:val="000000" w:themeColor="text1"/>
                <w:sz w:val="20"/>
                <w:szCs w:val="20"/>
              </w:rPr>
              <w:t>Mate waarin aangeboden kandidaten voldoen aan de harde eisen uit de aanvraag (opleiding, ervaring, certificering).</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5A581647" w14:textId="3A75066A" w:rsidR="43141313" w:rsidRDefault="43141313" w:rsidP="43141313">
            <w:pPr>
              <w:spacing w:after="0"/>
              <w:jc w:val="both"/>
            </w:pPr>
            <w:r w:rsidRPr="43141313">
              <w:rPr>
                <w:rFonts w:ascii="Arial" w:eastAsia="Arial" w:hAnsi="Arial" w:cs="Arial"/>
                <w:color w:val="000000" w:themeColor="text1"/>
                <w:sz w:val="20"/>
                <w:szCs w:val="20"/>
              </w:rPr>
              <w:t xml:space="preserve">Per kwartaal voert de opdrachtgever een steekproef uit van minimaal drie willekeurig gekozen </w:t>
            </w:r>
            <w:proofErr w:type="spellStart"/>
            <w:r w:rsidRPr="43141313">
              <w:rPr>
                <w:rFonts w:ascii="Arial" w:eastAsia="Arial" w:hAnsi="Arial" w:cs="Arial"/>
                <w:color w:val="000000" w:themeColor="text1"/>
                <w:sz w:val="20"/>
                <w:szCs w:val="20"/>
              </w:rPr>
              <w:t>inhuuruitvragen</w:t>
            </w:r>
            <w:proofErr w:type="spellEnd"/>
            <w:r w:rsidRPr="43141313">
              <w:rPr>
                <w:rFonts w:ascii="Arial" w:eastAsia="Arial" w:hAnsi="Arial" w:cs="Arial"/>
                <w:color w:val="000000" w:themeColor="text1"/>
                <w:sz w:val="20"/>
                <w:szCs w:val="20"/>
              </w:rPr>
              <w:t>. *</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43EF2AE" w14:textId="617A35BB" w:rsidR="43141313" w:rsidRDefault="43141313" w:rsidP="43141313">
            <w:pPr>
              <w:spacing w:after="0"/>
              <w:jc w:val="both"/>
            </w:pPr>
            <w:r w:rsidRPr="43141313">
              <w:rPr>
                <w:rFonts w:ascii="Arial" w:eastAsia="Arial" w:hAnsi="Arial" w:cs="Arial"/>
                <w:color w:val="000000" w:themeColor="text1"/>
                <w:sz w:val="20"/>
                <w:szCs w:val="20"/>
              </w:rPr>
              <w:t>Minimaal 70% van de beoordeelde kandidaten voldoet volledig aan de harde functie-eisen.</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39F75833" w14:textId="46E5293B"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48AA23D8" w14:textId="77777777" w:rsidTr="43141313">
        <w:trPr>
          <w:trHeight w:val="70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641EC789" w14:textId="645E8541" w:rsidR="43141313" w:rsidRDefault="43141313" w:rsidP="43141313">
            <w:pPr>
              <w:spacing w:after="0"/>
              <w:jc w:val="both"/>
            </w:pPr>
            <w:r w:rsidRPr="43141313">
              <w:rPr>
                <w:rFonts w:ascii="Arial" w:eastAsia="Arial" w:hAnsi="Arial" w:cs="Arial"/>
                <w:color w:val="000000" w:themeColor="text1"/>
                <w:sz w:val="20"/>
                <w:szCs w:val="20"/>
              </w:rPr>
              <w:t>Tariefconformiteit</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3A5B6B5E" w14:textId="0AE64F06" w:rsidR="43141313" w:rsidRDefault="43141313" w:rsidP="43141313">
            <w:pPr>
              <w:spacing w:after="0"/>
              <w:jc w:val="both"/>
            </w:pPr>
            <w:r w:rsidRPr="43141313">
              <w:rPr>
                <w:rFonts w:ascii="Arial" w:eastAsia="Arial" w:hAnsi="Arial" w:cs="Arial"/>
                <w:color w:val="000000" w:themeColor="text1"/>
                <w:sz w:val="20"/>
                <w:szCs w:val="20"/>
              </w:rPr>
              <w:t>Mate waarin ingezette kandidaten zijn geplaatst binnen de overeengekomen richttarieven (bandbreedtes).</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5878431B" w14:textId="04845D14" w:rsidR="43141313" w:rsidRDefault="43141313" w:rsidP="43141313">
            <w:pPr>
              <w:spacing w:after="0"/>
              <w:jc w:val="both"/>
            </w:pPr>
            <w:r w:rsidRPr="43141313">
              <w:rPr>
                <w:rFonts w:ascii="Arial" w:eastAsia="Arial" w:hAnsi="Arial" w:cs="Arial"/>
                <w:color w:val="000000" w:themeColor="text1"/>
                <w:sz w:val="20"/>
                <w:szCs w:val="20"/>
              </w:rPr>
              <w:t>Per kwartaal voert de opdrachtgever een steekproef uit van minimaal drie willekeurig gekozen plaatsingen.</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6FCB555E" w14:textId="4C794217" w:rsidR="43141313" w:rsidRDefault="43141313" w:rsidP="43141313">
            <w:pPr>
              <w:spacing w:after="0"/>
              <w:jc w:val="both"/>
            </w:pPr>
            <w:r w:rsidRPr="43141313">
              <w:rPr>
                <w:rFonts w:ascii="Arial" w:eastAsia="Arial" w:hAnsi="Arial" w:cs="Arial"/>
                <w:color w:val="000000" w:themeColor="text1"/>
                <w:sz w:val="20"/>
                <w:szCs w:val="20"/>
              </w:rPr>
              <w:t>Alle drie de plaatsingen dienen te vallen binnen de overeengekomen bandbreedtes.</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3A41147A" w14:textId="13F6EFE2"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1B219990" w14:textId="77777777" w:rsidTr="43141313">
        <w:trPr>
          <w:trHeight w:val="46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55630AF" w14:textId="06606D5D" w:rsidR="43141313" w:rsidRDefault="43141313" w:rsidP="43141313">
            <w:pPr>
              <w:spacing w:after="0"/>
              <w:jc w:val="both"/>
            </w:pPr>
            <w:r w:rsidRPr="43141313">
              <w:rPr>
                <w:rFonts w:ascii="Arial" w:eastAsia="Arial" w:hAnsi="Arial" w:cs="Arial"/>
                <w:color w:val="000000" w:themeColor="text1"/>
                <w:sz w:val="20"/>
                <w:szCs w:val="20"/>
              </w:rPr>
              <w:t>Klanttevredenheid</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A5ACDA6" w14:textId="2FA1812A" w:rsidR="43141313" w:rsidRDefault="43141313" w:rsidP="43141313">
            <w:pPr>
              <w:spacing w:after="0"/>
              <w:jc w:val="both"/>
            </w:pPr>
            <w:r w:rsidRPr="43141313">
              <w:rPr>
                <w:rFonts w:ascii="Arial" w:eastAsia="Arial" w:hAnsi="Arial" w:cs="Arial"/>
                <w:color w:val="000000" w:themeColor="text1"/>
                <w:sz w:val="20"/>
                <w:szCs w:val="20"/>
              </w:rPr>
              <w:t>Tevredenheid van inhurende managers over de dienstverlening van de MSP.</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41DC04BB" w14:textId="1B13075B" w:rsidR="43141313" w:rsidRDefault="43141313" w:rsidP="43141313">
            <w:pPr>
              <w:spacing w:after="0"/>
              <w:jc w:val="both"/>
            </w:pPr>
            <w:r w:rsidRPr="43141313">
              <w:rPr>
                <w:rFonts w:ascii="Arial" w:eastAsia="Arial" w:hAnsi="Arial" w:cs="Arial"/>
                <w:color w:val="000000" w:themeColor="text1"/>
                <w:sz w:val="20"/>
                <w:szCs w:val="20"/>
              </w:rPr>
              <w:t>Jaarlijkse KTO (score 1-10)</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4206FDC9" w14:textId="32CF4ED3" w:rsidR="43141313" w:rsidRDefault="43141313" w:rsidP="43141313">
            <w:pPr>
              <w:spacing w:after="0"/>
              <w:jc w:val="both"/>
            </w:pPr>
            <w:r w:rsidRPr="43141313">
              <w:rPr>
                <w:rFonts w:ascii="Arial" w:eastAsia="Arial" w:hAnsi="Arial" w:cs="Arial"/>
                <w:color w:val="000000" w:themeColor="text1"/>
                <w:sz w:val="20"/>
                <w:szCs w:val="20"/>
              </w:rPr>
              <w:t>Gemiddeld KTO score ≥ 7,5</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17CD47E4" w14:textId="65AA7EE3"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3D1C94DD" w14:textId="77777777" w:rsidTr="43141313">
        <w:trPr>
          <w:trHeight w:val="52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780917FF" w14:textId="2277D5D6" w:rsidR="43141313" w:rsidRDefault="43141313" w:rsidP="43141313">
            <w:pPr>
              <w:spacing w:after="0"/>
              <w:jc w:val="both"/>
            </w:pPr>
            <w:r w:rsidRPr="43141313">
              <w:rPr>
                <w:rFonts w:ascii="Arial" w:eastAsia="Arial" w:hAnsi="Arial" w:cs="Arial"/>
                <w:color w:val="000000" w:themeColor="text1"/>
                <w:sz w:val="20"/>
                <w:szCs w:val="20"/>
              </w:rPr>
              <w:t>Leverancierstevredenheid</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299E58F7" w14:textId="76466CF8" w:rsidR="43141313" w:rsidRDefault="43141313" w:rsidP="43141313">
            <w:pPr>
              <w:spacing w:after="0"/>
              <w:jc w:val="both"/>
            </w:pPr>
            <w:r w:rsidRPr="43141313">
              <w:rPr>
                <w:rFonts w:ascii="Arial" w:eastAsia="Arial" w:hAnsi="Arial" w:cs="Arial"/>
                <w:color w:val="000000" w:themeColor="text1"/>
                <w:sz w:val="20"/>
                <w:szCs w:val="20"/>
              </w:rPr>
              <w:t>Tevredenheid van aangesloten leveranciers en/of ZZP’ers over de samenwerking met de MSP.</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51F7B57B" w14:textId="33346FEA" w:rsidR="43141313" w:rsidRDefault="43141313" w:rsidP="43141313">
            <w:pPr>
              <w:spacing w:after="0"/>
              <w:jc w:val="both"/>
            </w:pPr>
            <w:r w:rsidRPr="43141313">
              <w:rPr>
                <w:rFonts w:ascii="Arial" w:eastAsia="Arial" w:hAnsi="Arial" w:cs="Arial"/>
                <w:color w:val="000000" w:themeColor="text1"/>
                <w:sz w:val="20"/>
                <w:szCs w:val="20"/>
              </w:rPr>
              <w:t>Jaarlijkse enquête</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0FA243F4" w14:textId="18E837F3" w:rsidR="43141313" w:rsidRDefault="43141313" w:rsidP="43141313">
            <w:pPr>
              <w:spacing w:after="0"/>
              <w:jc w:val="both"/>
            </w:pPr>
            <w:r w:rsidRPr="43141313">
              <w:rPr>
                <w:rFonts w:ascii="Arial" w:eastAsia="Arial" w:hAnsi="Arial" w:cs="Arial"/>
                <w:color w:val="000000" w:themeColor="text1"/>
                <w:sz w:val="20"/>
                <w:szCs w:val="20"/>
              </w:rPr>
              <w:t>Gemiddeld KTO score ≥ 7,0</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tcPr>
          <w:p w14:paraId="351DCF20" w14:textId="4056E1A4" w:rsidR="43141313" w:rsidRDefault="43141313" w:rsidP="43141313">
            <w:pPr>
              <w:spacing w:after="0"/>
              <w:jc w:val="both"/>
            </w:pPr>
            <w:r w:rsidRPr="43141313">
              <w:rPr>
                <w:rFonts w:ascii="Arial" w:eastAsia="Arial" w:hAnsi="Arial" w:cs="Arial"/>
                <w:color w:val="000000" w:themeColor="text1"/>
                <w:sz w:val="20"/>
                <w:szCs w:val="20"/>
              </w:rPr>
              <w:t>1</w:t>
            </w:r>
          </w:p>
        </w:tc>
      </w:tr>
      <w:tr w:rsidR="43141313" w14:paraId="0F7E7D53" w14:textId="77777777" w:rsidTr="43141313">
        <w:trPr>
          <w:trHeight w:val="465"/>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3A14618B" w14:textId="2751239C" w:rsidR="43141313" w:rsidRDefault="43141313" w:rsidP="43141313">
            <w:pPr>
              <w:spacing w:after="0"/>
              <w:jc w:val="both"/>
            </w:pPr>
            <w:r w:rsidRPr="43141313">
              <w:rPr>
                <w:rFonts w:ascii="Arial" w:eastAsia="Arial" w:hAnsi="Arial" w:cs="Arial"/>
                <w:color w:val="000000" w:themeColor="text1"/>
                <w:sz w:val="20"/>
                <w:szCs w:val="20"/>
              </w:rPr>
              <w:t>Dossiervorming</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vAlign w:val="bottom"/>
          </w:tcPr>
          <w:p w14:paraId="14644236" w14:textId="57BD1C77" w:rsidR="43141313" w:rsidRDefault="43141313" w:rsidP="43141313">
            <w:pPr>
              <w:spacing w:after="0"/>
              <w:jc w:val="both"/>
            </w:pPr>
            <w:r w:rsidRPr="43141313">
              <w:rPr>
                <w:rFonts w:ascii="Arial" w:eastAsia="Arial" w:hAnsi="Arial" w:cs="Arial"/>
                <w:color w:val="000000" w:themeColor="text1"/>
                <w:sz w:val="20"/>
                <w:szCs w:val="20"/>
              </w:rPr>
              <w:t>Mate waarin dossiers volledig en correct zijn opgebouwd.</w:t>
            </w:r>
          </w:p>
        </w:tc>
        <w:tc>
          <w:tcPr>
            <w:tcW w:w="17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67AC7A9E" w14:textId="4393ECF5" w:rsidR="43141313" w:rsidRDefault="43141313" w:rsidP="43141313">
            <w:pPr>
              <w:spacing w:after="0"/>
              <w:jc w:val="both"/>
            </w:pPr>
            <w:r w:rsidRPr="43141313">
              <w:rPr>
                <w:rFonts w:ascii="Arial" w:eastAsia="Arial" w:hAnsi="Arial" w:cs="Arial"/>
                <w:color w:val="000000" w:themeColor="text1"/>
                <w:sz w:val="20"/>
                <w:szCs w:val="20"/>
              </w:rPr>
              <w:t xml:space="preserve">Steekproef van minimaal één willekeurig dossier per kwartaal. </w:t>
            </w:r>
          </w:p>
        </w:tc>
        <w:tc>
          <w:tcPr>
            <w:tcW w:w="17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5B624376" w14:textId="63BE57B4" w:rsidR="43141313" w:rsidRDefault="43141313" w:rsidP="43141313">
            <w:pPr>
              <w:spacing w:after="0"/>
              <w:jc w:val="both"/>
            </w:pPr>
            <w:r w:rsidRPr="43141313">
              <w:rPr>
                <w:rFonts w:ascii="Arial" w:eastAsia="Arial" w:hAnsi="Arial" w:cs="Arial"/>
                <w:color w:val="000000" w:themeColor="text1"/>
                <w:sz w:val="20"/>
                <w:szCs w:val="20"/>
              </w:rPr>
              <w:t xml:space="preserve">Alle verplichte documenten zijn aanwezig. Als dit niet het geval is wordt een punt toegekend. </w:t>
            </w:r>
          </w:p>
        </w:tc>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Mar>
              <w:top w:w="15" w:type="dxa"/>
              <w:left w:w="15" w:type="dxa"/>
              <w:right w:w="15" w:type="dxa"/>
            </w:tcMar>
          </w:tcPr>
          <w:p w14:paraId="1F6E60E0" w14:textId="3158EC3A" w:rsidR="43141313" w:rsidRDefault="43141313" w:rsidP="43141313">
            <w:pPr>
              <w:spacing w:after="0"/>
              <w:jc w:val="both"/>
            </w:pPr>
            <w:r w:rsidRPr="43141313">
              <w:rPr>
                <w:rFonts w:ascii="Arial" w:eastAsia="Arial" w:hAnsi="Arial" w:cs="Arial"/>
                <w:color w:val="000000" w:themeColor="text1"/>
                <w:sz w:val="20"/>
                <w:szCs w:val="20"/>
              </w:rPr>
              <w:t>1</w:t>
            </w:r>
          </w:p>
        </w:tc>
      </w:tr>
    </w:tbl>
    <w:p w14:paraId="5994CD22" w14:textId="75531771" w:rsidR="6133A0E8" w:rsidRDefault="6133A0E8" w:rsidP="43141313">
      <w:pPr>
        <w:spacing w:after="0"/>
      </w:pPr>
      <w:r w:rsidRPr="43141313">
        <w:rPr>
          <w:rFonts w:ascii="Arial" w:eastAsia="Arial" w:hAnsi="Arial" w:cs="Arial"/>
          <w:color w:val="000000" w:themeColor="text1"/>
          <w:sz w:val="20"/>
          <w:szCs w:val="20"/>
        </w:rPr>
        <w:t>* indien een uitzondering wordt gemaakt om toch een harde eis te laten vervallen wordt deze niet meegenomen in de steekproef.</w:t>
      </w:r>
    </w:p>
    <w:p w14:paraId="625C03BF" w14:textId="71B9E7BA" w:rsidR="43141313" w:rsidRDefault="43141313" w:rsidP="43141313">
      <w:pPr>
        <w:jc w:val="both"/>
      </w:pPr>
    </w:p>
    <w:sectPr w:rsidR="43141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B0C"/>
    <w:multiLevelType w:val="multilevel"/>
    <w:tmpl w:val="7BF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441A5"/>
    <w:multiLevelType w:val="multilevel"/>
    <w:tmpl w:val="57F4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424EA"/>
    <w:multiLevelType w:val="hybridMultilevel"/>
    <w:tmpl w:val="9E6E50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D1E4100"/>
    <w:multiLevelType w:val="multilevel"/>
    <w:tmpl w:val="CB4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26962"/>
    <w:multiLevelType w:val="hybridMultilevel"/>
    <w:tmpl w:val="66F2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7623104">
    <w:abstractNumId w:val="3"/>
  </w:num>
  <w:num w:numId="2" w16cid:durableId="119735239">
    <w:abstractNumId w:val="0"/>
  </w:num>
  <w:num w:numId="3" w16cid:durableId="1526946704">
    <w:abstractNumId w:val="4"/>
  </w:num>
  <w:num w:numId="4" w16cid:durableId="2082367533">
    <w:abstractNumId w:val="2"/>
  </w:num>
  <w:num w:numId="5" w16cid:durableId="47206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BAD14"/>
    <w:rsid w:val="00035D41"/>
    <w:rsid w:val="00044E6B"/>
    <w:rsid w:val="000D6B40"/>
    <w:rsid w:val="00135EC2"/>
    <w:rsid w:val="001818F2"/>
    <w:rsid w:val="001A02CC"/>
    <w:rsid w:val="001D2A21"/>
    <w:rsid w:val="001F22E4"/>
    <w:rsid w:val="001F668B"/>
    <w:rsid w:val="00217837"/>
    <w:rsid w:val="0022271F"/>
    <w:rsid w:val="00224B97"/>
    <w:rsid w:val="002328B9"/>
    <w:rsid w:val="0037340C"/>
    <w:rsid w:val="00396F46"/>
    <w:rsid w:val="003A1909"/>
    <w:rsid w:val="003E5517"/>
    <w:rsid w:val="003F1AC4"/>
    <w:rsid w:val="00411C34"/>
    <w:rsid w:val="00426E1F"/>
    <w:rsid w:val="00485C8F"/>
    <w:rsid w:val="004F374C"/>
    <w:rsid w:val="004F78FC"/>
    <w:rsid w:val="00583062"/>
    <w:rsid w:val="005E2EFD"/>
    <w:rsid w:val="0061666A"/>
    <w:rsid w:val="00625FB3"/>
    <w:rsid w:val="006E435F"/>
    <w:rsid w:val="00717462"/>
    <w:rsid w:val="007B088E"/>
    <w:rsid w:val="00886798"/>
    <w:rsid w:val="0090602E"/>
    <w:rsid w:val="00937261"/>
    <w:rsid w:val="00960365"/>
    <w:rsid w:val="00987770"/>
    <w:rsid w:val="00995004"/>
    <w:rsid w:val="009C6441"/>
    <w:rsid w:val="009F3F1D"/>
    <w:rsid w:val="00A27373"/>
    <w:rsid w:val="00A64B80"/>
    <w:rsid w:val="00A73485"/>
    <w:rsid w:val="00A931C3"/>
    <w:rsid w:val="00AB5C8B"/>
    <w:rsid w:val="00AC1FF2"/>
    <w:rsid w:val="00B43058"/>
    <w:rsid w:val="00BC4B2C"/>
    <w:rsid w:val="00C12D51"/>
    <w:rsid w:val="00C840C9"/>
    <w:rsid w:val="00CE1CD5"/>
    <w:rsid w:val="00CE2F3C"/>
    <w:rsid w:val="00CF5A3C"/>
    <w:rsid w:val="00D860DA"/>
    <w:rsid w:val="00D912CF"/>
    <w:rsid w:val="00E00FB1"/>
    <w:rsid w:val="00E02ED5"/>
    <w:rsid w:val="00E71CB0"/>
    <w:rsid w:val="00EF6256"/>
    <w:rsid w:val="00F26FCC"/>
    <w:rsid w:val="00F67C49"/>
    <w:rsid w:val="00FC7366"/>
    <w:rsid w:val="07539D34"/>
    <w:rsid w:val="0B6CCB13"/>
    <w:rsid w:val="0BB47CF5"/>
    <w:rsid w:val="117BAD14"/>
    <w:rsid w:val="1610F4DD"/>
    <w:rsid w:val="28068A0C"/>
    <w:rsid w:val="29736E1F"/>
    <w:rsid w:val="29D62BBC"/>
    <w:rsid w:val="2A5FAAA0"/>
    <w:rsid w:val="2C07D0A0"/>
    <w:rsid w:val="2C1F12BF"/>
    <w:rsid w:val="2E57C984"/>
    <w:rsid w:val="36942480"/>
    <w:rsid w:val="38FE24E2"/>
    <w:rsid w:val="3FB79437"/>
    <w:rsid w:val="43141313"/>
    <w:rsid w:val="4354809B"/>
    <w:rsid w:val="44A7C0AD"/>
    <w:rsid w:val="459279B5"/>
    <w:rsid w:val="47221A52"/>
    <w:rsid w:val="4A1005C7"/>
    <w:rsid w:val="4A4244AD"/>
    <w:rsid w:val="4B9C4945"/>
    <w:rsid w:val="4BFA0776"/>
    <w:rsid w:val="5335DB78"/>
    <w:rsid w:val="5B5296BD"/>
    <w:rsid w:val="5CEC77FE"/>
    <w:rsid w:val="6133A0E8"/>
    <w:rsid w:val="63967429"/>
    <w:rsid w:val="64776E7B"/>
    <w:rsid w:val="681D25A4"/>
    <w:rsid w:val="68DAF615"/>
    <w:rsid w:val="6DDDD283"/>
    <w:rsid w:val="6F128226"/>
    <w:rsid w:val="72CE1F42"/>
    <w:rsid w:val="73A6B39F"/>
    <w:rsid w:val="75ED4443"/>
    <w:rsid w:val="7882A106"/>
    <w:rsid w:val="79CD8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BAD14"/>
  <w15:chartTrackingRefBased/>
  <w15:docId w15:val="{B62FE22C-758E-42A4-B219-EB8DB9BA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12CF"/>
    <w:pPr>
      <w:ind w:left="720"/>
      <w:contextualSpacing/>
    </w:pPr>
  </w:style>
  <w:style w:type="paragraph" w:styleId="Normaalweb">
    <w:name w:val="Normal (Web)"/>
    <w:basedOn w:val="Standaard"/>
    <w:uiPriority w:val="99"/>
    <w:semiHidden/>
    <w:unhideWhenUsed/>
    <w:rsid w:val="002328B9"/>
    <w:rPr>
      <w:rFonts w:ascii="Times New Roman" w:hAnsi="Times New Roman" w:cs="Times New Roman"/>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6e3c1b-9a7c-4a12-9bb9-90bc8c960bca">
      <Terms xmlns="http://schemas.microsoft.com/office/infopath/2007/PartnerControls"/>
    </lcf76f155ced4ddcb4097134ff3c332f>
    <TaxCatchAll xmlns="112d1fde-06d2-4963-8918-98a27e2f1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CEC469EB4EF47996815E5430EC03A" ma:contentTypeVersion="10" ma:contentTypeDescription="Een nieuw document maken." ma:contentTypeScope="" ma:versionID="08e06c2c3820e0d698951559981de3de">
  <xsd:schema xmlns:xsd="http://www.w3.org/2001/XMLSchema" xmlns:xs="http://www.w3.org/2001/XMLSchema" xmlns:p="http://schemas.microsoft.com/office/2006/metadata/properties" xmlns:ns2="656e3c1b-9a7c-4a12-9bb9-90bc8c960bca" xmlns:ns3="112d1fde-06d2-4963-8918-98a27e2f1ee9" targetNamespace="http://schemas.microsoft.com/office/2006/metadata/properties" ma:root="true" ma:fieldsID="8a2328ef549e812a6b51be125293e6ea" ns2:_="" ns3:_="">
    <xsd:import namespace="656e3c1b-9a7c-4a12-9bb9-90bc8c960bca"/>
    <xsd:import namespace="112d1fde-06d2-4963-8918-98a27e2f1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3c1b-9a7c-4a12-9bb9-90bc8c960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d1fde-06d2-4963-8918-98a27e2f1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2de7ac-e157-4e84-8ed2-ecf4f58c2b5c}" ma:internalName="TaxCatchAll" ma:showField="CatchAllData" ma:web="112d1fde-06d2-4963-8918-98a27e2f1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3C0C9-60D5-47AA-A721-E609BA74F900}">
  <ds:schemaRefs>
    <ds:schemaRef ds:uri="http://schemas.microsoft.com/office/2006/metadata/properties"/>
    <ds:schemaRef ds:uri="http://schemas.microsoft.com/office/infopath/2007/PartnerControls"/>
    <ds:schemaRef ds:uri="656e3c1b-9a7c-4a12-9bb9-90bc8c960bca"/>
    <ds:schemaRef ds:uri="112d1fde-06d2-4963-8918-98a27e2f1ee9"/>
  </ds:schemaRefs>
</ds:datastoreItem>
</file>

<file path=customXml/itemProps2.xml><?xml version="1.0" encoding="utf-8"?>
<ds:datastoreItem xmlns:ds="http://schemas.openxmlformats.org/officeDocument/2006/customXml" ds:itemID="{F1F6FE68-1412-46CC-89DC-541D73F9FA56}"/>
</file>

<file path=customXml/itemProps3.xml><?xml version="1.0" encoding="utf-8"?>
<ds:datastoreItem xmlns:ds="http://schemas.openxmlformats.org/officeDocument/2006/customXml" ds:itemID="{75C0B208-2CD2-479B-A72E-73FD30A5E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893</Words>
  <Characters>4913</Characters>
  <Application>Microsoft Office Word</Application>
  <DocSecurity>0</DocSecurity>
  <Lines>40</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Verbruggen - HIP</dc:creator>
  <cp:keywords/>
  <dc:description/>
  <cp:lastModifiedBy>Mats van den Bosch - HIP</cp:lastModifiedBy>
  <cp:revision>35</cp:revision>
  <dcterms:created xsi:type="dcterms:W3CDTF">2025-10-07T21:14:00Z</dcterms:created>
  <dcterms:modified xsi:type="dcterms:W3CDTF">2025-11-18T15:50:00Z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0x0101002D0CEC469EB4EF47996815E5430EC03A</vt:lpwstr>
  </property>
  <property fmtid="{D5CDD505-2E9C-101B-9397-08002B2CF9AE}" pid="3" name="GrammarlyDocumentId">
    <vt:lpwstr>11d7096a-31c4-4eea-86e9-fac46b348b00</vt:lpwstr>
  </property>
  <property fmtid="{D5CDD505-2E9C-101B-9397-08002B2CF9AE}" pid="4" name="MediaServiceImageTags">
    <vt:lpwstr/>
  </property>
</Properties>
</file>