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1C5A" w14:textId="01F5CBB9" w:rsidR="007D04D0" w:rsidRPr="00087884" w:rsidRDefault="00087884">
      <w:pPr>
        <w:rPr>
          <w:rFonts w:ascii="Verdana" w:hAnsi="Verdana"/>
          <w:b/>
          <w:bCs/>
        </w:rPr>
      </w:pPr>
      <w:r w:rsidRPr="00087884">
        <w:rPr>
          <w:rFonts w:ascii="Verdana" w:hAnsi="Verdana"/>
          <w:b/>
          <w:bCs/>
        </w:rPr>
        <w:t>Bijlage 4 – Akkoordverklaring Programma van Eisen</w:t>
      </w:r>
    </w:p>
    <w:p w14:paraId="6B9A8E33" w14:textId="45EF64D0" w:rsidR="00087884" w:rsidRPr="00087884" w:rsidRDefault="00087884">
      <w:pPr>
        <w:rPr>
          <w:rFonts w:ascii="Verdana" w:hAnsi="Verdana"/>
          <w:sz w:val="18"/>
          <w:szCs w:val="18"/>
        </w:rPr>
      </w:pPr>
      <w:r w:rsidRPr="00087884">
        <w:rPr>
          <w:rFonts w:ascii="Verdana" w:hAnsi="Verdana"/>
          <w:sz w:val="18"/>
          <w:szCs w:val="18"/>
        </w:rPr>
        <w:t>2025.532</w:t>
      </w:r>
    </w:p>
    <w:p w14:paraId="447C37C5" w14:textId="0F0DE679" w:rsidR="00087884" w:rsidRPr="00087884" w:rsidRDefault="00087884" w:rsidP="00087884">
      <w:pPr>
        <w:pStyle w:val="Geenafstand"/>
        <w:rPr>
          <w:rFonts w:ascii="Verdana" w:hAnsi="Verdana"/>
          <w:sz w:val="18"/>
          <w:szCs w:val="18"/>
        </w:rPr>
      </w:pPr>
      <w:r w:rsidRPr="00087884">
        <w:rPr>
          <w:rFonts w:ascii="Verdana" w:hAnsi="Verdana"/>
          <w:sz w:val="18"/>
          <w:szCs w:val="18"/>
        </w:rPr>
        <w:t>Datum: 6-10-2025</w:t>
      </w:r>
    </w:p>
    <w:p w14:paraId="37CEA930" w14:textId="0008D1FD" w:rsidR="00087884" w:rsidRPr="00087884" w:rsidRDefault="00087884" w:rsidP="00087884">
      <w:pPr>
        <w:pStyle w:val="Geenafstand"/>
        <w:rPr>
          <w:rFonts w:ascii="Verdana" w:hAnsi="Verdana"/>
          <w:sz w:val="18"/>
          <w:szCs w:val="18"/>
        </w:rPr>
      </w:pPr>
      <w:r w:rsidRPr="00087884">
        <w:rPr>
          <w:rFonts w:ascii="Verdana" w:hAnsi="Verdana"/>
          <w:sz w:val="18"/>
          <w:szCs w:val="18"/>
        </w:rPr>
        <w:t>Versie 2.0</w:t>
      </w:r>
    </w:p>
    <w:p w14:paraId="74F22D12" w14:textId="77777777" w:rsidR="00087884" w:rsidRPr="00087884" w:rsidRDefault="00087884">
      <w:pPr>
        <w:rPr>
          <w:rFonts w:ascii="Verdana" w:hAnsi="Verdana"/>
          <w:sz w:val="18"/>
          <w:szCs w:val="18"/>
        </w:rPr>
      </w:pPr>
    </w:p>
    <w:p w14:paraId="73655840" w14:textId="49C8D0C9" w:rsidR="00087884" w:rsidRPr="00087884" w:rsidRDefault="00087884">
      <w:pPr>
        <w:rPr>
          <w:rFonts w:ascii="Verdana" w:hAnsi="Verdana"/>
          <w:sz w:val="18"/>
          <w:szCs w:val="18"/>
        </w:rPr>
      </w:pPr>
      <w:r w:rsidRPr="00087884">
        <w:rPr>
          <w:rFonts w:ascii="Verdana" w:hAnsi="Verdana"/>
          <w:sz w:val="18"/>
          <w:szCs w:val="18"/>
        </w:rPr>
        <w:t>In dit document zijn de generieke eisen opgenomen die aan de uitvoering van de opdracht worden gesteld. Door het indienen van uw Inschrijving voor deze opdracht verklaart u onvoorwaardelijk akkoord te gaan met alle eisen aan de opdracht.</w:t>
      </w:r>
    </w:p>
    <w:p w14:paraId="39D27D3C" w14:textId="77777777" w:rsidR="00087884" w:rsidRPr="00087884" w:rsidRDefault="00087884">
      <w:pPr>
        <w:rPr>
          <w:rFonts w:ascii="Verdana" w:hAnsi="Verdana"/>
          <w:sz w:val="18"/>
          <w:szCs w:val="18"/>
        </w:rPr>
      </w:pPr>
    </w:p>
    <w:tbl>
      <w:tblPr>
        <w:tblStyle w:val="Tabelraster"/>
        <w:tblW w:w="0" w:type="auto"/>
        <w:tblLook w:val="04A0" w:firstRow="1" w:lastRow="0" w:firstColumn="1" w:lastColumn="0" w:noHBand="0" w:noVBand="1"/>
      </w:tblPr>
      <w:tblGrid>
        <w:gridCol w:w="562"/>
        <w:gridCol w:w="8500"/>
      </w:tblGrid>
      <w:tr w:rsidR="00087884" w:rsidRPr="00087884" w14:paraId="279EFB22" w14:textId="77777777" w:rsidTr="00087884">
        <w:tc>
          <w:tcPr>
            <w:tcW w:w="562" w:type="dxa"/>
          </w:tcPr>
          <w:p w14:paraId="15C00A2D" w14:textId="5AF06203" w:rsidR="00087884" w:rsidRPr="00087884" w:rsidRDefault="00087884">
            <w:pPr>
              <w:rPr>
                <w:rFonts w:ascii="Verdana" w:hAnsi="Verdana"/>
                <w:sz w:val="18"/>
                <w:szCs w:val="18"/>
              </w:rPr>
            </w:pPr>
            <w:r w:rsidRPr="00087884">
              <w:rPr>
                <w:rFonts w:ascii="Verdana" w:hAnsi="Verdana"/>
                <w:sz w:val="18"/>
                <w:szCs w:val="18"/>
              </w:rPr>
              <w:t>Nr.</w:t>
            </w:r>
          </w:p>
        </w:tc>
        <w:tc>
          <w:tcPr>
            <w:tcW w:w="8500" w:type="dxa"/>
          </w:tcPr>
          <w:p w14:paraId="03532429" w14:textId="4890AAEC" w:rsidR="00087884" w:rsidRPr="00087884" w:rsidRDefault="00087884">
            <w:pPr>
              <w:rPr>
                <w:rFonts w:ascii="Verdana" w:hAnsi="Verdana"/>
                <w:sz w:val="18"/>
                <w:szCs w:val="18"/>
              </w:rPr>
            </w:pPr>
            <w:r w:rsidRPr="00087884">
              <w:rPr>
                <w:rFonts w:ascii="Verdana" w:hAnsi="Verdana"/>
                <w:sz w:val="18"/>
                <w:szCs w:val="18"/>
              </w:rPr>
              <w:t>Omschrijving</w:t>
            </w:r>
          </w:p>
        </w:tc>
      </w:tr>
      <w:tr w:rsidR="00087884" w:rsidRPr="00087884" w14:paraId="716ACB04" w14:textId="77777777" w:rsidTr="00087884">
        <w:tc>
          <w:tcPr>
            <w:tcW w:w="562" w:type="dxa"/>
          </w:tcPr>
          <w:p w14:paraId="5C47E562" w14:textId="4D93560E" w:rsidR="00087884" w:rsidRPr="00087884" w:rsidRDefault="00087884">
            <w:pPr>
              <w:rPr>
                <w:rFonts w:ascii="Verdana" w:hAnsi="Verdana"/>
                <w:sz w:val="18"/>
                <w:szCs w:val="18"/>
              </w:rPr>
            </w:pPr>
            <w:r w:rsidRPr="00087884">
              <w:rPr>
                <w:rFonts w:ascii="Verdana" w:hAnsi="Verdana"/>
                <w:sz w:val="18"/>
                <w:szCs w:val="18"/>
              </w:rPr>
              <w:t>1.</w:t>
            </w:r>
          </w:p>
        </w:tc>
        <w:tc>
          <w:tcPr>
            <w:tcW w:w="8500" w:type="dxa"/>
          </w:tcPr>
          <w:p w14:paraId="4D37D171" w14:textId="19BEA6A9" w:rsidR="00087884" w:rsidRPr="00087884" w:rsidRDefault="00087884">
            <w:pPr>
              <w:rPr>
                <w:rFonts w:ascii="Verdana" w:hAnsi="Verdana"/>
                <w:sz w:val="18"/>
                <w:szCs w:val="18"/>
              </w:rPr>
            </w:pPr>
            <w:r w:rsidRPr="00087884">
              <w:rPr>
                <w:rFonts w:ascii="Verdana" w:hAnsi="Verdana"/>
                <w:sz w:val="18"/>
                <w:szCs w:val="18"/>
              </w:rPr>
              <w:t>Opdrachtnemer stemt bij aanvang van de opdracht met Opdrachtgever de opleverdatum af van het eindresultaat. De opleverdatum is in de eerste week van januari uiterlijk op vrijdag.</w:t>
            </w:r>
          </w:p>
        </w:tc>
      </w:tr>
      <w:tr w:rsidR="00087884" w:rsidRPr="00087884" w14:paraId="3B17086C" w14:textId="77777777" w:rsidTr="00087884">
        <w:tc>
          <w:tcPr>
            <w:tcW w:w="562" w:type="dxa"/>
          </w:tcPr>
          <w:p w14:paraId="00577CB4" w14:textId="21653DC9" w:rsidR="00087884" w:rsidRPr="00087884" w:rsidRDefault="00087884">
            <w:pPr>
              <w:rPr>
                <w:rFonts w:ascii="Verdana" w:hAnsi="Verdana"/>
                <w:sz w:val="18"/>
                <w:szCs w:val="18"/>
              </w:rPr>
            </w:pPr>
            <w:r w:rsidRPr="00087884">
              <w:rPr>
                <w:rFonts w:ascii="Verdana" w:hAnsi="Verdana"/>
                <w:sz w:val="18"/>
                <w:szCs w:val="18"/>
              </w:rPr>
              <w:t>2.</w:t>
            </w:r>
          </w:p>
        </w:tc>
        <w:tc>
          <w:tcPr>
            <w:tcW w:w="8500" w:type="dxa"/>
          </w:tcPr>
          <w:p w14:paraId="3757B712" w14:textId="78C44210" w:rsidR="00087884" w:rsidRPr="00087884" w:rsidRDefault="00087884">
            <w:pPr>
              <w:rPr>
                <w:rFonts w:ascii="Verdana" w:hAnsi="Verdana"/>
                <w:sz w:val="18"/>
                <w:szCs w:val="18"/>
              </w:rPr>
            </w:pPr>
            <w:r w:rsidRPr="00087884">
              <w:rPr>
                <w:rFonts w:ascii="Verdana" w:hAnsi="Verdana"/>
                <w:sz w:val="18"/>
                <w:szCs w:val="18"/>
              </w:rPr>
              <w:t>Opdrachtnemer komt tegemoet aan hetgeen beschreven staat over de opdracht in de offerte aanvraag.</w:t>
            </w:r>
          </w:p>
        </w:tc>
      </w:tr>
      <w:tr w:rsidR="00087884" w:rsidRPr="00087884" w14:paraId="31A0AA6D" w14:textId="77777777" w:rsidTr="00087884">
        <w:tc>
          <w:tcPr>
            <w:tcW w:w="562" w:type="dxa"/>
          </w:tcPr>
          <w:p w14:paraId="12263648" w14:textId="334DD363" w:rsidR="00087884" w:rsidRPr="00087884" w:rsidRDefault="00087884">
            <w:pPr>
              <w:rPr>
                <w:rFonts w:ascii="Verdana" w:hAnsi="Verdana"/>
                <w:sz w:val="18"/>
                <w:szCs w:val="18"/>
              </w:rPr>
            </w:pPr>
            <w:r w:rsidRPr="00087884">
              <w:rPr>
                <w:rFonts w:ascii="Verdana" w:hAnsi="Verdana"/>
                <w:sz w:val="18"/>
                <w:szCs w:val="18"/>
              </w:rPr>
              <w:t>3.</w:t>
            </w:r>
          </w:p>
        </w:tc>
        <w:tc>
          <w:tcPr>
            <w:tcW w:w="8500" w:type="dxa"/>
          </w:tcPr>
          <w:p w14:paraId="5EFD2C7D" w14:textId="0EACE33D" w:rsidR="00087884" w:rsidRPr="00087884" w:rsidRDefault="00087884">
            <w:pPr>
              <w:rPr>
                <w:rFonts w:ascii="Verdana" w:hAnsi="Verdana"/>
                <w:sz w:val="18"/>
                <w:szCs w:val="18"/>
              </w:rPr>
            </w:pPr>
            <w:r w:rsidRPr="00087884">
              <w:rPr>
                <w:rFonts w:ascii="Verdana" w:hAnsi="Verdana"/>
                <w:sz w:val="18"/>
                <w:szCs w:val="18"/>
              </w:rPr>
              <w:t>Opdrachtnemer gebruikt voor de aanbiedingsmail en aanbiedingsbrief bij de enquête minimaal het logo en de digitale ondertekening van de respectievelijke provincie.</w:t>
            </w:r>
          </w:p>
        </w:tc>
      </w:tr>
      <w:tr w:rsidR="00087884" w:rsidRPr="00087884" w14:paraId="6422A530" w14:textId="77777777" w:rsidTr="00087884">
        <w:tc>
          <w:tcPr>
            <w:tcW w:w="562" w:type="dxa"/>
          </w:tcPr>
          <w:p w14:paraId="27ABA7B6" w14:textId="391740B1" w:rsidR="00087884" w:rsidRPr="00087884" w:rsidRDefault="00087884">
            <w:pPr>
              <w:rPr>
                <w:rFonts w:ascii="Verdana" w:hAnsi="Verdana"/>
                <w:sz w:val="18"/>
                <w:szCs w:val="18"/>
              </w:rPr>
            </w:pPr>
            <w:r w:rsidRPr="00087884">
              <w:rPr>
                <w:rFonts w:ascii="Verdana" w:hAnsi="Verdana"/>
                <w:sz w:val="18"/>
                <w:szCs w:val="18"/>
              </w:rPr>
              <w:t>4.</w:t>
            </w:r>
          </w:p>
        </w:tc>
        <w:tc>
          <w:tcPr>
            <w:tcW w:w="8500" w:type="dxa"/>
          </w:tcPr>
          <w:p w14:paraId="7F4DBB98" w14:textId="23624BDE" w:rsidR="00087884" w:rsidRPr="00087884" w:rsidRDefault="00087884">
            <w:pPr>
              <w:rPr>
                <w:rFonts w:ascii="Verdana" w:hAnsi="Verdana"/>
                <w:sz w:val="18"/>
                <w:szCs w:val="18"/>
              </w:rPr>
            </w:pPr>
            <w:r w:rsidRPr="00087884">
              <w:rPr>
                <w:rFonts w:ascii="Verdana" w:hAnsi="Verdana"/>
                <w:sz w:val="18"/>
                <w:szCs w:val="18"/>
              </w:rPr>
              <w:t>Opdrachtnemer doet voorstel, en legt deze voor aan provincies, voor teksten en lay-out voor enquête, berichten en brieven.</w:t>
            </w:r>
          </w:p>
        </w:tc>
      </w:tr>
      <w:tr w:rsidR="00087884" w:rsidRPr="00087884" w14:paraId="5413DC1B" w14:textId="77777777" w:rsidTr="00087884">
        <w:tc>
          <w:tcPr>
            <w:tcW w:w="562" w:type="dxa"/>
          </w:tcPr>
          <w:p w14:paraId="739EE1E0" w14:textId="43E8B7DD" w:rsidR="00087884" w:rsidRPr="00087884" w:rsidRDefault="00087884">
            <w:pPr>
              <w:rPr>
                <w:rFonts w:ascii="Verdana" w:hAnsi="Verdana"/>
                <w:sz w:val="18"/>
                <w:szCs w:val="18"/>
              </w:rPr>
            </w:pPr>
            <w:r w:rsidRPr="00087884">
              <w:rPr>
                <w:rFonts w:ascii="Verdana" w:hAnsi="Verdana"/>
                <w:sz w:val="18"/>
                <w:szCs w:val="18"/>
              </w:rPr>
              <w:t>5.</w:t>
            </w:r>
          </w:p>
        </w:tc>
        <w:tc>
          <w:tcPr>
            <w:tcW w:w="8500" w:type="dxa"/>
          </w:tcPr>
          <w:p w14:paraId="314C382D" w14:textId="39A5D384" w:rsidR="00087884" w:rsidRPr="00087884" w:rsidRDefault="00087884">
            <w:pPr>
              <w:rPr>
                <w:rFonts w:ascii="Verdana" w:hAnsi="Verdana"/>
                <w:sz w:val="18"/>
                <w:szCs w:val="18"/>
              </w:rPr>
            </w:pPr>
            <w:r w:rsidRPr="00087884">
              <w:rPr>
                <w:rFonts w:ascii="Verdana" w:hAnsi="Verdana"/>
                <w:sz w:val="18"/>
                <w:szCs w:val="18"/>
              </w:rPr>
              <w:t>Opdrachtnemer is gedurende het onderzoek bereikbaar voor vragen en opmerkingen van geënquêteerde bedrijven en instellingen en verzorgt de afhandeling hiervan. Waar nodig vindt overleg plaats hierover met de Opdrachtgever).</w:t>
            </w:r>
          </w:p>
        </w:tc>
      </w:tr>
      <w:tr w:rsidR="00087884" w:rsidRPr="00087884" w14:paraId="1A4E69C5" w14:textId="77777777" w:rsidTr="00087884">
        <w:tc>
          <w:tcPr>
            <w:tcW w:w="562" w:type="dxa"/>
          </w:tcPr>
          <w:p w14:paraId="7DC68683" w14:textId="234C1700" w:rsidR="00087884" w:rsidRPr="00087884" w:rsidRDefault="00087884">
            <w:pPr>
              <w:rPr>
                <w:rFonts w:ascii="Verdana" w:hAnsi="Verdana"/>
                <w:sz w:val="18"/>
                <w:szCs w:val="18"/>
              </w:rPr>
            </w:pPr>
            <w:r w:rsidRPr="00087884">
              <w:rPr>
                <w:rFonts w:ascii="Verdana" w:hAnsi="Verdana"/>
                <w:sz w:val="18"/>
                <w:szCs w:val="18"/>
              </w:rPr>
              <w:t>6.</w:t>
            </w:r>
          </w:p>
        </w:tc>
        <w:tc>
          <w:tcPr>
            <w:tcW w:w="8500" w:type="dxa"/>
          </w:tcPr>
          <w:p w14:paraId="442353B0" w14:textId="0B628023" w:rsidR="00087884" w:rsidRPr="00087884" w:rsidRDefault="00087884">
            <w:pPr>
              <w:rPr>
                <w:rFonts w:ascii="Verdana" w:hAnsi="Verdana"/>
                <w:sz w:val="18"/>
                <w:szCs w:val="18"/>
              </w:rPr>
            </w:pPr>
            <w:r w:rsidRPr="00087884">
              <w:rPr>
                <w:rFonts w:ascii="Verdana" w:hAnsi="Verdana"/>
                <w:sz w:val="18"/>
                <w:szCs w:val="18"/>
              </w:rPr>
              <w:t xml:space="preserve">Bij het aflopen van het contract wordt op kosten van de opdrachtnemer een </w:t>
            </w:r>
            <w:proofErr w:type="spellStart"/>
            <w:r w:rsidRPr="00087884">
              <w:rPr>
                <w:rFonts w:ascii="Verdana" w:hAnsi="Verdana"/>
                <w:sz w:val="18"/>
                <w:szCs w:val="18"/>
              </w:rPr>
              <w:t>exitplan</w:t>
            </w:r>
            <w:proofErr w:type="spellEnd"/>
            <w:r w:rsidRPr="00087884">
              <w:rPr>
                <w:rFonts w:ascii="Verdana" w:hAnsi="Verdana"/>
                <w:sz w:val="18"/>
                <w:szCs w:val="18"/>
              </w:rPr>
              <w:t xml:space="preserve"> opgemaakt, waarin de opgedane kennis en ervaring is opgenomen opdat overdracht van werkzaamheden soepel verlopen.</w:t>
            </w:r>
          </w:p>
        </w:tc>
      </w:tr>
      <w:tr w:rsidR="00087884" w:rsidRPr="00087884" w14:paraId="24149581" w14:textId="77777777" w:rsidTr="00087884">
        <w:tc>
          <w:tcPr>
            <w:tcW w:w="562" w:type="dxa"/>
          </w:tcPr>
          <w:p w14:paraId="052F0E03" w14:textId="6BAE96E4" w:rsidR="00087884" w:rsidRPr="00087884" w:rsidRDefault="00087884">
            <w:pPr>
              <w:rPr>
                <w:rFonts w:ascii="Verdana" w:hAnsi="Verdana"/>
                <w:sz w:val="18"/>
                <w:szCs w:val="18"/>
              </w:rPr>
            </w:pPr>
            <w:r w:rsidRPr="00087884">
              <w:rPr>
                <w:rFonts w:ascii="Verdana" w:hAnsi="Verdana"/>
                <w:sz w:val="18"/>
                <w:szCs w:val="18"/>
              </w:rPr>
              <w:t>7.</w:t>
            </w:r>
          </w:p>
        </w:tc>
        <w:tc>
          <w:tcPr>
            <w:tcW w:w="8500" w:type="dxa"/>
          </w:tcPr>
          <w:p w14:paraId="79393E36" w14:textId="00B865D9" w:rsidR="00087884" w:rsidRPr="00087884" w:rsidRDefault="00087884">
            <w:pPr>
              <w:rPr>
                <w:rFonts w:ascii="Verdana" w:hAnsi="Verdana"/>
                <w:sz w:val="18"/>
                <w:szCs w:val="18"/>
              </w:rPr>
            </w:pPr>
            <w:r w:rsidRPr="00087884">
              <w:rPr>
                <w:rFonts w:ascii="Verdana" w:hAnsi="Verdana"/>
                <w:sz w:val="18"/>
                <w:szCs w:val="18"/>
              </w:rPr>
              <w:t>Opdrachtnemer voldoet aan de gestelde responseisen zowel voor Nederland als geheel als voor iedere provincie afzonderlijk.</w:t>
            </w:r>
          </w:p>
        </w:tc>
      </w:tr>
      <w:tr w:rsidR="00087884" w:rsidRPr="00087884" w14:paraId="2ED5435F" w14:textId="77777777" w:rsidTr="00087884">
        <w:tc>
          <w:tcPr>
            <w:tcW w:w="562" w:type="dxa"/>
          </w:tcPr>
          <w:p w14:paraId="1AC025AD" w14:textId="6350C368" w:rsidR="00087884" w:rsidRPr="00087884" w:rsidRDefault="00087884">
            <w:pPr>
              <w:rPr>
                <w:rFonts w:ascii="Verdana" w:hAnsi="Verdana"/>
                <w:sz w:val="18"/>
                <w:szCs w:val="18"/>
              </w:rPr>
            </w:pPr>
            <w:r w:rsidRPr="00087884">
              <w:rPr>
                <w:rFonts w:ascii="Verdana" w:hAnsi="Verdana"/>
                <w:sz w:val="18"/>
                <w:szCs w:val="18"/>
              </w:rPr>
              <w:t>8.</w:t>
            </w:r>
          </w:p>
        </w:tc>
        <w:tc>
          <w:tcPr>
            <w:tcW w:w="8500" w:type="dxa"/>
          </w:tcPr>
          <w:p w14:paraId="58722A80" w14:textId="0F48D8D7" w:rsidR="00087884" w:rsidRPr="00087884" w:rsidRDefault="00087884">
            <w:pPr>
              <w:rPr>
                <w:rFonts w:ascii="Verdana" w:hAnsi="Verdana"/>
                <w:sz w:val="18"/>
                <w:szCs w:val="18"/>
              </w:rPr>
            </w:pPr>
            <w:r w:rsidRPr="00087884">
              <w:rPr>
                <w:rFonts w:ascii="Verdana" w:hAnsi="Verdana"/>
                <w:sz w:val="18"/>
                <w:szCs w:val="18"/>
              </w:rPr>
              <w:t>Opdrachtnemer zorgt voor een actueel LISA vestigingen bestand door uiterlijk binnen drie maanden de maandelijkse KvK mutaties verwerkt te hebben</w:t>
            </w:r>
          </w:p>
        </w:tc>
      </w:tr>
      <w:tr w:rsidR="00087884" w:rsidRPr="00087884" w14:paraId="7B8B00F1" w14:textId="77777777" w:rsidTr="00087884">
        <w:tc>
          <w:tcPr>
            <w:tcW w:w="562" w:type="dxa"/>
          </w:tcPr>
          <w:p w14:paraId="592E4DB1" w14:textId="622DCC6B" w:rsidR="00087884" w:rsidRPr="00087884" w:rsidRDefault="00087884">
            <w:pPr>
              <w:rPr>
                <w:rFonts w:ascii="Verdana" w:hAnsi="Verdana"/>
                <w:sz w:val="18"/>
                <w:szCs w:val="18"/>
              </w:rPr>
            </w:pPr>
            <w:r w:rsidRPr="00087884">
              <w:rPr>
                <w:rFonts w:ascii="Verdana" w:hAnsi="Verdana"/>
                <w:sz w:val="18"/>
                <w:szCs w:val="18"/>
              </w:rPr>
              <w:t>9.</w:t>
            </w:r>
          </w:p>
        </w:tc>
        <w:tc>
          <w:tcPr>
            <w:tcW w:w="8500" w:type="dxa"/>
          </w:tcPr>
          <w:p w14:paraId="606771F0" w14:textId="7CBDDE82" w:rsidR="00087884" w:rsidRPr="00087884" w:rsidRDefault="00087884">
            <w:pPr>
              <w:rPr>
                <w:rFonts w:ascii="Verdana" w:hAnsi="Verdana"/>
                <w:sz w:val="18"/>
                <w:szCs w:val="18"/>
              </w:rPr>
            </w:pPr>
            <w:r w:rsidRPr="00087884">
              <w:rPr>
                <w:rFonts w:ascii="Verdana" w:hAnsi="Verdana"/>
                <w:sz w:val="18"/>
                <w:szCs w:val="18"/>
              </w:rPr>
              <w:t xml:space="preserve">Oplevering en publicatie van de LISA statistieken vinden in de eerste week van januari plaats. Bij een aan Opdrachtnemer verwijtbare overschrijding van de deadline treden Opdrachtnemer en Opdrachtgever in gesprek over een passende financiële compensatie.  </w:t>
            </w:r>
          </w:p>
        </w:tc>
      </w:tr>
      <w:tr w:rsidR="00087884" w:rsidRPr="00087884" w14:paraId="1BE15326" w14:textId="77777777" w:rsidTr="00087884">
        <w:tc>
          <w:tcPr>
            <w:tcW w:w="562" w:type="dxa"/>
          </w:tcPr>
          <w:p w14:paraId="31E06FE3" w14:textId="09F90593" w:rsidR="00087884" w:rsidRPr="00087884" w:rsidRDefault="00087884">
            <w:pPr>
              <w:rPr>
                <w:rFonts w:ascii="Verdana" w:hAnsi="Verdana"/>
                <w:sz w:val="18"/>
                <w:szCs w:val="18"/>
              </w:rPr>
            </w:pPr>
            <w:r w:rsidRPr="00087884">
              <w:rPr>
                <w:rFonts w:ascii="Verdana" w:hAnsi="Verdana"/>
                <w:sz w:val="18"/>
                <w:szCs w:val="18"/>
              </w:rPr>
              <w:t>10.</w:t>
            </w:r>
          </w:p>
        </w:tc>
        <w:tc>
          <w:tcPr>
            <w:tcW w:w="8500" w:type="dxa"/>
          </w:tcPr>
          <w:p w14:paraId="0A312EE9" w14:textId="4E14F047" w:rsidR="00087884" w:rsidRPr="00087884" w:rsidRDefault="00087884">
            <w:pPr>
              <w:rPr>
                <w:rFonts w:ascii="Verdana" w:hAnsi="Verdana"/>
                <w:sz w:val="18"/>
                <w:szCs w:val="18"/>
              </w:rPr>
            </w:pPr>
            <w:r w:rsidRPr="00087884">
              <w:rPr>
                <w:rFonts w:ascii="Verdana" w:hAnsi="Verdana"/>
                <w:sz w:val="18"/>
                <w:szCs w:val="18"/>
              </w:rPr>
              <w:t>De vestigingen in het LISA register dienen jaarlijks voor de genoemde deadline te worden voorzien van actuele werkgelegenheidscijfers op peildatum 1 april.</w:t>
            </w:r>
          </w:p>
        </w:tc>
      </w:tr>
      <w:tr w:rsidR="00087884" w:rsidRPr="00087884" w14:paraId="58CA288C" w14:textId="77777777" w:rsidTr="00087884">
        <w:tc>
          <w:tcPr>
            <w:tcW w:w="562" w:type="dxa"/>
          </w:tcPr>
          <w:p w14:paraId="213AAD44" w14:textId="4B55F7B5" w:rsidR="00087884" w:rsidRPr="00087884" w:rsidRDefault="00087884">
            <w:pPr>
              <w:rPr>
                <w:rFonts w:ascii="Verdana" w:hAnsi="Verdana"/>
                <w:sz w:val="18"/>
                <w:szCs w:val="18"/>
              </w:rPr>
            </w:pPr>
            <w:r w:rsidRPr="00087884">
              <w:rPr>
                <w:rFonts w:ascii="Verdana" w:hAnsi="Verdana"/>
                <w:sz w:val="18"/>
                <w:szCs w:val="18"/>
              </w:rPr>
              <w:t>11.</w:t>
            </w:r>
          </w:p>
        </w:tc>
        <w:tc>
          <w:tcPr>
            <w:tcW w:w="8500" w:type="dxa"/>
          </w:tcPr>
          <w:p w14:paraId="6315DCF2" w14:textId="4410C346" w:rsidR="00087884" w:rsidRPr="00087884" w:rsidRDefault="00087884">
            <w:pPr>
              <w:rPr>
                <w:rFonts w:ascii="Verdana" w:hAnsi="Verdana"/>
                <w:sz w:val="18"/>
                <w:szCs w:val="18"/>
              </w:rPr>
            </w:pPr>
            <w:r w:rsidRPr="00087884">
              <w:rPr>
                <w:rFonts w:ascii="Verdana" w:hAnsi="Verdana"/>
                <w:sz w:val="18"/>
                <w:szCs w:val="18"/>
              </w:rPr>
              <w:t xml:space="preserve">Waar nodig worden vestigingen tot tien jaar terug met terugwerkende kracht gemuteerd. Zowel qua </w:t>
            </w:r>
            <w:proofErr w:type="spellStart"/>
            <w:r w:rsidRPr="00087884">
              <w:rPr>
                <w:rFonts w:ascii="Verdana" w:hAnsi="Verdana"/>
                <w:sz w:val="18"/>
                <w:szCs w:val="18"/>
              </w:rPr>
              <w:t>wp</w:t>
            </w:r>
            <w:proofErr w:type="spellEnd"/>
            <w:r w:rsidRPr="00087884">
              <w:rPr>
                <w:rFonts w:ascii="Verdana" w:hAnsi="Verdana"/>
                <w:sz w:val="18"/>
                <w:szCs w:val="18"/>
              </w:rPr>
              <w:t>, als actualiteit en adres. Jaarlijks dient er een nieuwe aangepaste tien jarige statistiek opgeleverd te worden</w:t>
            </w:r>
          </w:p>
        </w:tc>
      </w:tr>
      <w:tr w:rsidR="00087884" w:rsidRPr="00087884" w14:paraId="1D93ADCA" w14:textId="77777777" w:rsidTr="00087884">
        <w:tc>
          <w:tcPr>
            <w:tcW w:w="562" w:type="dxa"/>
          </w:tcPr>
          <w:p w14:paraId="77104B92" w14:textId="7C021CD8" w:rsidR="00087884" w:rsidRPr="00087884" w:rsidRDefault="00087884">
            <w:pPr>
              <w:rPr>
                <w:rFonts w:ascii="Verdana" w:hAnsi="Verdana"/>
                <w:sz w:val="18"/>
                <w:szCs w:val="18"/>
              </w:rPr>
            </w:pPr>
            <w:r w:rsidRPr="00087884">
              <w:rPr>
                <w:rFonts w:ascii="Verdana" w:hAnsi="Verdana"/>
                <w:sz w:val="18"/>
                <w:szCs w:val="18"/>
              </w:rPr>
              <w:t>12.</w:t>
            </w:r>
          </w:p>
        </w:tc>
        <w:tc>
          <w:tcPr>
            <w:tcW w:w="8500" w:type="dxa"/>
          </w:tcPr>
          <w:p w14:paraId="473028A2" w14:textId="0FDD99A6" w:rsidR="00087884" w:rsidRPr="00087884" w:rsidRDefault="00087884">
            <w:pPr>
              <w:rPr>
                <w:rFonts w:ascii="Verdana" w:hAnsi="Verdana"/>
                <w:sz w:val="18"/>
                <w:szCs w:val="18"/>
              </w:rPr>
            </w:pPr>
            <w:r w:rsidRPr="00087884">
              <w:rPr>
                <w:rFonts w:ascii="Verdana" w:hAnsi="Verdana"/>
                <w:sz w:val="18"/>
                <w:szCs w:val="18"/>
              </w:rPr>
              <w:t>Opgegeven werkgelegenheid (respons) van het betreffende enquêtejaar dient gecontroleerd te worden op afwijkingen.</w:t>
            </w:r>
          </w:p>
        </w:tc>
      </w:tr>
      <w:tr w:rsidR="00087884" w:rsidRPr="00087884" w14:paraId="1D05F817" w14:textId="77777777" w:rsidTr="00087884">
        <w:tc>
          <w:tcPr>
            <w:tcW w:w="562" w:type="dxa"/>
          </w:tcPr>
          <w:p w14:paraId="69C93BFA" w14:textId="4033E491" w:rsidR="00087884" w:rsidRPr="00087884" w:rsidRDefault="00087884">
            <w:pPr>
              <w:rPr>
                <w:rFonts w:ascii="Verdana" w:hAnsi="Verdana"/>
                <w:sz w:val="18"/>
                <w:szCs w:val="18"/>
              </w:rPr>
            </w:pPr>
            <w:r w:rsidRPr="00087884">
              <w:rPr>
                <w:rFonts w:ascii="Verdana" w:hAnsi="Verdana"/>
                <w:sz w:val="18"/>
                <w:szCs w:val="18"/>
              </w:rPr>
              <w:t>13.</w:t>
            </w:r>
          </w:p>
        </w:tc>
        <w:tc>
          <w:tcPr>
            <w:tcW w:w="8500" w:type="dxa"/>
          </w:tcPr>
          <w:p w14:paraId="680EDB75" w14:textId="054638A0" w:rsidR="00087884" w:rsidRPr="00087884" w:rsidRDefault="00087884">
            <w:pPr>
              <w:rPr>
                <w:rFonts w:ascii="Verdana" w:hAnsi="Verdana"/>
                <w:sz w:val="18"/>
                <w:szCs w:val="18"/>
              </w:rPr>
            </w:pPr>
            <w:r w:rsidRPr="00087884">
              <w:rPr>
                <w:rFonts w:ascii="Verdana" w:hAnsi="Verdana"/>
                <w:sz w:val="18"/>
                <w:szCs w:val="18"/>
              </w:rPr>
              <w:t xml:space="preserve">Voor het wegen op ophogen non-respons is een protocol beschikbaar, wat uitgevoerd dient te worden.  </w:t>
            </w:r>
          </w:p>
        </w:tc>
      </w:tr>
      <w:tr w:rsidR="00087884" w:rsidRPr="00087884" w14:paraId="52AD7671" w14:textId="77777777" w:rsidTr="00087884">
        <w:tc>
          <w:tcPr>
            <w:tcW w:w="562" w:type="dxa"/>
          </w:tcPr>
          <w:p w14:paraId="1D82A7BE" w14:textId="2DC63F9D" w:rsidR="00087884" w:rsidRPr="00087884" w:rsidRDefault="00087884">
            <w:pPr>
              <w:rPr>
                <w:rFonts w:ascii="Verdana" w:hAnsi="Verdana"/>
                <w:sz w:val="18"/>
                <w:szCs w:val="18"/>
              </w:rPr>
            </w:pPr>
            <w:r w:rsidRPr="00087884">
              <w:rPr>
                <w:rFonts w:ascii="Verdana" w:hAnsi="Verdana"/>
                <w:sz w:val="18"/>
                <w:szCs w:val="18"/>
              </w:rPr>
              <w:t>14.</w:t>
            </w:r>
          </w:p>
        </w:tc>
        <w:tc>
          <w:tcPr>
            <w:tcW w:w="8500" w:type="dxa"/>
          </w:tcPr>
          <w:p w14:paraId="16A9721D" w14:textId="77777777" w:rsidR="00087884" w:rsidRPr="00087884" w:rsidRDefault="00087884" w:rsidP="00087884">
            <w:pPr>
              <w:rPr>
                <w:rFonts w:ascii="Verdana" w:hAnsi="Verdana"/>
                <w:sz w:val="18"/>
                <w:szCs w:val="18"/>
              </w:rPr>
            </w:pPr>
            <w:r w:rsidRPr="00087884">
              <w:rPr>
                <w:rFonts w:ascii="Verdana" w:hAnsi="Verdana"/>
                <w:sz w:val="18"/>
                <w:szCs w:val="18"/>
              </w:rPr>
              <w:t>De analyse dient te worden uitgevoerd:</w:t>
            </w:r>
          </w:p>
          <w:p w14:paraId="7D8B7050" w14:textId="2CF2CC23"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Er dienen (concept) statistieken te worden uitgedraaid op gemeentelijk sectie niveau. Grote verschillen tussen het huidige en voorgaande jaar dienen hierbij verklaard te worden. De eerder uitgevoerde controles dienen hier grotendeels als input.  </w:t>
            </w:r>
          </w:p>
          <w:p w14:paraId="6960AC97" w14:textId="32BE01C0"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Per gemeente wordt een overzicht verstrekt van de 10 grootste mutaties qua werkzame personen op vestigingsniveau.  </w:t>
            </w:r>
          </w:p>
          <w:p w14:paraId="3CC9FCB0" w14:textId="6D84E15B"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Statistieken en verklaringen dienen aan het kernteam en indien gewenst ook aan provinciale registerhouders ter bespreking en goedkeuring voorgelegd.  </w:t>
            </w:r>
          </w:p>
          <w:p w14:paraId="2BEFD1FE" w14:textId="61871202"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Bij vaststelling van de statistieken wordt het register tot tien jaar terug bevroren en kunnen statistieken worden uitgedraaid. Iedere provincie ontvangt een uitdraai van de provinciale data in een reeks van 10 jaar. </w:t>
            </w:r>
            <w:proofErr w:type="spellStart"/>
            <w:r w:rsidRPr="00087884">
              <w:rPr>
                <w:rFonts w:ascii="Verdana" w:hAnsi="Verdana"/>
                <w:sz w:val="18"/>
                <w:szCs w:val="18"/>
              </w:rPr>
              <w:t>Wp</w:t>
            </w:r>
            <w:proofErr w:type="spellEnd"/>
            <w:r w:rsidRPr="00087884">
              <w:rPr>
                <w:rFonts w:ascii="Verdana" w:hAnsi="Verdana"/>
                <w:sz w:val="18"/>
                <w:szCs w:val="18"/>
              </w:rPr>
              <w:t xml:space="preserve"> en vestigingen per gemeente, per plaats, per sectie, per grootteklasse en per SBI-5.    </w:t>
            </w:r>
          </w:p>
          <w:p w14:paraId="2A57BFE3" w14:textId="2C5C3589"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In samenspraak met het BIJ12 kernteam wordt een pers/nieuwsbericht opgesteld. </w:t>
            </w:r>
          </w:p>
          <w:p w14:paraId="3869ECC8" w14:textId="161E13BD"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Vaststelling, publicatie en oplevering van de jaarlijkse LISA gegevens  dient in de  eerste week van februari januari plaats te vinden. Bij een verwijdbare overschrijding van de deadline volgt een boete,  </w:t>
            </w:r>
          </w:p>
        </w:tc>
      </w:tr>
      <w:tr w:rsidR="00087884" w:rsidRPr="00087884" w14:paraId="411AAEF5" w14:textId="77777777" w:rsidTr="00087884">
        <w:tc>
          <w:tcPr>
            <w:tcW w:w="562" w:type="dxa"/>
          </w:tcPr>
          <w:p w14:paraId="3C176531" w14:textId="7B485314" w:rsidR="00087884" w:rsidRPr="00087884" w:rsidRDefault="00087884">
            <w:pPr>
              <w:rPr>
                <w:rFonts w:ascii="Verdana" w:hAnsi="Verdana"/>
                <w:sz w:val="18"/>
                <w:szCs w:val="18"/>
              </w:rPr>
            </w:pPr>
            <w:r w:rsidRPr="00087884">
              <w:rPr>
                <w:rFonts w:ascii="Verdana" w:hAnsi="Verdana"/>
                <w:sz w:val="18"/>
                <w:szCs w:val="18"/>
              </w:rPr>
              <w:lastRenderedPageBreak/>
              <w:t>15.</w:t>
            </w:r>
          </w:p>
        </w:tc>
        <w:tc>
          <w:tcPr>
            <w:tcW w:w="8500" w:type="dxa"/>
          </w:tcPr>
          <w:p w14:paraId="7CD38CFC" w14:textId="77777777" w:rsidR="00087884" w:rsidRPr="00087884" w:rsidRDefault="00087884" w:rsidP="00087884">
            <w:pPr>
              <w:rPr>
                <w:rFonts w:ascii="Verdana" w:hAnsi="Verdana"/>
                <w:sz w:val="18"/>
                <w:szCs w:val="18"/>
              </w:rPr>
            </w:pPr>
            <w:r w:rsidRPr="00087884">
              <w:rPr>
                <w:rFonts w:ascii="Verdana" w:hAnsi="Verdana"/>
                <w:sz w:val="18"/>
                <w:szCs w:val="18"/>
              </w:rPr>
              <w:t>Na oplevering van het jaarlijkse databestand dient een overzicht te worden geleverd van:</w:t>
            </w:r>
          </w:p>
          <w:p w14:paraId="5AD49EA0" w14:textId="3F79D97F"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Responspercentages per grootteklasse </w:t>
            </w:r>
            <w:proofErr w:type="spellStart"/>
            <w:r w:rsidRPr="00087884">
              <w:rPr>
                <w:rFonts w:ascii="Verdana" w:hAnsi="Verdana"/>
                <w:sz w:val="18"/>
                <w:szCs w:val="18"/>
              </w:rPr>
              <w:t>wp</w:t>
            </w:r>
            <w:proofErr w:type="spellEnd"/>
            <w:r w:rsidRPr="00087884">
              <w:rPr>
                <w:rFonts w:ascii="Verdana" w:hAnsi="Verdana"/>
                <w:sz w:val="18"/>
                <w:szCs w:val="18"/>
              </w:rPr>
              <w:t xml:space="preserve"> per provincie </w:t>
            </w:r>
          </w:p>
          <w:p w14:paraId="29D63C5D" w14:textId="771FCF74" w:rsidR="00087884" w:rsidRPr="00087884" w:rsidRDefault="00087884" w:rsidP="00087884">
            <w:pPr>
              <w:pStyle w:val="Lijstalinea"/>
              <w:numPr>
                <w:ilvl w:val="0"/>
                <w:numId w:val="1"/>
              </w:numPr>
              <w:rPr>
                <w:rFonts w:ascii="Verdana" w:hAnsi="Verdana"/>
                <w:sz w:val="18"/>
                <w:szCs w:val="18"/>
              </w:rPr>
            </w:pPr>
            <w:r w:rsidRPr="00087884">
              <w:rPr>
                <w:rFonts w:ascii="Verdana" w:hAnsi="Verdana"/>
                <w:sz w:val="18"/>
                <w:szCs w:val="18"/>
              </w:rPr>
              <w:t xml:space="preserve">Responspercentages totaal verdeeld naar: </w:t>
            </w:r>
          </w:p>
          <w:p w14:paraId="1AD68644" w14:textId="604A5ED1" w:rsidR="00087884" w:rsidRPr="00087884" w:rsidRDefault="00087884" w:rsidP="00087884">
            <w:pPr>
              <w:pStyle w:val="Lijstalinea"/>
              <w:rPr>
                <w:rFonts w:ascii="Verdana" w:hAnsi="Verdana"/>
                <w:sz w:val="18"/>
                <w:szCs w:val="18"/>
              </w:rPr>
            </w:pPr>
            <w:r w:rsidRPr="00087884">
              <w:rPr>
                <w:rFonts w:ascii="Verdana" w:hAnsi="Verdana"/>
                <w:sz w:val="18"/>
                <w:szCs w:val="18"/>
              </w:rPr>
              <w:t xml:space="preserve">Schriftelijk </w:t>
            </w:r>
          </w:p>
          <w:p w14:paraId="32E9A74F" w14:textId="2FAA3D57" w:rsidR="00087884" w:rsidRPr="00087884" w:rsidRDefault="00087884" w:rsidP="00087884">
            <w:pPr>
              <w:pStyle w:val="Lijstalinea"/>
              <w:rPr>
                <w:rFonts w:ascii="Verdana" w:hAnsi="Verdana"/>
                <w:sz w:val="18"/>
                <w:szCs w:val="18"/>
              </w:rPr>
            </w:pPr>
            <w:r w:rsidRPr="00087884">
              <w:rPr>
                <w:rFonts w:ascii="Verdana" w:hAnsi="Verdana"/>
                <w:sz w:val="18"/>
                <w:szCs w:val="18"/>
              </w:rPr>
              <w:t xml:space="preserve">Digitaal </w:t>
            </w:r>
          </w:p>
          <w:p w14:paraId="48C45BEA" w14:textId="69157BC6" w:rsidR="00087884" w:rsidRPr="00087884" w:rsidRDefault="00087884" w:rsidP="00087884">
            <w:pPr>
              <w:pStyle w:val="Lijstalinea"/>
              <w:rPr>
                <w:rFonts w:ascii="Verdana" w:hAnsi="Verdana"/>
                <w:sz w:val="18"/>
                <w:szCs w:val="18"/>
              </w:rPr>
            </w:pPr>
            <w:r w:rsidRPr="00087884">
              <w:rPr>
                <w:rFonts w:ascii="Verdana" w:hAnsi="Verdana"/>
                <w:sz w:val="18"/>
                <w:szCs w:val="18"/>
              </w:rPr>
              <w:t xml:space="preserve">Telefonisch </w:t>
            </w:r>
          </w:p>
          <w:p w14:paraId="3006EE29" w14:textId="5F26774A" w:rsidR="00087884" w:rsidRPr="00087884" w:rsidRDefault="00087884" w:rsidP="00087884">
            <w:pPr>
              <w:pStyle w:val="Lijstalinea"/>
              <w:rPr>
                <w:rFonts w:ascii="Verdana" w:hAnsi="Verdana"/>
                <w:sz w:val="18"/>
                <w:szCs w:val="18"/>
              </w:rPr>
            </w:pPr>
            <w:r w:rsidRPr="00087884">
              <w:rPr>
                <w:rFonts w:ascii="Verdana" w:hAnsi="Verdana"/>
                <w:sz w:val="18"/>
                <w:szCs w:val="18"/>
              </w:rPr>
              <w:t xml:space="preserve">Vanuit de KvK (nieuwe vestigingen) </w:t>
            </w:r>
          </w:p>
          <w:p w14:paraId="14EB5FAF" w14:textId="45514865" w:rsidR="00087884" w:rsidRPr="00087884" w:rsidRDefault="00087884" w:rsidP="00087884">
            <w:pPr>
              <w:pStyle w:val="Lijstalinea"/>
              <w:rPr>
                <w:rFonts w:ascii="Verdana" w:hAnsi="Verdana"/>
                <w:sz w:val="18"/>
                <w:szCs w:val="18"/>
              </w:rPr>
            </w:pPr>
            <w:r w:rsidRPr="00087884">
              <w:rPr>
                <w:rFonts w:ascii="Verdana" w:hAnsi="Verdana"/>
                <w:sz w:val="18"/>
                <w:szCs w:val="18"/>
              </w:rPr>
              <w:t xml:space="preserve">Zachte respons via jaarverslagen, websites etc.  </w:t>
            </w:r>
          </w:p>
          <w:p w14:paraId="6891EC14" w14:textId="6C19DC30" w:rsidR="00087884" w:rsidRPr="00087884" w:rsidRDefault="00087884" w:rsidP="00087884">
            <w:pPr>
              <w:pStyle w:val="Lijstalinea"/>
              <w:rPr>
                <w:rFonts w:ascii="Verdana" w:hAnsi="Verdana"/>
                <w:sz w:val="18"/>
                <w:szCs w:val="18"/>
              </w:rPr>
            </w:pPr>
            <w:r w:rsidRPr="00087884">
              <w:rPr>
                <w:rFonts w:ascii="Verdana" w:hAnsi="Verdana"/>
                <w:sz w:val="18"/>
                <w:szCs w:val="18"/>
              </w:rPr>
              <w:t xml:space="preserve">Percentage recentheid </w:t>
            </w:r>
            <w:proofErr w:type="spellStart"/>
            <w:r w:rsidRPr="00087884">
              <w:rPr>
                <w:rFonts w:ascii="Verdana" w:hAnsi="Verdana"/>
                <w:sz w:val="18"/>
                <w:szCs w:val="18"/>
              </w:rPr>
              <w:t>wp</w:t>
            </w:r>
            <w:proofErr w:type="spellEnd"/>
            <w:r w:rsidRPr="00087884">
              <w:rPr>
                <w:rFonts w:ascii="Verdana" w:hAnsi="Verdana"/>
                <w:sz w:val="18"/>
                <w:szCs w:val="18"/>
              </w:rPr>
              <w:t xml:space="preserve"> gegevens vestigingen per provincie (aandeel vestigingen wat de afgelopen x jaar per grootteklasse met harde respons)</w:t>
            </w:r>
          </w:p>
        </w:tc>
      </w:tr>
      <w:tr w:rsidR="00087884" w:rsidRPr="00087884" w14:paraId="48132A3A" w14:textId="77777777" w:rsidTr="00087884">
        <w:tc>
          <w:tcPr>
            <w:tcW w:w="562" w:type="dxa"/>
          </w:tcPr>
          <w:p w14:paraId="68D8C6EE" w14:textId="1394F4CB" w:rsidR="00087884" w:rsidRPr="00087884" w:rsidRDefault="00087884">
            <w:pPr>
              <w:rPr>
                <w:rFonts w:ascii="Verdana" w:hAnsi="Verdana"/>
                <w:sz w:val="18"/>
                <w:szCs w:val="18"/>
              </w:rPr>
            </w:pPr>
            <w:r w:rsidRPr="00087884">
              <w:rPr>
                <w:rFonts w:ascii="Verdana" w:hAnsi="Verdana"/>
                <w:sz w:val="18"/>
                <w:szCs w:val="18"/>
              </w:rPr>
              <w:t>16.</w:t>
            </w:r>
          </w:p>
        </w:tc>
        <w:tc>
          <w:tcPr>
            <w:tcW w:w="8500" w:type="dxa"/>
          </w:tcPr>
          <w:p w14:paraId="5F54822F" w14:textId="4D67B3B0" w:rsidR="00087884" w:rsidRPr="00087884" w:rsidRDefault="00087884">
            <w:pPr>
              <w:rPr>
                <w:rFonts w:ascii="Verdana" w:hAnsi="Verdana"/>
                <w:sz w:val="18"/>
                <w:szCs w:val="18"/>
              </w:rPr>
            </w:pPr>
            <w:r w:rsidRPr="00087884">
              <w:rPr>
                <w:rFonts w:ascii="Verdana" w:hAnsi="Verdana"/>
                <w:sz w:val="18"/>
                <w:szCs w:val="18"/>
              </w:rPr>
              <w:t>LISA heeft enkele structurele data afnemers waarvoor jaarlijks een databestand geleverd zal moeten worden.</w:t>
            </w:r>
          </w:p>
        </w:tc>
      </w:tr>
      <w:tr w:rsidR="00087884" w:rsidRPr="00087884" w14:paraId="584C310F" w14:textId="77777777" w:rsidTr="00087884">
        <w:tc>
          <w:tcPr>
            <w:tcW w:w="562" w:type="dxa"/>
          </w:tcPr>
          <w:p w14:paraId="5F9E846B" w14:textId="24FFC015" w:rsidR="00087884" w:rsidRPr="00087884" w:rsidRDefault="00087884">
            <w:pPr>
              <w:rPr>
                <w:rFonts w:ascii="Verdana" w:hAnsi="Verdana"/>
                <w:sz w:val="18"/>
                <w:szCs w:val="18"/>
              </w:rPr>
            </w:pPr>
            <w:r w:rsidRPr="00087884">
              <w:rPr>
                <w:rFonts w:ascii="Verdana" w:hAnsi="Verdana"/>
                <w:sz w:val="18"/>
                <w:szCs w:val="18"/>
              </w:rPr>
              <w:t>17.</w:t>
            </w:r>
          </w:p>
        </w:tc>
        <w:tc>
          <w:tcPr>
            <w:tcW w:w="8500" w:type="dxa"/>
          </w:tcPr>
          <w:p w14:paraId="5F4AEBFD" w14:textId="5A4C6E74" w:rsidR="00087884" w:rsidRPr="00087884" w:rsidRDefault="00087884">
            <w:pPr>
              <w:rPr>
                <w:rFonts w:ascii="Verdana" w:hAnsi="Verdana"/>
                <w:sz w:val="18"/>
                <w:szCs w:val="18"/>
              </w:rPr>
            </w:pPr>
            <w:r w:rsidRPr="00087884">
              <w:rPr>
                <w:rFonts w:ascii="Verdana" w:hAnsi="Verdana"/>
                <w:sz w:val="18"/>
                <w:szCs w:val="18"/>
              </w:rPr>
              <w:t>Op verzoek dienen specifieke incidentele dataleveringen te worden gedaan.</w:t>
            </w:r>
          </w:p>
        </w:tc>
      </w:tr>
      <w:tr w:rsidR="00087884" w:rsidRPr="00087884" w14:paraId="38C08ADB" w14:textId="77777777" w:rsidTr="00087884">
        <w:tc>
          <w:tcPr>
            <w:tcW w:w="562" w:type="dxa"/>
          </w:tcPr>
          <w:p w14:paraId="09B9CA81" w14:textId="0C95CAFC" w:rsidR="00087884" w:rsidRPr="00087884" w:rsidRDefault="00087884">
            <w:pPr>
              <w:rPr>
                <w:rFonts w:ascii="Verdana" w:hAnsi="Verdana"/>
                <w:sz w:val="18"/>
                <w:szCs w:val="18"/>
              </w:rPr>
            </w:pPr>
            <w:r w:rsidRPr="00087884">
              <w:rPr>
                <w:rFonts w:ascii="Verdana" w:hAnsi="Verdana"/>
                <w:sz w:val="18"/>
                <w:szCs w:val="18"/>
              </w:rPr>
              <w:t>18.</w:t>
            </w:r>
          </w:p>
        </w:tc>
        <w:tc>
          <w:tcPr>
            <w:tcW w:w="8500" w:type="dxa"/>
          </w:tcPr>
          <w:p w14:paraId="379A6279" w14:textId="3F707305" w:rsidR="00087884" w:rsidRPr="00087884" w:rsidRDefault="00087884">
            <w:pPr>
              <w:rPr>
                <w:rFonts w:ascii="Verdana" w:hAnsi="Verdana"/>
                <w:sz w:val="18"/>
                <w:szCs w:val="18"/>
              </w:rPr>
            </w:pPr>
            <w:r w:rsidRPr="00087884">
              <w:rPr>
                <w:rFonts w:ascii="Verdana" w:hAnsi="Verdana"/>
                <w:sz w:val="18"/>
                <w:szCs w:val="18"/>
              </w:rPr>
              <w:t xml:space="preserve">De uitvoerende organisatie dient op kantooruren bereikbaar te zijn voor het BIJ12 kernteam en de provinciale registerhouders.  </w:t>
            </w:r>
          </w:p>
        </w:tc>
      </w:tr>
      <w:tr w:rsidR="00087884" w:rsidRPr="00087884" w14:paraId="0DBFB9FB" w14:textId="77777777" w:rsidTr="00087884">
        <w:tc>
          <w:tcPr>
            <w:tcW w:w="562" w:type="dxa"/>
          </w:tcPr>
          <w:p w14:paraId="3E0AA666" w14:textId="04AC575D" w:rsidR="00087884" w:rsidRPr="00087884" w:rsidRDefault="00087884">
            <w:pPr>
              <w:rPr>
                <w:rFonts w:ascii="Verdana" w:hAnsi="Verdana"/>
                <w:sz w:val="18"/>
                <w:szCs w:val="18"/>
              </w:rPr>
            </w:pPr>
            <w:r w:rsidRPr="00087884">
              <w:rPr>
                <w:rFonts w:ascii="Verdana" w:hAnsi="Verdana"/>
                <w:sz w:val="18"/>
                <w:szCs w:val="18"/>
              </w:rPr>
              <w:t>19.</w:t>
            </w:r>
          </w:p>
        </w:tc>
        <w:tc>
          <w:tcPr>
            <w:tcW w:w="8500" w:type="dxa"/>
          </w:tcPr>
          <w:p w14:paraId="399E6CC6" w14:textId="350AC97D" w:rsidR="00087884" w:rsidRPr="00087884" w:rsidRDefault="00087884">
            <w:pPr>
              <w:rPr>
                <w:rFonts w:ascii="Verdana" w:hAnsi="Verdana"/>
                <w:sz w:val="18"/>
                <w:szCs w:val="18"/>
              </w:rPr>
            </w:pPr>
            <w:r w:rsidRPr="00087884">
              <w:rPr>
                <w:rFonts w:ascii="Verdana" w:hAnsi="Verdana"/>
                <w:sz w:val="18"/>
                <w:szCs w:val="18"/>
              </w:rPr>
              <w:t>De opdrachtnemer zorgt voor de data-uitwisseling (beschikbaarstelling voor provincies) en begeleiding van deze externe partij ten behoeve van toegevoegde waarde cijfers.</w:t>
            </w:r>
          </w:p>
        </w:tc>
      </w:tr>
    </w:tbl>
    <w:p w14:paraId="3D9195A6" w14:textId="77777777" w:rsidR="00087884" w:rsidRDefault="00087884">
      <w:pPr>
        <w:rPr>
          <w:rFonts w:ascii="Verdana" w:hAnsi="Verdana"/>
          <w:sz w:val="18"/>
          <w:szCs w:val="18"/>
        </w:rPr>
      </w:pPr>
    </w:p>
    <w:p w14:paraId="023C5765" w14:textId="77777777" w:rsidR="00087884" w:rsidRDefault="00087884">
      <w:pPr>
        <w:rPr>
          <w:rFonts w:ascii="Verdana" w:hAnsi="Verdana"/>
          <w:sz w:val="18"/>
          <w:szCs w:val="18"/>
        </w:rPr>
      </w:pPr>
    </w:p>
    <w:p w14:paraId="66662B58" w14:textId="545F0F3D" w:rsidR="00087884" w:rsidRDefault="00087884" w:rsidP="00087884">
      <w:pPr>
        <w:pStyle w:val="Geenafstand"/>
        <w:rPr>
          <w:rFonts w:ascii="Verdana" w:hAnsi="Verdana"/>
          <w:sz w:val="18"/>
          <w:szCs w:val="18"/>
        </w:rPr>
      </w:pPr>
      <w:r w:rsidRPr="00087884">
        <w:rPr>
          <w:rFonts w:ascii="Verdana" w:hAnsi="Verdana"/>
          <w:sz w:val="18"/>
          <w:szCs w:val="18"/>
        </w:rPr>
        <w:t>Voor akkoord</w:t>
      </w:r>
      <w:r>
        <w:rPr>
          <w:rFonts w:ascii="Verdana" w:hAnsi="Verdana"/>
          <w:sz w:val="18"/>
          <w:szCs w:val="18"/>
        </w:rPr>
        <w:t>,</w:t>
      </w:r>
    </w:p>
    <w:p w14:paraId="556DC7E9" w14:textId="77777777" w:rsidR="00087884" w:rsidRPr="00087884" w:rsidRDefault="00087884" w:rsidP="00087884">
      <w:pPr>
        <w:pStyle w:val="Geenafstand"/>
        <w:rPr>
          <w:rFonts w:ascii="Verdana" w:hAnsi="Verdana"/>
          <w:sz w:val="18"/>
          <w:szCs w:val="18"/>
        </w:rPr>
      </w:pPr>
    </w:p>
    <w:p w14:paraId="4939D453" w14:textId="713741B0" w:rsidR="00087884" w:rsidRDefault="00087884" w:rsidP="00087884">
      <w:pPr>
        <w:pStyle w:val="Geenafstand"/>
        <w:rPr>
          <w:rFonts w:ascii="Verdana" w:hAnsi="Verdana"/>
          <w:sz w:val="18"/>
          <w:szCs w:val="18"/>
        </w:rPr>
      </w:pPr>
      <w:r>
        <w:rPr>
          <w:rFonts w:ascii="Verdana" w:hAnsi="Verdana"/>
          <w:sz w:val="18"/>
          <w:szCs w:val="18"/>
        </w:rPr>
        <w:t>Datum:</w:t>
      </w:r>
    </w:p>
    <w:p w14:paraId="7B338B89" w14:textId="08E6ABE3" w:rsidR="00087884" w:rsidRDefault="00087884" w:rsidP="00087884">
      <w:pPr>
        <w:pStyle w:val="Geenafstand"/>
        <w:rPr>
          <w:rFonts w:ascii="Verdana" w:hAnsi="Verdana"/>
          <w:sz w:val="18"/>
          <w:szCs w:val="18"/>
        </w:rPr>
      </w:pPr>
      <w:r>
        <w:rPr>
          <w:rFonts w:ascii="Verdana" w:hAnsi="Verdana"/>
          <w:sz w:val="18"/>
          <w:szCs w:val="18"/>
        </w:rPr>
        <w:t>Plaats:</w:t>
      </w:r>
    </w:p>
    <w:p w14:paraId="4AE0A3F0" w14:textId="3FB33EBE" w:rsidR="00087884" w:rsidRDefault="00087884" w:rsidP="00087884">
      <w:pPr>
        <w:pStyle w:val="Geenafstand"/>
        <w:rPr>
          <w:rFonts w:ascii="Verdana" w:hAnsi="Verdana"/>
          <w:sz w:val="18"/>
          <w:szCs w:val="18"/>
        </w:rPr>
      </w:pPr>
      <w:r>
        <w:rPr>
          <w:rFonts w:ascii="Verdana" w:hAnsi="Verdana"/>
          <w:sz w:val="18"/>
          <w:szCs w:val="18"/>
        </w:rPr>
        <w:t>Functie:</w:t>
      </w:r>
    </w:p>
    <w:p w14:paraId="337463C3" w14:textId="2CD8C509" w:rsidR="00087884" w:rsidRDefault="00087884" w:rsidP="00087884">
      <w:pPr>
        <w:pStyle w:val="Geenafstand"/>
        <w:rPr>
          <w:rFonts w:ascii="Verdana" w:hAnsi="Verdana"/>
          <w:sz w:val="18"/>
          <w:szCs w:val="18"/>
        </w:rPr>
      </w:pPr>
      <w:r>
        <w:rPr>
          <w:rFonts w:ascii="Verdana" w:hAnsi="Verdana"/>
          <w:sz w:val="18"/>
          <w:szCs w:val="18"/>
        </w:rPr>
        <w:t>Handtekening:</w:t>
      </w:r>
    </w:p>
    <w:p w14:paraId="4175A5A0" w14:textId="77777777" w:rsidR="00087884" w:rsidRDefault="00087884" w:rsidP="00087884">
      <w:pPr>
        <w:pStyle w:val="Geenafstand"/>
        <w:rPr>
          <w:rFonts w:ascii="Verdana" w:hAnsi="Verdana"/>
          <w:sz w:val="18"/>
          <w:szCs w:val="18"/>
        </w:rPr>
      </w:pPr>
    </w:p>
    <w:p w14:paraId="4A2B085E" w14:textId="77777777" w:rsidR="00087884" w:rsidRDefault="00087884" w:rsidP="00087884">
      <w:pPr>
        <w:pStyle w:val="Geenafstand"/>
        <w:rPr>
          <w:rFonts w:ascii="Verdana" w:hAnsi="Verdana"/>
          <w:sz w:val="18"/>
          <w:szCs w:val="18"/>
        </w:rPr>
      </w:pPr>
    </w:p>
    <w:p w14:paraId="6CE48E0B" w14:textId="77777777" w:rsidR="00087884" w:rsidRDefault="00087884" w:rsidP="00087884">
      <w:pPr>
        <w:pStyle w:val="Geenafstand"/>
        <w:rPr>
          <w:rFonts w:ascii="Verdana" w:hAnsi="Verdana"/>
          <w:sz w:val="18"/>
          <w:szCs w:val="18"/>
        </w:rPr>
      </w:pPr>
    </w:p>
    <w:p w14:paraId="49BEC900" w14:textId="77777777" w:rsidR="00087884" w:rsidRDefault="00087884" w:rsidP="00087884">
      <w:pPr>
        <w:pStyle w:val="Geenafstand"/>
        <w:rPr>
          <w:rFonts w:ascii="Verdana" w:hAnsi="Verdana"/>
          <w:sz w:val="18"/>
          <w:szCs w:val="18"/>
        </w:rPr>
      </w:pPr>
    </w:p>
    <w:p w14:paraId="0DD75FF2" w14:textId="77777777" w:rsidR="00087884" w:rsidRDefault="00087884" w:rsidP="00087884">
      <w:pPr>
        <w:pStyle w:val="Geenafstand"/>
        <w:rPr>
          <w:rFonts w:ascii="Verdana" w:hAnsi="Verdana"/>
          <w:sz w:val="18"/>
          <w:szCs w:val="18"/>
        </w:rPr>
      </w:pPr>
    </w:p>
    <w:p w14:paraId="03306475" w14:textId="77777777" w:rsidR="00087884" w:rsidRDefault="00087884" w:rsidP="00087884">
      <w:pPr>
        <w:pStyle w:val="Geenafstand"/>
        <w:rPr>
          <w:rFonts w:ascii="Verdana" w:hAnsi="Verdana"/>
          <w:sz w:val="18"/>
          <w:szCs w:val="18"/>
        </w:rPr>
      </w:pPr>
    </w:p>
    <w:p w14:paraId="49607ABF" w14:textId="77777777" w:rsidR="00087884" w:rsidRDefault="00087884" w:rsidP="00087884">
      <w:pPr>
        <w:pStyle w:val="Geenafstand"/>
        <w:rPr>
          <w:rFonts w:ascii="Verdana" w:hAnsi="Verdana"/>
          <w:sz w:val="18"/>
          <w:szCs w:val="18"/>
        </w:rPr>
      </w:pPr>
    </w:p>
    <w:p w14:paraId="7C16D6F3" w14:textId="7A1D62AA" w:rsidR="00087884" w:rsidRPr="00087884" w:rsidRDefault="00087884" w:rsidP="00087884">
      <w:pPr>
        <w:pStyle w:val="Geenafstand"/>
        <w:rPr>
          <w:rFonts w:ascii="Verdana" w:hAnsi="Verdana"/>
          <w:sz w:val="18"/>
          <w:szCs w:val="18"/>
        </w:rPr>
      </w:pPr>
      <w:r>
        <w:rPr>
          <w:rFonts w:ascii="Verdana" w:hAnsi="Verdana"/>
          <w:sz w:val="18"/>
          <w:szCs w:val="18"/>
        </w:rPr>
        <w:t>______________________________</w:t>
      </w:r>
    </w:p>
    <w:sectPr w:rsidR="00087884" w:rsidRPr="00087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D5CAD"/>
    <w:multiLevelType w:val="hybridMultilevel"/>
    <w:tmpl w:val="9DCC1848"/>
    <w:lvl w:ilvl="0" w:tplc="E006CE5E">
      <w:start w:val="2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790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84"/>
    <w:rsid w:val="00087884"/>
    <w:rsid w:val="003916E0"/>
    <w:rsid w:val="00753950"/>
    <w:rsid w:val="007D04D0"/>
    <w:rsid w:val="00FB3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1781"/>
  <w15:chartTrackingRefBased/>
  <w15:docId w15:val="{0C78F716-B860-45C5-89CC-53EA3D37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8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8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8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8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8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8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8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8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8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8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8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8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8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8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8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884"/>
    <w:rPr>
      <w:rFonts w:eastAsiaTheme="majorEastAsia" w:cstheme="majorBidi"/>
      <w:color w:val="272727" w:themeColor="text1" w:themeTint="D8"/>
    </w:rPr>
  </w:style>
  <w:style w:type="paragraph" w:styleId="Titel">
    <w:name w:val="Title"/>
    <w:basedOn w:val="Standaard"/>
    <w:next w:val="Standaard"/>
    <w:link w:val="TitelChar"/>
    <w:uiPriority w:val="10"/>
    <w:qFormat/>
    <w:rsid w:val="00087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8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8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8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8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884"/>
    <w:rPr>
      <w:i/>
      <w:iCs/>
      <w:color w:val="404040" w:themeColor="text1" w:themeTint="BF"/>
    </w:rPr>
  </w:style>
  <w:style w:type="paragraph" w:styleId="Lijstalinea">
    <w:name w:val="List Paragraph"/>
    <w:basedOn w:val="Standaard"/>
    <w:uiPriority w:val="34"/>
    <w:qFormat/>
    <w:rsid w:val="00087884"/>
    <w:pPr>
      <w:ind w:left="720"/>
      <w:contextualSpacing/>
    </w:pPr>
  </w:style>
  <w:style w:type="character" w:styleId="Intensievebenadrukking">
    <w:name w:val="Intense Emphasis"/>
    <w:basedOn w:val="Standaardalinea-lettertype"/>
    <w:uiPriority w:val="21"/>
    <w:qFormat/>
    <w:rsid w:val="00087884"/>
    <w:rPr>
      <w:i/>
      <w:iCs/>
      <w:color w:val="0F4761" w:themeColor="accent1" w:themeShade="BF"/>
    </w:rPr>
  </w:style>
  <w:style w:type="paragraph" w:styleId="Duidelijkcitaat">
    <w:name w:val="Intense Quote"/>
    <w:basedOn w:val="Standaard"/>
    <w:next w:val="Standaard"/>
    <w:link w:val="DuidelijkcitaatChar"/>
    <w:uiPriority w:val="30"/>
    <w:qFormat/>
    <w:rsid w:val="00087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884"/>
    <w:rPr>
      <w:i/>
      <w:iCs/>
      <w:color w:val="0F4761" w:themeColor="accent1" w:themeShade="BF"/>
    </w:rPr>
  </w:style>
  <w:style w:type="character" w:styleId="Intensieveverwijzing">
    <w:name w:val="Intense Reference"/>
    <w:basedOn w:val="Standaardalinea-lettertype"/>
    <w:uiPriority w:val="32"/>
    <w:qFormat/>
    <w:rsid w:val="00087884"/>
    <w:rPr>
      <w:b/>
      <w:bCs/>
      <w:smallCaps/>
      <w:color w:val="0F4761" w:themeColor="accent1" w:themeShade="BF"/>
      <w:spacing w:val="5"/>
    </w:rPr>
  </w:style>
  <w:style w:type="table" w:styleId="Tabelraster">
    <w:name w:val="Table Grid"/>
    <w:basedOn w:val="Standaardtabel"/>
    <w:uiPriority w:val="39"/>
    <w:rsid w:val="0008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878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3971</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Lijs</dc:creator>
  <cp:keywords/>
  <dc:description/>
  <cp:lastModifiedBy>Stefanie Lijs</cp:lastModifiedBy>
  <cp:revision>1</cp:revision>
  <dcterms:created xsi:type="dcterms:W3CDTF">2025-10-13T09:36:00Z</dcterms:created>
  <dcterms:modified xsi:type="dcterms:W3CDTF">2025-10-13T09:43:00Z</dcterms:modified>
</cp:coreProperties>
</file>