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54676" w14:textId="6718C43F" w:rsidR="00F6597B" w:rsidRPr="00424CB6" w:rsidRDefault="00802144" w:rsidP="00424CB6">
      <w:pPr>
        <w:spacing w:line="293" w:lineRule="auto"/>
        <w:jc w:val="both"/>
        <w:rPr>
          <w:b/>
          <w:bCs/>
          <w:szCs w:val="17"/>
          <w:u w:val="single"/>
        </w:rPr>
      </w:pPr>
      <w:r w:rsidRPr="00424CB6">
        <w:rPr>
          <w:b/>
          <w:bCs/>
          <w:szCs w:val="17"/>
          <w:u w:val="single"/>
        </w:rPr>
        <w:t>BIJLAGE LASTEN EN BEPERKINGEN</w:t>
      </w:r>
    </w:p>
    <w:p w14:paraId="3B65D495" w14:textId="77777777" w:rsidR="00802144" w:rsidRPr="00424CB6" w:rsidRDefault="00802144" w:rsidP="00424CB6">
      <w:pPr>
        <w:spacing w:line="293" w:lineRule="auto"/>
        <w:jc w:val="both"/>
        <w:rPr>
          <w:b/>
          <w:bCs/>
          <w:szCs w:val="17"/>
          <w:u w:val="single"/>
        </w:rPr>
      </w:pPr>
    </w:p>
    <w:p w14:paraId="06158CC5" w14:textId="5F284E0D" w:rsidR="00345CE4" w:rsidRPr="00424CB6" w:rsidRDefault="00345CE4" w:rsidP="00424CB6">
      <w:pPr>
        <w:pStyle w:val="Lijstalinea"/>
        <w:numPr>
          <w:ilvl w:val="0"/>
          <w:numId w:val="37"/>
        </w:numPr>
        <w:spacing w:line="293" w:lineRule="auto"/>
        <w:ind w:left="567" w:hanging="567"/>
        <w:jc w:val="both"/>
        <w:rPr>
          <w:szCs w:val="17"/>
          <w:lang w:val="nl-NL"/>
        </w:rPr>
      </w:pPr>
      <w:r w:rsidRPr="00424CB6">
        <w:rPr>
          <w:szCs w:val="17"/>
          <w:lang w:val="nl-NL"/>
        </w:rPr>
        <w:t xml:space="preserve">een akte van levering en constatering vermenging, op éénentwintig augustus tweeduizend vierentwintig voor een toegevoegd notaris, bevoegd om akten te passeren in het protocol van mr. M.J.A. Laenen, notaris te Amsterdam, verleden en bij afschrift ingeschreven in register Hypotheken 4 van de Openbare Registers op tweeëntwintig augustus tweeduizend vierentwintig in deel 89350 nummer 34, </w:t>
      </w:r>
      <w:r w:rsidR="001C26DB" w:rsidRPr="00424CB6">
        <w:rPr>
          <w:szCs w:val="17"/>
          <w:lang w:val="nl-NL"/>
        </w:rPr>
        <w:t xml:space="preserve"> </w:t>
      </w:r>
      <w:r w:rsidRPr="00424CB6">
        <w:rPr>
          <w:szCs w:val="17"/>
          <w:lang w:val="nl-NL"/>
        </w:rPr>
        <w:t>waarin onder mee</w:t>
      </w:r>
      <w:r w:rsidR="006748B3" w:rsidRPr="00424CB6">
        <w:rPr>
          <w:szCs w:val="17"/>
          <w:lang w:val="nl-NL"/>
        </w:rPr>
        <w:t>r</w:t>
      </w:r>
      <w:r w:rsidRPr="00424CB6">
        <w:rPr>
          <w:szCs w:val="17"/>
          <w:lang w:val="nl-NL"/>
        </w:rPr>
        <w:t xml:space="preserve"> het volgende is opgenomen, woordelijk luidend: </w:t>
      </w:r>
    </w:p>
    <w:p w14:paraId="4BEBE126" w14:textId="0F9A0826" w:rsidR="00903313" w:rsidRPr="00424CB6" w:rsidRDefault="00903313" w:rsidP="00424CB6">
      <w:pPr>
        <w:pStyle w:val="Lijstalinea"/>
        <w:spacing w:line="293" w:lineRule="auto"/>
        <w:ind w:left="567"/>
        <w:jc w:val="both"/>
        <w:rPr>
          <w:szCs w:val="17"/>
          <w:u w:val="single"/>
          <w:lang w:val="nl-NL"/>
        </w:rPr>
      </w:pPr>
      <w:r w:rsidRPr="00424CB6">
        <w:rPr>
          <w:szCs w:val="17"/>
          <w:highlight w:val="darkGray"/>
          <w:u w:val="single"/>
          <w:lang w:val="nl-NL"/>
        </w:rPr>
        <w:t xml:space="preserve">Voor wat betreft het </w:t>
      </w:r>
      <w:r w:rsidRPr="00424CB6">
        <w:rPr>
          <w:b/>
          <w:bCs/>
          <w:szCs w:val="17"/>
          <w:highlight w:val="darkGray"/>
          <w:u w:val="single"/>
          <w:lang w:val="nl-NL"/>
        </w:rPr>
        <w:t>Samengestelde Erfpachtrecht</w:t>
      </w:r>
      <w:r w:rsidRPr="00424CB6">
        <w:rPr>
          <w:szCs w:val="17"/>
          <w:highlight w:val="darkGray"/>
          <w:u w:val="single"/>
          <w:lang w:val="nl-NL"/>
        </w:rPr>
        <w:t>:</w:t>
      </w:r>
    </w:p>
    <w:p w14:paraId="3FCFC8AC" w14:textId="77777777" w:rsidR="001C26DB" w:rsidRPr="00424CB6" w:rsidRDefault="00B53CB4" w:rsidP="00424CB6">
      <w:pPr>
        <w:autoSpaceDE w:val="0"/>
        <w:autoSpaceDN w:val="0"/>
        <w:adjustRightInd w:val="0"/>
        <w:spacing w:line="293" w:lineRule="auto"/>
        <w:ind w:left="993" w:hanging="426"/>
        <w:jc w:val="both"/>
        <w:rPr>
          <w:rFonts w:cs="ArialMT"/>
          <w:i/>
          <w:iCs/>
          <w:szCs w:val="17"/>
          <w:lang w:val="nl-NL"/>
          <w14:ligatures w14:val="standardContextual"/>
        </w:rPr>
      </w:pPr>
      <w:r w:rsidRPr="00424CB6">
        <w:rPr>
          <w:rFonts w:cs="Arial-BoldMT"/>
          <w:szCs w:val="17"/>
          <w:lang w:val="nl-NL"/>
          <w14:ligatures w14:val="standardContextual"/>
        </w:rPr>
        <w:t>“</w:t>
      </w:r>
      <w:r w:rsidR="001C26DB" w:rsidRPr="00424CB6">
        <w:rPr>
          <w:rFonts w:cs="ArialMT"/>
          <w:i/>
          <w:iCs/>
          <w:szCs w:val="17"/>
          <w:lang w:val="nl-NL"/>
          <w14:ligatures w14:val="standardContextual"/>
        </w:rPr>
        <w:t xml:space="preserve">A. </w:t>
      </w:r>
      <w:r w:rsidR="001C26DB" w:rsidRPr="00424CB6">
        <w:rPr>
          <w:rFonts w:cs="ArialMT"/>
          <w:i/>
          <w:iCs/>
          <w:szCs w:val="17"/>
          <w:lang w:val="nl-NL"/>
          <w14:ligatures w14:val="standardContextual"/>
        </w:rPr>
        <w:tab/>
      </w:r>
      <w:r w:rsidR="001C26DB" w:rsidRPr="00424CB6">
        <w:rPr>
          <w:rFonts w:cs="ArialMT"/>
          <w:i/>
          <w:iCs/>
          <w:szCs w:val="17"/>
          <w:u w:val="single"/>
          <w:lang w:val="nl-NL"/>
          <w14:ligatures w14:val="standardContextual"/>
        </w:rPr>
        <w:t>voor zover het registergoederen betreft waartoe ND I gerechtigd is</w:t>
      </w:r>
      <w:r w:rsidR="001C26DB" w:rsidRPr="00424CB6">
        <w:rPr>
          <w:rFonts w:cs="ArialMT"/>
          <w:i/>
          <w:iCs/>
          <w:szCs w:val="17"/>
          <w:lang w:val="nl-NL"/>
          <w14:ligatures w14:val="standardContextual"/>
        </w:rPr>
        <w:t>:</w:t>
      </w:r>
    </w:p>
    <w:p w14:paraId="2130898C" w14:textId="3F2864CB"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1. </w:t>
      </w:r>
      <w:r w:rsidR="00CE534F" w:rsidRPr="00424CB6">
        <w:rPr>
          <w:rFonts w:cs="ArialMT"/>
          <w:i/>
          <w:iCs/>
          <w:szCs w:val="17"/>
          <w:lang w:val="nl-NL"/>
          <w14:ligatures w14:val="standardContextual"/>
        </w:rPr>
        <w:tab/>
      </w:r>
      <w:r w:rsidRPr="00424CB6">
        <w:rPr>
          <w:rFonts w:cs="ArialMT"/>
          <w:i/>
          <w:iCs/>
          <w:szCs w:val="17"/>
          <w:lang w:val="nl-NL"/>
          <w14:ligatures w14:val="standardContextual"/>
        </w:rPr>
        <w:t>het tijdelijk recht van erfpacht, eindigend op achtentwintig mei tweeduizend</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vierenvijftig, ten aanzien van de percelen grond, eigendom van de Koper, gelegen te Naarden, plaatselijk bekend niet nader aangeduid, </w:t>
      </w:r>
      <w:r w:rsidRPr="00424CB6">
        <w:rPr>
          <w:rFonts w:cs="Arial-BoldMT"/>
          <w:b/>
          <w:bCs/>
          <w:i/>
          <w:iCs/>
          <w:szCs w:val="17"/>
          <w:lang w:val="nl-NL"/>
          <w14:ligatures w14:val="standardContextual"/>
        </w:rPr>
        <w:t>kadastraal</w:t>
      </w:r>
      <w:r w:rsidR="00CE534F" w:rsidRPr="00424CB6">
        <w:rPr>
          <w:rFonts w:cs="ArialMT"/>
          <w:i/>
          <w:iCs/>
          <w:szCs w:val="17"/>
          <w:lang w:val="nl-NL"/>
          <w14:ligatures w14:val="standardContextual"/>
        </w:rPr>
        <w:t xml:space="preserve"> </w:t>
      </w:r>
      <w:r w:rsidRPr="00424CB6">
        <w:rPr>
          <w:rFonts w:cs="Arial-BoldMT"/>
          <w:b/>
          <w:bCs/>
          <w:i/>
          <w:iCs/>
          <w:szCs w:val="17"/>
          <w:lang w:val="nl-NL"/>
          <w14:ligatures w14:val="standardContextual"/>
        </w:rPr>
        <w:t>bekend gemeente Naarden, sectie A, nummers 2275, 2458 en 2459</w:t>
      </w:r>
      <w:r w:rsidRPr="00424CB6">
        <w:rPr>
          <w:rFonts w:cs="ArialMT"/>
          <w:i/>
          <w:iCs/>
          <w:szCs w:val="17"/>
          <w:lang w:val="nl-NL"/>
          <w14:ligatures w14:val="standardContextual"/>
        </w:rPr>
        <w:t>, groot</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respectievelijk tweehonderdvierenveertigduizend honderdtien vierkante meter</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(244.110 m2), tweehonderddrieënzestigduizend honderdtweeënvijftig vierkante</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meter (263.152 m2) en achttien vierkante meter (18 m2), met de rechten van de</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erfpachter op de percelen en op deze percelen bevindende opstallen</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voortvloeiend uit de erfpachtvoorwaarden en de wet, welke percelen blijkens de</w:t>
      </w:r>
      <w:r w:rsidR="00CE534F" w:rsidRPr="00424CB6">
        <w:rPr>
          <w:rFonts w:cs="ArialMT"/>
          <w:i/>
          <w:iCs/>
          <w:szCs w:val="17"/>
          <w:lang w:val="nl-NL"/>
          <w14:ligatures w14:val="standardContextual"/>
        </w:rPr>
        <w:t xml:space="preserve"> </w:t>
      </w:r>
      <w:r w:rsidRPr="00424CB6">
        <w:rPr>
          <w:rFonts w:cs="ArialMT"/>
          <w:i/>
          <w:iCs/>
          <w:szCs w:val="17"/>
          <w:lang w:val="nl-NL"/>
          <w14:ligatures w14:val="standardContextual"/>
        </w:rPr>
        <w:t>kadastrale registratie zijn belast met:</w:t>
      </w:r>
    </w:p>
    <w:p w14:paraId="1D64F395" w14:textId="750B788B"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een kwalitatieve verplichting uit hoofde van de inschrijving in de openbare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registers voor registergoederen (de "</w:t>
      </w:r>
      <w:r w:rsidRPr="00424CB6">
        <w:rPr>
          <w:rFonts w:cs="Arial-BoldMT"/>
          <w:b/>
          <w:bCs/>
          <w:i/>
          <w:iCs/>
          <w:szCs w:val="17"/>
          <w:lang w:val="nl-NL"/>
          <w14:ligatures w14:val="standardContextual"/>
        </w:rPr>
        <w:t>Openbare Registers</w:t>
      </w:r>
      <w:r w:rsidRPr="00424CB6">
        <w:rPr>
          <w:rFonts w:cs="ArialMT"/>
          <w:i/>
          <w:iCs/>
          <w:szCs w:val="17"/>
          <w:lang w:val="nl-NL"/>
          <w14:ligatures w14:val="standardContextual"/>
        </w:rPr>
        <w:t>") op eenentwintig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juli tweeduizend eenentwintig in register Hypotheken 4, deel 81779, nummer</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44 (de "</w:t>
      </w:r>
      <w:r w:rsidRPr="00424CB6">
        <w:rPr>
          <w:rFonts w:cs="Arial-BoldMT"/>
          <w:b/>
          <w:bCs/>
          <w:i/>
          <w:iCs/>
          <w:szCs w:val="17"/>
          <w:lang w:val="nl-NL"/>
          <w14:ligatures w14:val="standardContextual"/>
        </w:rPr>
        <w:t>Akte Kwalitatieve Verplichting</w:t>
      </w:r>
      <w:r w:rsidRPr="00424CB6">
        <w:rPr>
          <w:rFonts w:cs="ArialMT"/>
          <w:i/>
          <w:iCs/>
          <w:szCs w:val="17"/>
          <w:lang w:val="nl-NL"/>
          <w14:ligatures w14:val="standardContextual"/>
        </w:rPr>
        <w:t>"); en</w:t>
      </w:r>
    </w:p>
    <w:p w14:paraId="14744C42" w14:textId="30597ECB"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 2459: een opstalrecht ten behoeve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van Liander N.V.,</w:t>
      </w:r>
    </w:p>
    <w:p w14:paraId="4C9E3134" w14:textId="77777777"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(het "</w:t>
      </w:r>
      <w:r w:rsidRPr="00424CB6">
        <w:rPr>
          <w:rFonts w:cs="Arial-BoldMT"/>
          <w:b/>
          <w:bCs/>
          <w:i/>
          <w:iCs/>
          <w:szCs w:val="17"/>
          <w:lang w:val="nl-NL"/>
          <w14:ligatures w14:val="standardContextual"/>
        </w:rPr>
        <w:t xml:space="preserve">Verkochte ND I 1 </w:t>
      </w:r>
      <w:r w:rsidRPr="00424CB6">
        <w:rPr>
          <w:rFonts w:cs="ArialMT"/>
          <w:i/>
          <w:iCs/>
          <w:szCs w:val="17"/>
          <w:lang w:val="nl-NL"/>
          <w14:ligatures w14:val="standardContextual"/>
        </w:rPr>
        <w:t>en/of het "</w:t>
      </w:r>
      <w:r w:rsidRPr="00424CB6">
        <w:rPr>
          <w:rFonts w:cs="Arial-BoldMT"/>
          <w:b/>
          <w:bCs/>
          <w:i/>
          <w:iCs/>
          <w:szCs w:val="17"/>
          <w:lang w:val="nl-NL"/>
          <w14:ligatures w14:val="standardContextual"/>
        </w:rPr>
        <w:t>Erfpachtrecht ND I 1</w:t>
      </w:r>
      <w:r w:rsidRPr="00424CB6">
        <w:rPr>
          <w:rFonts w:cs="ArialMT"/>
          <w:i/>
          <w:iCs/>
          <w:szCs w:val="17"/>
          <w:lang w:val="nl-NL"/>
          <w14:ligatures w14:val="standardContextual"/>
        </w:rPr>
        <w:t>"); en</w:t>
      </w:r>
    </w:p>
    <w:p w14:paraId="13961770" w14:textId="144982A9"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2.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zelfstandig recht van opstal, eindigend op achtentwintig mei</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tweeduizend vierenvijftig, tot het stellen en in eigendom hebben en houden van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opstallen op de (bloot) eigendom van de hiervoor onder 1. vermelde percelen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grond, kadastraal bekend gemeente Naarden, sectie A, nummers 2275, 2458 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2459, bestaande uit onder meer een multifunctioneel gebouw met restaurant 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verblijfsruimten, clubhuizen cum annexis (dienst)woningen, machineloodsen,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kiosken, overdekte en niet-overdekte afslagplaatsen, schuilhutten,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beregeningsinstallatie, drainagesysteem, duikers, bruggen, gas-, water-, elektra</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communicatieleidingen, buizen en rioleringswerken voor de afvoer van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hemelwater, gootwater en faecaliën, trafo's, waterdoorlaten en hekwerken,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wegen met afsluitbomen, alsmede alle overige werken en opstallen,</w:t>
      </w:r>
    </w:p>
    <w:p w14:paraId="000DE614" w14:textId="77777777"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(het "</w:t>
      </w:r>
      <w:r w:rsidRPr="00424CB6">
        <w:rPr>
          <w:rFonts w:cs="Arial-BoldMT"/>
          <w:b/>
          <w:bCs/>
          <w:i/>
          <w:iCs/>
          <w:szCs w:val="17"/>
          <w:lang w:val="nl-NL"/>
          <w14:ligatures w14:val="standardContextual"/>
        </w:rPr>
        <w:t>Verkochte ND I 2</w:t>
      </w:r>
      <w:r w:rsidRPr="00424CB6">
        <w:rPr>
          <w:rFonts w:cs="ArialMT"/>
          <w:i/>
          <w:iCs/>
          <w:szCs w:val="17"/>
          <w:lang w:val="nl-NL"/>
          <w14:ligatures w14:val="standardContextual"/>
        </w:rPr>
        <w:t>" en/of het "</w:t>
      </w:r>
      <w:r w:rsidRPr="00424CB6">
        <w:rPr>
          <w:rFonts w:cs="Arial-BoldMT"/>
          <w:b/>
          <w:bCs/>
          <w:i/>
          <w:iCs/>
          <w:szCs w:val="17"/>
          <w:lang w:val="nl-NL"/>
          <w14:ligatures w14:val="standardContextual"/>
        </w:rPr>
        <w:t>Opstalrecht ND I 2</w:t>
      </w:r>
      <w:r w:rsidRPr="00424CB6">
        <w:rPr>
          <w:rFonts w:cs="ArialMT"/>
          <w:i/>
          <w:iCs/>
          <w:szCs w:val="17"/>
          <w:lang w:val="nl-NL"/>
          <w14:ligatures w14:val="standardContextual"/>
        </w:rPr>
        <w:t>");</w:t>
      </w:r>
    </w:p>
    <w:p w14:paraId="30403E32" w14:textId="77777777" w:rsidR="001C26DB" w:rsidRPr="00424CB6" w:rsidRDefault="001C26DB" w:rsidP="00424CB6">
      <w:pPr>
        <w:autoSpaceDE w:val="0"/>
        <w:autoSpaceDN w:val="0"/>
        <w:adjustRightInd w:val="0"/>
        <w:spacing w:line="293" w:lineRule="auto"/>
        <w:ind w:left="567"/>
        <w:jc w:val="both"/>
        <w:rPr>
          <w:rFonts w:cs="ArialMT"/>
          <w:i/>
          <w:iCs/>
          <w:szCs w:val="17"/>
          <w:lang w:val="nl-NL"/>
          <w14:ligatures w14:val="standardContextual"/>
        </w:rPr>
      </w:pPr>
      <w:r w:rsidRPr="00424CB6">
        <w:rPr>
          <w:rFonts w:cs="ArialMT"/>
          <w:i/>
          <w:iCs/>
          <w:szCs w:val="17"/>
          <w:lang w:val="nl-NL"/>
          <w14:ligatures w14:val="standardContextual"/>
        </w:rPr>
        <w:t xml:space="preserve">B. </w:t>
      </w:r>
      <w:r w:rsidRPr="00424CB6">
        <w:rPr>
          <w:rFonts w:cs="ArialMT"/>
          <w:i/>
          <w:iCs/>
          <w:szCs w:val="17"/>
          <w:u w:val="single"/>
          <w:lang w:val="nl-NL"/>
          <w14:ligatures w14:val="standardContextual"/>
        </w:rPr>
        <w:t>voor zover het registergoederen betreft waartoe ND II gerechtigd is:</w:t>
      </w:r>
    </w:p>
    <w:p w14:paraId="469E22C1" w14:textId="11161095"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1.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recht van erfpacht, eindigend op achtentwintig mei tweeduizend</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vierenvijftig, ten aanzien van de percelen grond, eigendom van Afvalzorg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Deponie B.V., gelegen te Naarden, plaatselijk bekend IJsselmeerweg 115, 1411</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DL Naarden, kadastraal bekend </w:t>
      </w:r>
      <w:r w:rsidRPr="00424CB6">
        <w:rPr>
          <w:rFonts w:cs="Arial-BoldMT"/>
          <w:b/>
          <w:bCs/>
          <w:i/>
          <w:iCs/>
          <w:szCs w:val="17"/>
          <w:lang w:val="nl-NL"/>
          <w14:ligatures w14:val="standardContextual"/>
        </w:rPr>
        <w:t>gemeente Naarden, sectie A, nummers 2268,</w:t>
      </w:r>
      <w:r w:rsidR="00DB6B59" w:rsidRPr="00424CB6">
        <w:rPr>
          <w:rFonts w:cs="ArialMT"/>
          <w:i/>
          <w:iCs/>
          <w:szCs w:val="17"/>
          <w:lang w:val="nl-NL"/>
          <w14:ligatures w14:val="standardContextual"/>
        </w:rPr>
        <w:t xml:space="preserve"> </w:t>
      </w:r>
      <w:r w:rsidRPr="00424CB6">
        <w:rPr>
          <w:rFonts w:cs="Arial-BoldMT"/>
          <w:b/>
          <w:bCs/>
          <w:i/>
          <w:iCs/>
          <w:szCs w:val="17"/>
          <w:lang w:val="nl-NL"/>
          <w14:ligatures w14:val="standardContextual"/>
        </w:rPr>
        <w:t>2432, 2434 en 2436</w:t>
      </w:r>
      <w:r w:rsidRPr="00424CB6">
        <w:rPr>
          <w:rFonts w:cs="ArialMT"/>
          <w:i/>
          <w:iCs/>
          <w:szCs w:val="17"/>
          <w:lang w:val="nl-NL"/>
          <w14:ligatures w14:val="standardContextual"/>
        </w:rPr>
        <w:t>, groot respectievelijk duizend zevenhonderdvijftig vierkante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meter (1.750 m2), negentienduizend tweehonderdveertig vierkante meter (19.240</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m2), honderdvierenveertigduizend tweehonderdtien vierkante meter (144.210 m2)</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en vijfenvijftigduizend honderdeenenvijftig vierkante meter (55.151 m2), aan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welke percelen door de Dienst voor het kadaster en de openbare registers een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administratieve kadastrale grens en oppervlakte is toegekend, met de rechten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van de erfpachter op de percelen en op deze percelen bevindende opstallen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voortvloeiend uit de erfpachtvoorwaarden en de wet, welke percelen blijkens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kadastrale registratie zijn belast met:</w:t>
      </w:r>
    </w:p>
    <w:p w14:paraId="3AB0D2E4" w14:textId="7B0B4CAF"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een kwalitatieve verplichting uit hoofde van de inschrijving in de Openbare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Registers van de Akte Kwalitatieve Verplichting;</w:t>
      </w:r>
    </w:p>
    <w:p w14:paraId="2B740042" w14:textId="6C7563FC"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nummers 2432 en 2434 (gedeeltelijk): een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zakelijk recht als bedoeld in artikel 5, lid 3, onder b, van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Belemmeringenwet Privaatrecht ten behoeve van Gasunie Transport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Services B.V.;</w:t>
      </w:r>
    </w:p>
    <w:p w14:paraId="4E801DAA" w14:textId="31AE996C"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 2434: een kwalitatieve verplichting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uit hoofde van de inschrijving in de Openbare Registers op zesentwintig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maart tweeduizend dertien in register Hypotheken 4, deel 62718, nummer 3;</w:t>
      </w:r>
    </w:p>
    <w:p w14:paraId="57C834B0" w14:textId="14656CF2"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lastRenderedPageBreak/>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 2434: een kwalitatieve verplichting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uit hoofde van de inschrijving in de Openbare Registers op drieëntwintig</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december tweeduizend dertien in register Hypotheken 4, deel 63726,</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nummer 145;</w:t>
      </w:r>
    </w:p>
    <w:p w14:paraId="06DC958B" w14:textId="70657C95"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 2434 (gedeeltelijk): een zakelijk</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recht als bedoeld in artikel 5, lid 3, onder b, van de Belemmeringenwet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Privaatrecht ten behoeve van Gasunie Transport Services B.V.; en</w:t>
      </w:r>
    </w:p>
    <w:p w14:paraId="3CC4465E" w14:textId="102DA209"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 xml:space="preserve">- </w:t>
      </w:r>
      <w:r w:rsidR="00DB6B59" w:rsidRPr="00424CB6">
        <w:rPr>
          <w:rFonts w:cs="ArialMT"/>
          <w:i/>
          <w:iCs/>
          <w:szCs w:val="17"/>
          <w:lang w:val="nl-NL"/>
          <w14:ligatures w14:val="standardContextual"/>
        </w:rPr>
        <w:tab/>
      </w:r>
      <w:r w:rsidRPr="00424CB6">
        <w:rPr>
          <w:rFonts w:cs="ArialMT"/>
          <w:i/>
          <w:iCs/>
          <w:szCs w:val="17"/>
          <w:lang w:val="nl-NL"/>
          <w14:ligatures w14:val="standardContextual"/>
        </w:rPr>
        <w:t>voor wat betreft het perceel met nummer 2434 (gedeeltelijk): een zakelijk</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recht als bedoeld in artikel 5, lid 3, onder b, van de Belemmeringenwet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Privaatrecht ten behoeve van Liander N.V.,</w:t>
      </w:r>
    </w:p>
    <w:p w14:paraId="50CC5898" w14:textId="77777777" w:rsidR="001C26DB" w:rsidRPr="00424CB6" w:rsidRDefault="001C26DB" w:rsidP="00424CB6">
      <w:pPr>
        <w:autoSpaceDE w:val="0"/>
        <w:autoSpaceDN w:val="0"/>
        <w:adjustRightInd w:val="0"/>
        <w:spacing w:line="293" w:lineRule="auto"/>
        <w:ind w:left="1701" w:hanging="283"/>
        <w:jc w:val="both"/>
        <w:rPr>
          <w:rFonts w:cs="ArialMT"/>
          <w:i/>
          <w:iCs/>
          <w:szCs w:val="17"/>
          <w:lang w:val="nl-NL"/>
          <w14:ligatures w14:val="standardContextual"/>
        </w:rPr>
      </w:pPr>
      <w:r w:rsidRPr="00424CB6">
        <w:rPr>
          <w:rFonts w:cs="ArialMT"/>
          <w:i/>
          <w:iCs/>
          <w:szCs w:val="17"/>
          <w:lang w:val="nl-NL"/>
          <w14:ligatures w14:val="standardContextual"/>
        </w:rPr>
        <w:t>(het "</w:t>
      </w:r>
      <w:r w:rsidRPr="00424CB6">
        <w:rPr>
          <w:rFonts w:cs="Arial-BoldMT"/>
          <w:b/>
          <w:bCs/>
          <w:i/>
          <w:iCs/>
          <w:szCs w:val="17"/>
          <w:lang w:val="nl-NL"/>
          <w14:ligatures w14:val="standardContextual"/>
        </w:rPr>
        <w:t>Verkochte ND II 1</w:t>
      </w:r>
      <w:r w:rsidRPr="00424CB6">
        <w:rPr>
          <w:rFonts w:cs="ArialMT"/>
          <w:i/>
          <w:iCs/>
          <w:szCs w:val="17"/>
          <w:lang w:val="nl-NL"/>
          <w14:ligatures w14:val="standardContextual"/>
        </w:rPr>
        <w:t>"); en</w:t>
      </w:r>
    </w:p>
    <w:p w14:paraId="27001E4D" w14:textId="3B363428"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2.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zelfstandig recht van opstal tot het verkrijgen, stellen en in eigendom</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hebben en houden van opstallen welke direct of indirect dienstbaar zijn aan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bestemming van het hiervoor onder 1. vermelde erfpachtterrein, kadastraal</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bekend gemeente Naarden, sectie A, nummers 2268, 2432, 2434 en 2436 te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weten: gebruik als golfbaan met de daarbij behorende opstallen en andere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voorzieningen, alsmede voor fiets-ruiter- en wandelpaden en overige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(recreatieve) doeleinden, vermits passend bij het aan de bloot-eigenaar 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erfpachter bekend masterplan,</w:t>
      </w:r>
    </w:p>
    <w:p w14:paraId="4A973EA6" w14:textId="77777777"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(het "</w:t>
      </w:r>
      <w:r w:rsidRPr="00424CB6">
        <w:rPr>
          <w:rFonts w:cs="Arial-BoldMT"/>
          <w:b/>
          <w:bCs/>
          <w:i/>
          <w:iCs/>
          <w:szCs w:val="17"/>
          <w:lang w:val="nl-NL"/>
          <w14:ligatures w14:val="standardContextual"/>
        </w:rPr>
        <w:t>Verkochte ND II 2</w:t>
      </w:r>
      <w:r w:rsidRPr="00424CB6">
        <w:rPr>
          <w:rFonts w:cs="ArialMT"/>
          <w:i/>
          <w:iCs/>
          <w:szCs w:val="17"/>
          <w:lang w:val="nl-NL"/>
          <w14:ligatures w14:val="standardContextual"/>
        </w:rPr>
        <w:t>");</w:t>
      </w:r>
    </w:p>
    <w:p w14:paraId="274B3581" w14:textId="77777777" w:rsidR="001C26DB" w:rsidRPr="00424CB6" w:rsidRDefault="001C26DB" w:rsidP="00424CB6">
      <w:pPr>
        <w:autoSpaceDE w:val="0"/>
        <w:autoSpaceDN w:val="0"/>
        <w:adjustRightInd w:val="0"/>
        <w:spacing w:line="293" w:lineRule="auto"/>
        <w:ind w:left="567"/>
        <w:jc w:val="both"/>
        <w:rPr>
          <w:rFonts w:cs="ArialMT"/>
          <w:i/>
          <w:iCs/>
          <w:szCs w:val="17"/>
          <w:lang w:val="nl-NL"/>
          <w14:ligatures w14:val="standardContextual"/>
        </w:rPr>
      </w:pPr>
      <w:r w:rsidRPr="00424CB6">
        <w:rPr>
          <w:rFonts w:cs="ArialMT"/>
          <w:i/>
          <w:iCs/>
          <w:szCs w:val="17"/>
          <w:lang w:val="nl-NL"/>
          <w14:ligatures w14:val="standardContextual"/>
        </w:rPr>
        <w:t xml:space="preserve">C. </w:t>
      </w:r>
      <w:r w:rsidRPr="00424CB6">
        <w:rPr>
          <w:rFonts w:cs="ArialMT"/>
          <w:i/>
          <w:iCs/>
          <w:szCs w:val="17"/>
          <w:u w:val="single"/>
          <w:lang w:val="nl-NL"/>
          <w14:ligatures w14:val="standardContextual"/>
        </w:rPr>
        <w:t>voor zover het registergoederen betreft waartoe NBO gerechtigd is:</w:t>
      </w:r>
    </w:p>
    <w:p w14:paraId="5FF9606A" w14:textId="5EEE1873"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1.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recht van erfpacht, eindigend op achtentwintig mei tweeduizend</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vierenvijftig, ten aanzien van een perceel grond, eigendom van de Koper,</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plaatselijk bekend IJsselmeerweg 102, 110 en 114, 1411 DL Naarden, kadastraal</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bekend </w:t>
      </w:r>
      <w:r w:rsidRPr="00424CB6">
        <w:rPr>
          <w:rFonts w:cs="Arial-BoldMT"/>
          <w:b/>
          <w:bCs/>
          <w:i/>
          <w:iCs/>
          <w:szCs w:val="17"/>
          <w:lang w:val="nl-NL"/>
          <w14:ligatures w14:val="standardContextual"/>
        </w:rPr>
        <w:t>gemeente Naarden, sectie A, nummer 2535</w:t>
      </w:r>
      <w:r w:rsidRPr="00424CB6">
        <w:rPr>
          <w:rFonts w:cs="ArialMT"/>
          <w:i/>
          <w:iCs/>
          <w:szCs w:val="17"/>
          <w:lang w:val="nl-NL"/>
          <w14:ligatures w14:val="standardContextual"/>
        </w:rPr>
        <w:t>, groot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honderdnegenennegentigduizend driehonderddertien vierkante meter (199.313</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m2), aan welk perceel door de Dienst voor het kadaster en de openbare registers</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een voorlopige kadastrale grens en oppervlakte is toegekend, met de rechten van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de erfpachter op de percelen en op deze percelen bevindende opstallen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voortvloeiend uit de erfpachtvoorwaarden en de wet, welk perceel blijkens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kadastrale registratie is belast met een kwalitatieve verplichting uit hoofde van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inschrijving in de Openbare Registers van de Akte Kwalitatieve Verplichting (het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t>
      </w:r>
      <w:r w:rsidRPr="00424CB6">
        <w:rPr>
          <w:rFonts w:cs="Arial-BoldMT"/>
          <w:b/>
          <w:bCs/>
          <w:i/>
          <w:iCs/>
          <w:szCs w:val="17"/>
          <w:lang w:val="nl-NL"/>
          <w14:ligatures w14:val="standardContextual"/>
        </w:rPr>
        <w:t>Verkochte NBO 1</w:t>
      </w:r>
      <w:r w:rsidRPr="00424CB6">
        <w:rPr>
          <w:rFonts w:cs="ArialMT"/>
          <w:i/>
          <w:iCs/>
          <w:szCs w:val="17"/>
          <w:lang w:val="nl-NL"/>
          <w14:ligatures w14:val="standardContextual"/>
        </w:rPr>
        <w:t>" en/of het "</w:t>
      </w:r>
      <w:r w:rsidRPr="00424CB6">
        <w:rPr>
          <w:rFonts w:cs="Arial-BoldMT"/>
          <w:b/>
          <w:bCs/>
          <w:i/>
          <w:iCs/>
          <w:szCs w:val="17"/>
          <w:lang w:val="nl-NL"/>
          <w14:ligatures w14:val="standardContextual"/>
        </w:rPr>
        <w:t>Erfpachtrecht NBO 1</w:t>
      </w:r>
      <w:r w:rsidRPr="00424CB6">
        <w:rPr>
          <w:rFonts w:cs="ArialMT"/>
          <w:i/>
          <w:iCs/>
          <w:szCs w:val="17"/>
          <w:lang w:val="nl-NL"/>
          <w14:ligatures w14:val="standardContextual"/>
        </w:rPr>
        <w:t>");</w:t>
      </w:r>
    </w:p>
    <w:p w14:paraId="11C33DF8" w14:textId="6371CCFB"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2.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zelfstandig recht van opstal, eindigend op achtentwintig mei</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tweeduizend vierenvijftig, tot het stellen en in eigendom hebben en houden van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opstallen op de (bloot) eigendom van het hiervoor onder 1. vermelde perceel</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grond, kadastraal bekend gemeente Naarden, sectie A, nummer 2535,</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bestaande uit onder meer clubhuizen cum annexis, (dienst)woningen,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machineloodsen, kiosken, overdekte en niet-overdekte afslagplaatsen,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schuilhutten, beregeningsinstallatie, drainagesysteem, duikers, bruggen, gas-,</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water-, elektra- en communicatieleidingen, buizen en rioleringswerken voor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afvoer van hemelwater, gootwater en faecaliën, trafo’s, waterdoorlaten 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hekwerken, wegen met afsluitbomen, alsmede alle overige werken en opstallen</w:t>
      </w:r>
    </w:p>
    <w:p w14:paraId="4CAA7F34" w14:textId="77777777" w:rsidR="00DB6B59" w:rsidRPr="00424CB6" w:rsidRDefault="001C26DB" w:rsidP="00424CB6">
      <w:pPr>
        <w:autoSpaceDE w:val="0"/>
        <w:autoSpaceDN w:val="0"/>
        <w:adjustRightInd w:val="0"/>
        <w:spacing w:line="293" w:lineRule="auto"/>
        <w:ind w:left="1418"/>
        <w:jc w:val="both"/>
        <w:rPr>
          <w:rFonts w:cs="ArialMT"/>
          <w:i/>
          <w:iCs/>
          <w:szCs w:val="17"/>
          <w:lang w:val="nl-NL"/>
          <w14:ligatures w14:val="standardContextual"/>
        </w:rPr>
      </w:pPr>
      <w:r w:rsidRPr="00424CB6">
        <w:rPr>
          <w:rFonts w:cs="ArialMT"/>
          <w:i/>
          <w:iCs/>
          <w:szCs w:val="17"/>
          <w:lang w:val="nl-NL"/>
          <w14:ligatures w14:val="standardContextual"/>
        </w:rPr>
        <w:t>(het "</w:t>
      </w:r>
      <w:r w:rsidRPr="00424CB6">
        <w:rPr>
          <w:rFonts w:cs="Arial-BoldMT"/>
          <w:b/>
          <w:bCs/>
          <w:i/>
          <w:iCs/>
          <w:szCs w:val="17"/>
          <w:lang w:val="nl-NL"/>
          <w14:ligatures w14:val="standardContextual"/>
        </w:rPr>
        <w:t>Verkochte NBO 2</w:t>
      </w:r>
      <w:r w:rsidRPr="00424CB6">
        <w:rPr>
          <w:rFonts w:cs="ArialMT"/>
          <w:i/>
          <w:iCs/>
          <w:szCs w:val="17"/>
          <w:lang w:val="nl-NL"/>
          <w14:ligatures w14:val="standardContextual"/>
        </w:rPr>
        <w:t>" en/of het "</w:t>
      </w:r>
      <w:r w:rsidRPr="00424CB6">
        <w:rPr>
          <w:rFonts w:cs="Arial-BoldMT"/>
          <w:b/>
          <w:bCs/>
          <w:i/>
          <w:iCs/>
          <w:szCs w:val="17"/>
          <w:lang w:val="nl-NL"/>
          <w14:ligatures w14:val="standardContextual"/>
        </w:rPr>
        <w:t>Opstalrecht NBO 2</w:t>
      </w:r>
      <w:r w:rsidRPr="00424CB6">
        <w:rPr>
          <w:rFonts w:cs="ArialMT"/>
          <w:i/>
          <w:iCs/>
          <w:szCs w:val="17"/>
          <w:lang w:val="nl-NL"/>
          <w14:ligatures w14:val="standardContextual"/>
        </w:rPr>
        <w:t>").</w:t>
      </w:r>
    </w:p>
    <w:p w14:paraId="3BC7C579" w14:textId="37A4087B" w:rsidR="001C26DB"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3.</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recht van erfpacht eindigend op achtentwintig mei tweeduizend</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vierenvijftig ten aanzien van een perceel grond, eigendom van de Staat der</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Nederlanden (de "</w:t>
      </w:r>
      <w:r w:rsidRPr="00424CB6">
        <w:rPr>
          <w:rFonts w:cs="Arial-BoldMT"/>
          <w:b/>
          <w:bCs/>
          <w:i/>
          <w:iCs/>
          <w:szCs w:val="17"/>
          <w:lang w:val="nl-NL"/>
          <w14:ligatures w14:val="standardContextual"/>
        </w:rPr>
        <w:t>Staat</w:t>
      </w:r>
      <w:r w:rsidRPr="00424CB6">
        <w:rPr>
          <w:rFonts w:cs="ArialMT"/>
          <w:i/>
          <w:iCs/>
          <w:szCs w:val="17"/>
          <w:lang w:val="nl-NL"/>
          <w14:ligatures w14:val="standardContextual"/>
        </w:rPr>
        <w:t>"), plaatselijk gelegen aan de IJsselmeerweg te Naarden,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kadastraal bekend </w:t>
      </w:r>
      <w:r w:rsidRPr="00424CB6">
        <w:rPr>
          <w:rFonts w:cs="Arial-BoldMT"/>
          <w:b/>
          <w:bCs/>
          <w:i/>
          <w:iCs/>
          <w:szCs w:val="17"/>
          <w:lang w:val="nl-NL"/>
          <w14:ligatures w14:val="standardContextual"/>
        </w:rPr>
        <w:t>gemeente Naarden, sectie A, nummer 2453</w:t>
      </w:r>
      <w:r w:rsidRPr="00424CB6">
        <w:rPr>
          <w:rFonts w:cs="ArialMT"/>
          <w:i/>
          <w:iCs/>
          <w:szCs w:val="17"/>
          <w:lang w:val="nl-NL"/>
          <w14:ligatures w14:val="standardContextual"/>
        </w:rPr>
        <w:t>, groot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tweeëntwintig vierkante meter (22 m2), met de rechten van de erfpachter op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percelen en op deze percelen bevindende opstallen voortvloeiend uit 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erfpachtvoorwaarden en de wet (het "</w:t>
      </w:r>
      <w:r w:rsidRPr="00424CB6">
        <w:rPr>
          <w:rFonts w:cs="Arial-BoldMT"/>
          <w:b/>
          <w:bCs/>
          <w:i/>
          <w:iCs/>
          <w:szCs w:val="17"/>
          <w:lang w:val="nl-NL"/>
          <w14:ligatures w14:val="standardContextual"/>
        </w:rPr>
        <w:t>Verkochte NBO 3</w:t>
      </w:r>
      <w:r w:rsidRPr="00424CB6">
        <w:rPr>
          <w:rFonts w:cs="ArialMT"/>
          <w:i/>
          <w:iCs/>
          <w:szCs w:val="17"/>
          <w:lang w:val="nl-NL"/>
          <w14:ligatures w14:val="standardContextual"/>
        </w:rPr>
        <w:t>" en/of het</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t>
      </w:r>
      <w:r w:rsidRPr="00424CB6">
        <w:rPr>
          <w:rFonts w:cs="Arial-BoldMT"/>
          <w:b/>
          <w:bCs/>
          <w:i/>
          <w:iCs/>
          <w:szCs w:val="17"/>
          <w:lang w:val="nl-NL"/>
          <w14:ligatures w14:val="standardContextual"/>
        </w:rPr>
        <w:t>Erfpachtrecht NBO 3</w:t>
      </w:r>
      <w:r w:rsidRPr="00424CB6">
        <w:rPr>
          <w:rFonts w:cs="ArialMT"/>
          <w:i/>
          <w:iCs/>
          <w:szCs w:val="17"/>
          <w:lang w:val="nl-NL"/>
          <w14:ligatures w14:val="standardContextual"/>
        </w:rPr>
        <w:t>"); en</w:t>
      </w:r>
    </w:p>
    <w:p w14:paraId="7815DAC4" w14:textId="77777777" w:rsidR="00DB6B59" w:rsidRPr="00424CB6" w:rsidRDefault="001C26DB" w:rsidP="00424CB6">
      <w:pPr>
        <w:autoSpaceDE w:val="0"/>
        <w:autoSpaceDN w:val="0"/>
        <w:adjustRightInd w:val="0"/>
        <w:spacing w:line="293" w:lineRule="auto"/>
        <w:ind w:left="1418" w:hanging="425"/>
        <w:jc w:val="both"/>
        <w:rPr>
          <w:rFonts w:cs="ArialMT"/>
          <w:i/>
          <w:iCs/>
          <w:szCs w:val="17"/>
          <w:lang w:val="nl-NL"/>
          <w14:ligatures w14:val="standardContextual"/>
        </w:rPr>
      </w:pPr>
      <w:r w:rsidRPr="00424CB6">
        <w:rPr>
          <w:rFonts w:cs="ArialMT"/>
          <w:i/>
          <w:iCs/>
          <w:szCs w:val="17"/>
          <w:lang w:val="nl-NL"/>
          <w14:ligatures w14:val="standardContextual"/>
        </w:rPr>
        <w:t xml:space="preserve">4. </w:t>
      </w:r>
      <w:r w:rsidR="00DB6B59" w:rsidRPr="00424CB6">
        <w:rPr>
          <w:rFonts w:cs="ArialMT"/>
          <w:i/>
          <w:iCs/>
          <w:szCs w:val="17"/>
          <w:lang w:val="nl-NL"/>
          <w14:ligatures w14:val="standardContextual"/>
        </w:rPr>
        <w:tab/>
      </w:r>
      <w:r w:rsidRPr="00424CB6">
        <w:rPr>
          <w:rFonts w:cs="ArialMT"/>
          <w:i/>
          <w:iCs/>
          <w:szCs w:val="17"/>
          <w:lang w:val="nl-NL"/>
          <w14:ligatures w14:val="standardContextual"/>
        </w:rPr>
        <w:t>het tijdelijk zelfstandig zakelijk recht van opstal tot het stellen en in eigendom</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hebben en houden van opstallen op het hiervoor onder 3. </w:t>
      </w:r>
      <w:r w:rsidR="00DB6B59" w:rsidRPr="00424CB6">
        <w:rPr>
          <w:rFonts w:cs="ArialMT"/>
          <w:i/>
          <w:iCs/>
          <w:szCs w:val="17"/>
          <w:lang w:val="nl-NL"/>
          <w14:ligatures w14:val="standardContextual"/>
        </w:rPr>
        <w:t>B</w:t>
      </w:r>
      <w:r w:rsidRPr="00424CB6">
        <w:rPr>
          <w:rFonts w:cs="ArialMT"/>
          <w:i/>
          <w:iCs/>
          <w:szCs w:val="17"/>
          <w:lang w:val="nl-NL"/>
          <w14:ligatures w14:val="standardContextual"/>
        </w:rPr>
        <w:t>edoelde</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erfpachtterrein, kadastraal bekend gemeente Naarden, sectie A, nummer 2453,</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bestaande uit onder meer een multifunctioneel gebouw met restaurant 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verblijfsruimten, clubhuizen cum annexis (dienst)woningen, machineloodsen,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kiosken, overdekte en niet-overdekte afslagplaatsen, schuilhutten,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berekeningsinstallatie, drainagesysteem, duikers, bruggen, gas-, water-, elektra</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communicatieleidingen, buizen en rioleringswerken voor de afvoer van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hemelwater, gootwater en faecaliën, trafo's, waterdoorlaten en hekwerken,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wegen met afsluitbomen alsmede alle overige werken en opstallen, welke werken</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en opstallen voor rekening en risico van de zakelijk gerechtigde zijn aangelegd</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dan wel gebouwd (het "</w:t>
      </w:r>
      <w:r w:rsidRPr="00424CB6">
        <w:rPr>
          <w:rFonts w:cs="Arial-BoldMT"/>
          <w:b/>
          <w:bCs/>
          <w:i/>
          <w:iCs/>
          <w:szCs w:val="17"/>
          <w:lang w:val="nl-NL"/>
          <w14:ligatures w14:val="standardContextual"/>
        </w:rPr>
        <w:t>Verkochte NBO 4</w:t>
      </w:r>
      <w:r w:rsidRPr="00424CB6">
        <w:rPr>
          <w:rFonts w:cs="ArialMT"/>
          <w:i/>
          <w:iCs/>
          <w:szCs w:val="17"/>
          <w:lang w:val="nl-NL"/>
          <w14:ligatures w14:val="standardContextual"/>
        </w:rPr>
        <w:t>" en/of het "</w:t>
      </w:r>
      <w:r w:rsidRPr="00424CB6">
        <w:rPr>
          <w:rFonts w:cs="Arial-BoldMT"/>
          <w:b/>
          <w:bCs/>
          <w:i/>
          <w:iCs/>
          <w:szCs w:val="17"/>
          <w:lang w:val="nl-NL"/>
          <w14:ligatures w14:val="standardContextual"/>
        </w:rPr>
        <w:t>Opstalrecht NBO 4</w:t>
      </w:r>
      <w:r w:rsidRPr="00424CB6">
        <w:rPr>
          <w:rFonts w:cs="ArialMT"/>
          <w:i/>
          <w:iCs/>
          <w:szCs w:val="17"/>
          <w:lang w:val="nl-NL"/>
          <w14:ligatures w14:val="standardContextual"/>
        </w:rPr>
        <w:t>")).</w:t>
      </w:r>
    </w:p>
    <w:p w14:paraId="6DDC36DD" w14:textId="3B80E3C7" w:rsidR="001C26DB" w:rsidRPr="00424CB6" w:rsidRDefault="001C26DB" w:rsidP="00424CB6">
      <w:pPr>
        <w:autoSpaceDE w:val="0"/>
        <w:autoSpaceDN w:val="0"/>
        <w:adjustRightInd w:val="0"/>
        <w:spacing w:line="293" w:lineRule="auto"/>
        <w:ind w:left="851"/>
        <w:jc w:val="both"/>
        <w:rPr>
          <w:rFonts w:cs="ArialMT"/>
          <w:i/>
          <w:iCs/>
          <w:szCs w:val="17"/>
          <w:lang w:val="nl-NL"/>
          <w14:ligatures w14:val="standardContextual"/>
        </w:rPr>
      </w:pPr>
      <w:r w:rsidRPr="00424CB6">
        <w:rPr>
          <w:rFonts w:cs="ArialMT"/>
          <w:i/>
          <w:iCs/>
          <w:szCs w:val="17"/>
          <w:lang w:val="nl-NL"/>
          <w14:ligatures w14:val="standardContextual"/>
        </w:rPr>
        <w:lastRenderedPageBreak/>
        <w:t>Het Verkochte ND I 1, het Verkochte ND I 2, het Verkochte ND II 1, het Verkochte ND II 2,</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het Verkochte NBO 1, het Verkochte NBO 2, het Verkochte NBO 3 en het Verkochte NBO</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 xml:space="preserve">4 </w:t>
      </w:r>
      <w:r w:rsidR="00DB6B59" w:rsidRPr="00424CB6">
        <w:rPr>
          <w:rFonts w:cs="ArialMT"/>
          <w:i/>
          <w:iCs/>
          <w:szCs w:val="17"/>
          <w:lang w:val="nl-NL"/>
          <w14:ligatures w14:val="standardContextual"/>
        </w:rPr>
        <w:t xml:space="preserve"> </w:t>
      </w:r>
      <w:r w:rsidRPr="00424CB6">
        <w:rPr>
          <w:rFonts w:cs="ArialMT"/>
          <w:i/>
          <w:iCs/>
          <w:szCs w:val="17"/>
          <w:lang w:val="nl-NL"/>
          <w14:ligatures w14:val="standardContextual"/>
        </w:rPr>
        <w:t>hierna gezamenlijk te noemen: het "</w:t>
      </w:r>
      <w:r w:rsidRPr="00424CB6">
        <w:rPr>
          <w:rFonts w:cs="Arial-BoldMT"/>
          <w:b/>
          <w:bCs/>
          <w:i/>
          <w:iCs/>
          <w:szCs w:val="17"/>
          <w:lang w:val="nl-NL"/>
          <w14:ligatures w14:val="standardContextual"/>
        </w:rPr>
        <w:t>Verkochte</w:t>
      </w:r>
      <w:r w:rsidRPr="00424CB6">
        <w:rPr>
          <w:rFonts w:cs="ArialMT"/>
          <w:i/>
          <w:iCs/>
          <w:szCs w:val="17"/>
          <w:lang w:val="nl-NL"/>
          <w14:ligatures w14:val="standardContextual"/>
        </w:rPr>
        <w:t>".</w:t>
      </w:r>
    </w:p>
    <w:p w14:paraId="1E597DFE" w14:textId="3D0AC801" w:rsidR="001C26DB" w:rsidRPr="00424CB6" w:rsidRDefault="001C26DB" w:rsidP="00424CB6">
      <w:pPr>
        <w:autoSpaceDE w:val="0"/>
        <w:autoSpaceDN w:val="0"/>
        <w:adjustRightInd w:val="0"/>
        <w:spacing w:line="293" w:lineRule="auto"/>
        <w:ind w:left="567"/>
        <w:jc w:val="both"/>
        <w:rPr>
          <w:rFonts w:cs="ArialMT"/>
          <w:szCs w:val="17"/>
          <w:lang w:val="nl-NL"/>
          <w14:ligatures w14:val="standardContextual"/>
        </w:rPr>
      </w:pPr>
      <w:r w:rsidRPr="00424CB6">
        <w:rPr>
          <w:rFonts w:cs="ArialMT"/>
          <w:szCs w:val="17"/>
          <w:lang w:val="nl-NL"/>
          <w14:ligatures w14:val="standardContextual"/>
        </w:rPr>
        <w:t>Enzovoorts.</w:t>
      </w:r>
    </w:p>
    <w:p w14:paraId="156ACF31" w14:textId="77777777" w:rsidR="001C26DB" w:rsidRPr="00424CB6" w:rsidRDefault="001C26DB" w:rsidP="00424CB6">
      <w:pPr>
        <w:autoSpaceDE w:val="0"/>
        <w:autoSpaceDN w:val="0"/>
        <w:adjustRightInd w:val="0"/>
        <w:spacing w:line="293" w:lineRule="auto"/>
        <w:ind w:left="567"/>
        <w:jc w:val="both"/>
        <w:rPr>
          <w:rFonts w:cs="Arial-BoldMT"/>
          <w:b/>
          <w:bCs/>
          <w:i/>
          <w:iCs/>
          <w:szCs w:val="17"/>
          <w:lang w:val="nl-NL"/>
          <w14:ligatures w14:val="standardContextual"/>
        </w:rPr>
      </w:pPr>
      <w:r w:rsidRPr="00424CB6">
        <w:rPr>
          <w:rFonts w:cs="Arial-BoldMT"/>
          <w:b/>
          <w:bCs/>
          <w:i/>
          <w:iCs/>
          <w:szCs w:val="17"/>
          <w:lang w:val="nl-NL"/>
          <w14:ligatures w14:val="standardContextual"/>
        </w:rPr>
        <w:t>C. VERKRIJGING</w:t>
      </w:r>
    </w:p>
    <w:p w14:paraId="5593DCA0" w14:textId="036375FE" w:rsidR="001C26DB" w:rsidRPr="00424CB6" w:rsidRDefault="001C26DB"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1. </w:t>
      </w:r>
      <w:r w:rsidR="00607950" w:rsidRPr="00424CB6">
        <w:rPr>
          <w:rFonts w:cs="ArialMT"/>
          <w:i/>
          <w:iCs/>
          <w:szCs w:val="17"/>
          <w:lang w:val="nl-NL"/>
          <w14:ligatures w14:val="standardContextual"/>
        </w:rPr>
        <w:tab/>
      </w:r>
      <w:r w:rsidRPr="00424CB6">
        <w:rPr>
          <w:rFonts w:cs="ArialMT"/>
          <w:i/>
          <w:iCs/>
          <w:szCs w:val="17"/>
          <w:lang w:val="nl-NL"/>
          <w14:ligatures w14:val="standardContextual"/>
        </w:rPr>
        <w:t>ND I heeft het Verkochte ND I 1 en het Verkochte ND I 2 verkregen door de inschrijving in</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de Openbare Registers (destijds gehouden te Amsterdam) op twee juni tweeduizend drie in</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register Hypotheken 4, deel 18733, nummer 51, van een afschrift van een akte vestiging</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erfpachtrecht en opstalrecht op dertig mei tweeduizend drie verleden voor mr. W.W. van 't</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Hoff, destijds notaris te 's-Gravenhage en bij welke akte het betreffende recht van erfpacht</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en opstalrecht werd gevestigd ten behoeve van NBO (fase I) (de "</w:t>
      </w:r>
      <w:r w:rsidRPr="00424CB6">
        <w:rPr>
          <w:rFonts w:cs="Arial-BoldMT"/>
          <w:b/>
          <w:bCs/>
          <w:i/>
          <w:iCs/>
          <w:szCs w:val="17"/>
          <w:lang w:val="nl-NL"/>
          <w14:ligatures w14:val="standardContextual"/>
        </w:rPr>
        <w:t>Akte van Uitgifte I</w:t>
      </w:r>
      <w:r w:rsidRPr="00424CB6">
        <w:rPr>
          <w:rFonts w:cs="ArialMT"/>
          <w:i/>
          <w:iCs/>
          <w:szCs w:val="17"/>
          <w:lang w:val="nl-NL"/>
          <w14:ligatures w14:val="standardContextual"/>
        </w:rPr>
        <w:t>"),</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zulks mede in verband met:</w:t>
      </w:r>
    </w:p>
    <w:p w14:paraId="16962C15" w14:textId="48CFB7E7" w:rsidR="001C26DB" w:rsidRPr="00424CB6" w:rsidRDefault="001C26DB" w:rsidP="00424CB6">
      <w:pPr>
        <w:autoSpaceDE w:val="0"/>
        <w:autoSpaceDN w:val="0"/>
        <w:adjustRightInd w:val="0"/>
        <w:spacing w:line="293" w:lineRule="auto"/>
        <w:ind w:left="1134" w:hanging="283"/>
        <w:jc w:val="both"/>
        <w:rPr>
          <w:rFonts w:cs="ArialMT"/>
          <w:i/>
          <w:iCs/>
          <w:szCs w:val="17"/>
          <w:lang w:val="nl-NL"/>
          <w14:ligatures w14:val="standardContextual"/>
        </w:rPr>
      </w:pPr>
      <w:r w:rsidRPr="00424CB6">
        <w:rPr>
          <w:rFonts w:cs="ArialMT"/>
          <w:i/>
          <w:iCs/>
          <w:szCs w:val="17"/>
          <w:lang w:val="nl-NL"/>
          <w14:ligatures w14:val="standardContextual"/>
        </w:rPr>
        <w:t xml:space="preserve">(i) </w:t>
      </w:r>
      <w:r w:rsidR="00607950" w:rsidRPr="00424CB6">
        <w:rPr>
          <w:rFonts w:cs="ArialMT"/>
          <w:i/>
          <w:iCs/>
          <w:szCs w:val="17"/>
          <w:lang w:val="nl-NL"/>
          <w14:ligatures w14:val="standardContextual"/>
        </w:rPr>
        <w:tab/>
      </w:r>
      <w:r w:rsidRPr="00424CB6">
        <w:rPr>
          <w:rFonts w:cs="ArialMT"/>
          <w:i/>
          <w:iCs/>
          <w:szCs w:val="17"/>
          <w:lang w:val="nl-NL"/>
          <w14:ligatures w14:val="standardContextual"/>
        </w:rPr>
        <w:t>de inschrijving in de Openbare Registers (destijds gehouden te Amsterdam) op zeven</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juni tweeduizend vier in register Hypotheken 4, deel 18964, nummer 76, van een</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afschrift van een akte (mede houdende) wijziging erfpachtrecht en opstalrecht op</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achtentwintig mei tweeduizend vier verleden voor mr. W.W. van 't Hoff, voornoemd</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(de "</w:t>
      </w:r>
      <w:r w:rsidRPr="00424CB6">
        <w:rPr>
          <w:rFonts w:cs="Arial-BoldMT"/>
          <w:b/>
          <w:bCs/>
          <w:i/>
          <w:iCs/>
          <w:szCs w:val="17"/>
          <w:lang w:val="nl-NL"/>
          <w14:ligatures w14:val="standardContextual"/>
        </w:rPr>
        <w:t>Akte van Wijziging I</w:t>
      </w:r>
      <w:r w:rsidRPr="00424CB6">
        <w:rPr>
          <w:rFonts w:cs="ArialMT"/>
          <w:i/>
          <w:iCs/>
          <w:szCs w:val="17"/>
          <w:lang w:val="nl-NL"/>
          <w14:ligatures w14:val="standardContextual"/>
        </w:rPr>
        <w:t>");</w:t>
      </w:r>
    </w:p>
    <w:p w14:paraId="3DB52F3E" w14:textId="36222B06" w:rsidR="001C26DB" w:rsidRPr="00424CB6" w:rsidRDefault="001C26DB" w:rsidP="00424CB6">
      <w:pPr>
        <w:autoSpaceDE w:val="0"/>
        <w:autoSpaceDN w:val="0"/>
        <w:adjustRightInd w:val="0"/>
        <w:spacing w:line="293" w:lineRule="auto"/>
        <w:ind w:left="1134" w:hanging="283"/>
        <w:jc w:val="both"/>
        <w:rPr>
          <w:rFonts w:cs="ArialMT"/>
          <w:i/>
          <w:iCs/>
          <w:szCs w:val="17"/>
          <w:lang w:val="nl-NL"/>
          <w14:ligatures w14:val="standardContextual"/>
        </w:rPr>
      </w:pPr>
      <w:r w:rsidRPr="00424CB6">
        <w:rPr>
          <w:rFonts w:cs="ArialMT"/>
          <w:i/>
          <w:iCs/>
          <w:szCs w:val="17"/>
          <w:lang w:val="nl-NL"/>
          <w14:ligatures w14:val="standardContextual"/>
        </w:rPr>
        <w:t>(ii) de inschrijving in de Openbare Registers op tweeëntwintig februari tweeduizend acht</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in register Hypotheken 4, deel 54133, nummer 49, van een afschrift van een akte</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(mede houdende) wijziging erfpachtrecht en opstalrecht op eenentwintig februari</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tweeduizend acht verleden voor mr. W.W. van 't Hoff, voornoemd (de "</w:t>
      </w:r>
      <w:r w:rsidRPr="00424CB6">
        <w:rPr>
          <w:rFonts w:cs="Arial-BoldMT"/>
          <w:b/>
          <w:bCs/>
          <w:i/>
          <w:iCs/>
          <w:szCs w:val="17"/>
          <w:lang w:val="nl-NL"/>
          <w14:ligatures w14:val="standardContextual"/>
        </w:rPr>
        <w:t>Akte van</w:t>
      </w:r>
      <w:r w:rsidR="00607950" w:rsidRPr="00424CB6">
        <w:rPr>
          <w:rFonts w:cs="ArialMT"/>
          <w:i/>
          <w:iCs/>
          <w:szCs w:val="17"/>
          <w:lang w:val="nl-NL"/>
          <w14:ligatures w14:val="standardContextual"/>
        </w:rPr>
        <w:t xml:space="preserve"> </w:t>
      </w:r>
      <w:r w:rsidRPr="00424CB6">
        <w:rPr>
          <w:rFonts w:cs="Arial-BoldMT"/>
          <w:b/>
          <w:bCs/>
          <w:i/>
          <w:iCs/>
          <w:szCs w:val="17"/>
          <w:lang w:val="nl-NL"/>
          <w14:ligatures w14:val="standardContextual"/>
        </w:rPr>
        <w:t>Wijziging II</w:t>
      </w:r>
      <w:r w:rsidRPr="00424CB6">
        <w:rPr>
          <w:rFonts w:cs="ArialMT"/>
          <w:i/>
          <w:iCs/>
          <w:szCs w:val="17"/>
          <w:lang w:val="nl-NL"/>
          <w14:ligatures w14:val="standardContextual"/>
        </w:rPr>
        <w:t>");</w:t>
      </w:r>
    </w:p>
    <w:p w14:paraId="00E359F3" w14:textId="60714C4A" w:rsidR="001C26DB" w:rsidRPr="00424CB6" w:rsidRDefault="001C26DB" w:rsidP="00424CB6">
      <w:pPr>
        <w:autoSpaceDE w:val="0"/>
        <w:autoSpaceDN w:val="0"/>
        <w:adjustRightInd w:val="0"/>
        <w:spacing w:line="293" w:lineRule="auto"/>
        <w:ind w:left="567"/>
        <w:jc w:val="both"/>
        <w:rPr>
          <w:rFonts w:cs="Arial-BoldMT"/>
          <w:szCs w:val="17"/>
          <w:lang w:val="nl-NL"/>
          <w14:ligatures w14:val="standardContextual"/>
        </w:rPr>
      </w:pPr>
      <w:r w:rsidRPr="00424CB6">
        <w:rPr>
          <w:rFonts w:cs="Arial-BoldMT"/>
          <w:szCs w:val="17"/>
          <w:lang w:val="nl-NL"/>
          <w14:ligatures w14:val="standardContextual"/>
        </w:rPr>
        <w:t>Enzovoorts.</w:t>
      </w:r>
    </w:p>
    <w:p w14:paraId="33EDCD51" w14:textId="7679CCEF" w:rsidR="001C26DB" w:rsidRPr="00424CB6" w:rsidRDefault="001C26DB"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2. </w:t>
      </w:r>
      <w:r w:rsidR="00607950" w:rsidRPr="00424CB6">
        <w:rPr>
          <w:rFonts w:cs="ArialMT"/>
          <w:i/>
          <w:iCs/>
          <w:szCs w:val="17"/>
          <w:lang w:val="nl-NL"/>
          <w14:ligatures w14:val="standardContextual"/>
        </w:rPr>
        <w:tab/>
      </w:r>
      <w:r w:rsidRPr="00424CB6">
        <w:rPr>
          <w:rFonts w:cs="ArialMT"/>
          <w:i/>
          <w:iCs/>
          <w:szCs w:val="17"/>
          <w:lang w:val="nl-NL"/>
          <w14:ligatures w14:val="standardContextual"/>
        </w:rPr>
        <w:t>ND II heeft het Verkochte ND II 1 en het Verkochte ND II 2 verkregen door de inschrijving</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in de Openbare Registers op tien januari tweeduizend acht in register Hypotheken 4, deel</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53780, nummer 159, van een afschrift van een akte houdende vestiging recht van erfpacht</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en opstal op tien januari tweeduizend acht verleden voor mr. W.W. van 't Hoff, voornoemd,</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en bij welke akte het erfpachtrecht en opstalrecht werd gevestigd ten behoeve van NBO,</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en welke akte is verbeterd door middel van de inschrijving in de Openbare Registers op</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zevenentwintig augustus tweeduizend dertien in register Hypotheken 4, deel 63235,</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nummer 133, van een afschrift van een akte houdende proces verbaal van verbetering op</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zesentwintig augustus tweeduizend dertien verleden door een waarnemer van mr. W.W.</w:t>
      </w:r>
      <w:r w:rsidR="00607950" w:rsidRPr="00424CB6">
        <w:rPr>
          <w:rFonts w:cs="ArialMT"/>
          <w:i/>
          <w:iCs/>
          <w:szCs w:val="17"/>
          <w:lang w:val="nl-NL"/>
          <w14:ligatures w14:val="standardContextual"/>
        </w:rPr>
        <w:t xml:space="preserve"> </w:t>
      </w:r>
      <w:r w:rsidRPr="00424CB6">
        <w:rPr>
          <w:rFonts w:cs="ArialMT"/>
          <w:i/>
          <w:iCs/>
          <w:szCs w:val="17"/>
          <w:lang w:val="nl-NL"/>
          <w14:ligatures w14:val="standardContextual"/>
        </w:rPr>
        <w:t>van 't Hoff, voornoemd (de "</w:t>
      </w:r>
      <w:r w:rsidRPr="00424CB6">
        <w:rPr>
          <w:rFonts w:cs="Arial-BoldMT"/>
          <w:b/>
          <w:bCs/>
          <w:i/>
          <w:iCs/>
          <w:szCs w:val="17"/>
          <w:lang w:val="nl-NL"/>
          <w14:ligatures w14:val="standardContextual"/>
        </w:rPr>
        <w:t>Akte van Uitgifte II</w:t>
      </w:r>
      <w:r w:rsidRPr="00424CB6">
        <w:rPr>
          <w:rFonts w:cs="ArialMT"/>
          <w:i/>
          <w:iCs/>
          <w:szCs w:val="17"/>
          <w:lang w:val="nl-NL"/>
          <w14:ligatures w14:val="standardContextual"/>
        </w:rPr>
        <w:t>")</w:t>
      </w:r>
    </w:p>
    <w:p w14:paraId="358E49EE" w14:textId="59732B99" w:rsidR="001C26DB" w:rsidRPr="00424CB6" w:rsidRDefault="00607950" w:rsidP="00424CB6">
      <w:pPr>
        <w:autoSpaceDE w:val="0"/>
        <w:autoSpaceDN w:val="0"/>
        <w:adjustRightInd w:val="0"/>
        <w:spacing w:line="293" w:lineRule="auto"/>
        <w:ind w:left="567"/>
        <w:jc w:val="both"/>
        <w:rPr>
          <w:rFonts w:cs="Arial-BoldMT"/>
          <w:szCs w:val="17"/>
          <w:lang w:val="nl-NL"/>
          <w14:ligatures w14:val="standardContextual"/>
        </w:rPr>
      </w:pPr>
      <w:r w:rsidRPr="00424CB6">
        <w:rPr>
          <w:rFonts w:cs="Arial-BoldMT"/>
          <w:szCs w:val="17"/>
          <w:lang w:val="nl-NL"/>
          <w14:ligatures w14:val="standardContextual"/>
        </w:rPr>
        <w:t>Enzovoorts.</w:t>
      </w:r>
    </w:p>
    <w:p w14:paraId="1E17D840" w14:textId="78887CC1" w:rsidR="00903313" w:rsidRPr="00424CB6" w:rsidRDefault="00903313" w:rsidP="00424CB6">
      <w:pPr>
        <w:autoSpaceDE w:val="0"/>
        <w:autoSpaceDN w:val="0"/>
        <w:adjustRightInd w:val="0"/>
        <w:spacing w:line="293" w:lineRule="auto"/>
        <w:ind w:left="567"/>
        <w:jc w:val="both"/>
        <w:rPr>
          <w:rFonts w:cs="Arial-BoldMT"/>
          <w:szCs w:val="17"/>
          <w:u w:val="single"/>
          <w:lang w:val="nl-NL"/>
          <w14:ligatures w14:val="standardContextual"/>
        </w:rPr>
      </w:pPr>
      <w:r w:rsidRPr="00424CB6">
        <w:rPr>
          <w:rFonts w:cs="Arial-BoldMT"/>
          <w:szCs w:val="17"/>
          <w:highlight w:val="darkGray"/>
          <w:u w:val="single"/>
          <w:lang w:val="nl-NL"/>
          <w14:ligatures w14:val="standardContextual"/>
        </w:rPr>
        <w:t xml:space="preserve">Voor wat betreft het </w:t>
      </w:r>
      <w:r w:rsidRPr="00424CB6">
        <w:rPr>
          <w:rFonts w:cs="Arial-BoldMT"/>
          <w:b/>
          <w:bCs/>
          <w:szCs w:val="17"/>
          <w:highlight w:val="darkGray"/>
          <w:u w:val="single"/>
          <w:lang w:val="nl-NL"/>
          <w14:ligatures w14:val="standardContextual"/>
        </w:rPr>
        <w:t>Perceel De Staat</w:t>
      </w:r>
      <w:r w:rsidRPr="00424CB6">
        <w:rPr>
          <w:rFonts w:cs="Arial-BoldMT"/>
          <w:szCs w:val="17"/>
          <w:highlight w:val="darkGray"/>
          <w:u w:val="single"/>
          <w:lang w:val="nl-NL"/>
          <w14:ligatures w14:val="standardContextual"/>
        </w:rPr>
        <w:t>:</w:t>
      </w:r>
    </w:p>
    <w:p w14:paraId="1C8FB3B5" w14:textId="48FCF5F1" w:rsidR="00EA5D69" w:rsidRPr="00424CB6" w:rsidRDefault="00EA5D69" w:rsidP="00424CB6">
      <w:pPr>
        <w:autoSpaceDE w:val="0"/>
        <w:autoSpaceDN w:val="0"/>
        <w:adjustRightInd w:val="0"/>
        <w:spacing w:line="293" w:lineRule="auto"/>
        <w:ind w:left="567"/>
        <w:jc w:val="both"/>
        <w:rPr>
          <w:rFonts w:cs="Arial-BoldMT"/>
          <w:b/>
          <w:bCs/>
          <w:i/>
          <w:iCs/>
          <w:szCs w:val="17"/>
          <w:lang w:val="nl-NL"/>
          <w14:ligatures w14:val="standardContextual"/>
        </w:rPr>
      </w:pPr>
      <w:r w:rsidRPr="00424CB6">
        <w:rPr>
          <w:rFonts w:cs="Arial-BoldMT"/>
          <w:b/>
          <w:bCs/>
          <w:i/>
          <w:iCs/>
          <w:szCs w:val="17"/>
          <w:lang w:val="nl-NL"/>
          <w14:ligatures w14:val="standardContextual"/>
        </w:rPr>
        <w:t>G. LASTEN EN BEPERKINGEN</w:t>
      </w:r>
    </w:p>
    <w:p w14:paraId="505C2EA7" w14:textId="5153EAEF" w:rsidR="00255F03" w:rsidRPr="00424CB6" w:rsidRDefault="00255F03"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1. </w:t>
      </w:r>
      <w:r w:rsidRPr="00424CB6">
        <w:rPr>
          <w:rFonts w:cs="ArialMT"/>
          <w:i/>
          <w:iCs/>
          <w:szCs w:val="17"/>
          <w:lang w:val="nl-NL"/>
          <w14:ligatures w14:val="standardContextual"/>
        </w:rPr>
        <w:tab/>
        <w:t>Voor bestaande erfdienstbaarheden, kwalitatieve verplichtingen en/of andere bijzondere verplichtingen met betrekking tot het Verkochte ND I 1, het Verkochte ND I 2, het Verkochte NBO 1, het Verkochte NBO 2, het Verkochte NBO 3 en het Verkochte NBO 4 wordt verwezen naar:</w:t>
      </w:r>
    </w:p>
    <w:p w14:paraId="7B769DA9" w14:textId="57C9072A" w:rsidR="00255F03" w:rsidRPr="00424CB6" w:rsidRDefault="00255F03" w:rsidP="00424CB6">
      <w:pPr>
        <w:autoSpaceDE w:val="0"/>
        <w:autoSpaceDN w:val="0"/>
        <w:adjustRightInd w:val="0"/>
        <w:spacing w:line="293" w:lineRule="auto"/>
        <w:ind w:left="1134" w:hanging="283"/>
        <w:jc w:val="both"/>
        <w:rPr>
          <w:rFonts w:cs="ArialMT"/>
          <w:i/>
          <w:iCs/>
          <w:szCs w:val="17"/>
          <w:lang w:val="nl-NL"/>
          <w14:ligatures w14:val="standardContextual"/>
        </w:rPr>
      </w:pPr>
      <w:r w:rsidRPr="00424CB6">
        <w:rPr>
          <w:rFonts w:cs="ArialMT"/>
          <w:i/>
          <w:iCs/>
          <w:szCs w:val="17"/>
          <w:lang w:val="nl-NL"/>
          <w14:ligatures w14:val="standardContextual"/>
        </w:rPr>
        <w:t xml:space="preserve">a. </w:t>
      </w:r>
      <w:r w:rsidRPr="00424CB6">
        <w:rPr>
          <w:rFonts w:cs="ArialMT"/>
          <w:i/>
          <w:iCs/>
          <w:szCs w:val="17"/>
          <w:lang w:val="nl-NL"/>
          <w14:ligatures w14:val="standardContextual"/>
        </w:rPr>
        <w:tab/>
        <w:t>de Akte van Uitgifte I, waarin onder meer het volgende voorkomt, woordelijk luidende:</w:t>
      </w:r>
    </w:p>
    <w:p w14:paraId="108B4E97"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1</w:t>
      </w:r>
    </w:p>
    <w:p w14:paraId="4B52A370"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TIJDSDUUR EN OBJECTBEPALING</w:t>
      </w:r>
    </w:p>
    <w:p w14:paraId="24EB5621" w14:textId="77777777" w:rsidR="00D62762"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Pr="00424CB6">
        <w:rPr>
          <w:rFonts w:cs="Arial-ItalicMT"/>
          <w:i/>
          <w:iCs/>
          <w:szCs w:val="17"/>
          <w:lang w:val="nl-NL"/>
          <w14:ligatures w14:val="standardContextual"/>
        </w:rPr>
        <w:tab/>
        <w:t>Op grond van de hiervoor vermelde overeenkomst en ter gedeeltelijke uitvoering daarvan vestigt de comparante sub 1, handelend namens de gemeente Naarden, bij deze voor de tijd van vijftig (50) jaren ingaande heden en mitsdien eindigende op drieëntwintig mei tweeduizend achtenvijftig ten behoeve van de lastgever van de comparante sub 2 genoemd, die aanneemt:</w:t>
      </w:r>
    </w:p>
    <w:p w14:paraId="35E56E15" w14:textId="3F68A2DE" w:rsidR="00255F03" w:rsidRPr="00424CB6" w:rsidRDefault="00255F03" w:rsidP="00424CB6">
      <w:pPr>
        <w:autoSpaceDE w:val="0"/>
        <w:autoSpaceDN w:val="0"/>
        <w:adjustRightInd w:val="0"/>
        <w:spacing w:line="293" w:lineRule="auto"/>
        <w:ind w:left="1418"/>
        <w:jc w:val="both"/>
        <w:rPr>
          <w:rFonts w:cs="Arial-ItalicMT"/>
          <w:i/>
          <w:iCs/>
          <w:szCs w:val="17"/>
          <w:lang w:val="nl-NL"/>
          <w14:ligatures w14:val="standardContextual"/>
        </w:rPr>
      </w:pPr>
      <w:r w:rsidRPr="00424CB6">
        <w:rPr>
          <w:rFonts w:cs="Arial-ItalicMT"/>
          <w:i/>
          <w:iCs/>
          <w:szCs w:val="17"/>
          <w:u w:val="single"/>
          <w:lang w:val="nl-NL"/>
          <w14:ligatures w14:val="standardContextual"/>
        </w:rPr>
        <w:t>het recht van erfpacht op gedeelten van de percelen grond/water, gelegen nabij</w:t>
      </w:r>
      <w:r w:rsidR="00D62762" w:rsidRPr="00424CB6">
        <w:rPr>
          <w:rFonts w:cs="Arial-ItalicMT"/>
          <w:i/>
          <w:iCs/>
          <w:szCs w:val="17"/>
          <w:u w:val="single"/>
          <w:lang w:val="nl-NL"/>
          <w14:ligatures w14:val="standardContextual"/>
        </w:rPr>
        <w:t xml:space="preserve"> </w:t>
      </w:r>
      <w:r w:rsidRPr="00424CB6">
        <w:rPr>
          <w:rFonts w:cs="Arial-ItalicMT"/>
          <w:i/>
          <w:iCs/>
          <w:szCs w:val="17"/>
          <w:u w:val="single"/>
          <w:lang w:val="nl-NL"/>
          <w14:ligatures w14:val="standardContextual"/>
        </w:rPr>
        <w:t>de lJsselmeerweg te Naarden, kadastraal bekend als gemeente Naarden sectie A nummers 1953, 1954, 1958 en 2102, ter grootte van respectievelijk drie</w:t>
      </w:r>
      <w:r w:rsidR="00D62762" w:rsidRPr="00424CB6">
        <w:rPr>
          <w:rFonts w:cs="Arial-ItalicMT"/>
          <w:i/>
          <w:iCs/>
          <w:szCs w:val="17"/>
          <w:u w:val="single"/>
          <w:lang w:val="nl-NL"/>
          <w14:ligatures w14:val="standardContextual"/>
        </w:rPr>
        <w:t xml:space="preserve"> </w:t>
      </w:r>
      <w:r w:rsidRPr="00424CB6">
        <w:rPr>
          <w:rFonts w:cs="Arial-ItalicMT"/>
          <w:i/>
          <w:iCs/>
          <w:szCs w:val="17"/>
          <w:u w:val="single"/>
          <w:lang w:val="nl-NL"/>
          <w14:ligatures w14:val="standardContextual"/>
        </w:rPr>
        <w:t>hectare vijfenveertig are en dertig centiare, veertien hectare zevenendertig are en</w:t>
      </w:r>
      <w:r w:rsidR="00D62762" w:rsidRPr="00424CB6">
        <w:rPr>
          <w:rFonts w:cs="Arial-ItalicMT"/>
          <w:i/>
          <w:iCs/>
          <w:szCs w:val="17"/>
          <w:u w:val="single"/>
          <w:lang w:val="nl-NL"/>
          <w14:ligatures w14:val="standardContextual"/>
        </w:rPr>
        <w:t xml:space="preserve"> </w:t>
      </w:r>
      <w:r w:rsidRPr="00424CB6">
        <w:rPr>
          <w:rFonts w:cs="Arial-ItalicMT"/>
          <w:i/>
          <w:iCs/>
          <w:szCs w:val="17"/>
          <w:u w:val="single"/>
          <w:lang w:val="nl-NL"/>
          <w14:ligatures w14:val="standardContextual"/>
        </w:rPr>
        <w:t>tien centiare, zesenveertig hectare en vijfenvijftig centiare, één hectare veertig</w:t>
      </w:r>
      <w:r w:rsidR="00D62762" w:rsidRPr="00424CB6">
        <w:rPr>
          <w:rFonts w:cs="Arial-ItalicMT"/>
          <w:i/>
          <w:iCs/>
          <w:szCs w:val="17"/>
          <w:u w:val="single"/>
          <w:lang w:val="nl-NL"/>
          <w14:ligatures w14:val="standardContextual"/>
        </w:rPr>
        <w:t xml:space="preserve"> </w:t>
      </w:r>
      <w:r w:rsidRPr="00424CB6">
        <w:rPr>
          <w:rFonts w:cs="Arial-ItalicMT"/>
          <w:i/>
          <w:iCs/>
          <w:szCs w:val="17"/>
          <w:u w:val="single"/>
          <w:lang w:val="nl-NL"/>
          <w14:ligatures w14:val="standardContextual"/>
        </w:rPr>
        <w:t>are en zevenentwintig centiare</w:t>
      </w:r>
      <w:r w:rsidRPr="00424CB6">
        <w:rPr>
          <w:rFonts w:cs="Arial-ItalicMT"/>
          <w:i/>
          <w:iCs/>
          <w:szCs w:val="17"/>
          <w:lang w:val="nl-NL"/>
          <w14:ligatures w14:val="standardContextual"/>
        </w:rPr>
        <w:t xml:space="preserve"> met de daarop gestichte opstallen, een en ander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zoals nader met arcering en de cijferaanduiding I is aangegeven op de aan deze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akte gehechte grondtekening en na kadastrale uitmeting van de erfpachter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gesteld zal worden;</w:t>
      </w:r>
    </w:p>
    <w:p w14:paraId="1B144C01" w14:textId="1CC0B3F6"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voor de duur van het in lid 1 bedoelde recht van erfpacht, het zakelijk recht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 tot het stellen en in eigendom hebben en houden van opstallen op het sub</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 bedoelde erfpachtterrein, zullende deze bestaan uit onder meer een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multifunctioneel gebouw met restaurant en verblijfsruimten, clubhuizen cum</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annexis, (dienst)woningen, machineloodsen, kiosken, overdekte en niet</w:t>
      </w:r>
      <w:r w:rsidR="00D62762" w:rsidRPr="00424CB6">
        <w:rPr>
          <w:rFonts w:cs="Arial-ItalicMT"/>
          <w:i/>
          <w:iCs/>
          <w:szCs w:val="17"/>
          <w:lang w:val="nl-NL"/>
          <w14:ligatures w14:val="standardContextual"/>
        </w:rPr>
        <w:t>-</w:t>
      </w:r>
      <w:r w:rsidRPr="00424CB6">
        <w:rPr>
          <w:rFonts w:cs="Arial-ItalicMT"/>
          <w:i/>
          <w:iCs/>
          <w:szCs w:val="17"/>
          <w:lang w:val="nl-NL"/>
          <w14:ligatures w14:val="standardContextual"/>
        </w:rPr>
        <w:lastRenderedPageBreak/>
        <w:t>overdekte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afslagplaatsen, schuilhutten, beregeningsinstallatie, drainagesysteem,</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duikers, bruggen, gas-, water-, electra- en communicatieleidingen, buizen 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rioleringswerken voor de afvoer van hemelwater, gootwater en faecaliën, trafo's,</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waterdoorlaten en hekwerken, wegen met afsluitbomen alsmede een gebouw ten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behoeve van de reddingsbrigade, vogelhutten, klimwanden, educatief paviljoen,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toiletgebouwen en overige werken en opstallen, welke werken en opstallen voor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rekening en risico van de zakelijk gerechtigde zijn of worden aangelegd dan wel</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gebouwd; in deze vestiging van het recht van erfpacht is vorenbedoelde verlening</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het recht van opstal besloten;</w:t>
      </w:r>
    </w:p>
    <w:p w14:paraId="09127A95" w14:textId="0E515F53"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alle voor overdracht vatbare rechten welke erfverpachter ter zake van het</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 jegens derden heeft of mocht verkrijgen – waaronder begrepen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artikel 251 Boek 6 van het Burgerlijk Wetboek bedoelde kwalitatieve rechten,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zoals garanties en vrijwaringen en waaronder begrepen aanspraken tegenover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bouwer(s), (onder)aannemer(s), installateur(s) en leverancier(s);</w:t>
      </w:r>
    </w:p>
    <w:p w14:paraId="16041034" w14:textId="47393532"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is na de overdracht van deze rechten verplicht de hem bekende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gegevens ter zake aan erfpachter te verstrekken en machtigt erfpachter hierbij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overdracht van die rechten voor rekening van erfpachter te doen mededelen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overeenkomstig de wettelijke bepalingen. Erfverpachter is ter zake van deze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overdracht van rechten aan erfpachter tot geen enkele vrijwaring verplicht;</w:t>
      </w:r>
    </w:p>
    <w:p w14:paraId="34EE4BE5"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2.</w:t>
      </w:r>
    </w:p>
    <w:p w14:paraId="34E26217"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BESTEMMING, GEBRUIK, ONDERHOUD</w:t>
      </w:r>
    </w:p>
    <w:p w14:paraId="6BD9D449" w14:textId="51264A9A"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mag de in erfpacht uitgegeven gronden uitsluitend gebruiken als:</w:t>
      </w:r>
    </w:p>
    <w:p w14:paraId="2634B439" w14:textId="6CE50509"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golfbaan met de daarbij behorende voorzieningen als clubhuis,</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afslagruimten, machineloods, (bedrijfs)woningen, parkeerplaatsen, erf,</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wegen, paden en waterpartijen. Het is de erfpachter toegestaan de in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 uitgegeven gronden te gebruiken voor andere sportfaciliteiten;</w:t>
      </w:r>
    </w:p>
    <w:p w14:paraId="4D5E9595" w14:textId="078E90BB"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overige (recreatieve) doeleinden, als ander meer verwoord in de, in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omschrijving van het recht van opstal genoemde, voorzieningen;</w:t>
      </w:r>
    </w:p>
    <w:p w14:paraId="6E0AF057" w14:textId="10E08EDC"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woningen en andere opstallen zoals toegelaten op grond van geldende 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voorgenomen planologische maatregelen;</w:t>
      </w:r>
    </w:p>
    <w:p w14:paraId="11742113" w14:textId="1538CE60"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dient voor zijn rekening zorg te dragen voor het volledige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onderhoud van het erfpachtterrein (daaronder mede begrepen het onderhoud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eventueel op het terrein aanwezige houtopstanden, sloten en waterpartijen,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wegen, paden en erfafscheidingen). De erfpachter mag de grond en de eventuele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opstallen niet zodanig gebruiken casu quo houden, doen of laten gebruiken, dat hieruit bezwaren van welstand of hygiëne van het milieu dan wel gevaar, schade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of hinder in welke vorm dan ook ontstaat of kan ontstaan. De erfpachter is</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 zich te gedragen naar de aanwijzingen, die hem op gezag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waterschappen dan wel overheidsinstanties worden verstrekt op grond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publiekrechtelijke regelingen.</w:t>
      </w:r>
    </w:p>
    <w:p w14:paraId="1422D998" w14:textId="152D0242"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Zonder vooraf verkregen schriftelijke toestemming van erfverpachter is het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verboden de aard, inrichting of gedaante van het erfpachtterrein te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wijzigen onder andere door op casu quo van het erfpachtterrein:</w:t>
      </w:r>
    </w:p>
    <w:p w14:paraId="2C92A782" w14:textId="427FE513"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bomen en andere houtopstanden te vellen (zulks onverminderd het</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bepaalde in de Boswet);</w:t>
      </w:r>
    </w:p>
    <w:p w14:paraId="1ED9A97D" w14:textId="0AC27353"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grond, zand, zoden of strooisel en dergelijke te winnen, te steken of af te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voeren;</w:t>
      </w:r>
    </w:p>
    <w:p w14:paraId="3FCF263F" w14:textId="77777777" w:rsidR="00D62762"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grond te storten zonder een bodemsgeschiktheidsverklaring gerelateerd aan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bestemming van de grond;</w:t>
      </w:r>
    </w:p>
    <w:p w14:paraId="3FF7A2B9" w14:textId="4E41A7D4" w:rsidR="00255F03" w:rsidRPr="00424CB6" w:rsidRDefault="00255F03" w:rsidP="00424CB6">
      <w:pPr>
        <w:autoSpaceDE w:val="0"/>
        <w:autoSpaceDN w:val="0"/>
        <w:adjustRightInd w:val="0"/>
        <w:spacing w:line="293" w:lineRule="auto"/>
        <w:ind w:left="1701"/>
        <w:jc w:val="both"/>
        <w:rPr>
          <w:rFonts w:cs="Arial-ItalicMT"/>
          <w:i/>
          <w:iCs/>
          <w:szCs w:val="17"/>
          <w:lang w:val="nl-NL"/>
          <w14:ligatures w14:val="standardContextual"/>
        </w:rPr>
      </w:pPr>
      <w:r w:rsidRPr="00424CB6">
        <w:rPr>
          <w:rFonts w:cs="Arial-ItalicMT"/>
          <w:i/>
          <w:iCs/>
          <w:szCs w:val="17"/>
          <w:lang w:val="nl-NL"/>
          <w14:ligatures w14:val="standardContextual"/>
        </w:rPr>
        <w:t>een en ander anders dan in het kader van de aanleg, bouw en onderhoud</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 de voorzieningen cum annexis, als bedoeld in dit artikel, zoals deze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overeenkomstig de mogelijke bestemmingen als in deze akte omschreven,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wenselijk of noodzakelijk zijn.</w:t>
      </w:r>
    </w:p>
    <w:p w14:paraId="411592A9" w14:textId="0BF8649F"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Indien erfpachter wenst over te gaan tot het oprichten, aanbrengen of wijzigen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gebouwen, (bouw)werken, getimmerten of constructies anders dan genoemd</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artikel 1 lid 2, zal de erfpachter erfverpachter daarvan schriftelijk in kennis</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stellen.</w:t>
      </w:r>
    </w:p>
    <w:p w14:paraId="15C95C94" w14:textId="180B9386"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Daarbij dient tenminste een tekening voor de voorgenomen bouw, aanleg of</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wijziging te worden meegezonden.</w:t>
      </w:r>
    </w:p>
    <w:p w14:paraId="1CF996CE" w14:textId="2FB82876"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6.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in lid 4 en artikel 1 lid 2 bedoelde bouwwerken zullen voor rekening en risico</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erfpachter worden opgericht, gebouwd of worden aangebracht, zonder dat</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terzake aan de erfverpachter een vergoeding verschuldigd zal zijn.</w:t>
      </w:r>
    </w:p>
    <w:p w14:paraId="6435C638" w14:textId="252A7CE4"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7.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in lid 4 en artikel 1 lid 2 genoemde bouwwerken zijn en blijven eigendom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erfpachter."</w:t>
      </w:r>
    </w:p>
    <w:p w14:paraId="7E022DE7" w14:textId="77777777"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Enzovoorts</w:t>
      </w:r>
    </w:p>
    <w:p w14:paraId="34A7F5C6"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5</w:t>
      </w:r>
    </w:p>
    <w:p w14:paraId="2A8C7457"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AANVAARDING</w:t>
      </w:r>
    </w:p>
    <w:p w14:paraId="0A167BE5" w14:textId="39777E01"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kent het erfpachtterrein volledig en aanvaardt dit in de staat, waarin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zich ten tijde van de aanvang van het recht van erfpacht bevindt, met alle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daaraan verbonden lusten en lasten, heersende en lijdende erfdienstbaarheden,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dien verstande dat, indien de erfpachter verwijdering of vervanging van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opstallen wenst, deze voor rekening van de erfpachter worden verwijderd, voor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zover ten tijde van de vestiging van het erfpachtrecht nog aanwezig. Het</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erfpachtterrein komt met ingang van heden voor risico van de erfpachter.</w:t>
      </w:r>
    </w:p>
    <w:p w14:paraId="763607A6" w14:textId="51B5B57B"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blijft, in tegenstelling tot hetgeen in lid 1 van dit artikel is bepaald,</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naar de erfpachter toe verantwoordelijk voor de gevolgen van de door haar of in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haar opdracht aangelegde, op het terrein aanwezige, stortplaats.</w:t>
      </w:r>
    </w:p>
    <w:p w14:paraId="03770EE0" w14:textId="0165DEF4"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verplicht zich de erfpachter op de hoogte te stellen van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aanwezigheid van bestaande leidingen voor onder andere nutsvoorzieningen.</w:t>
      </w:r>
    </w:p>
    <w:p w14:paraId="2DE6039D" w14:textId="55B23185"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vermelding in de akte van oppervlakte, belendingen, vorm, aard of ligging van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erfpachtterrein zijn bij benadering aangegeven, zonder dat het erfpachtterrein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hieraan exact behoeft te beantwoorden. De erfpachter heeft mitsdien nimmer enige aanspraak op ontbinding van de erfpachtovereenkomst of op enige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schadevergoeding, indien de gedane opgave van oppervlakte, belendingen,</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vorm, aard, bestemming of ligging van het erfpachtterrein niet met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werkelijkheid blijkt overeen te komen, tenzij in deze akte anders is vermeld.</w:t>
      </w:r>
    </w:p>
    <w:p w14:paraId="6C2579E5" w14:textId="77777777"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6</w:t>
      </w:r>
    </w:p>
    <w:p w14:paraId="74C23A8D" w14:textId="77777777"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AANSPRAKELIJKHEID</w:t>
      </w:r>
    </w:p>
    <w:p w14:paraId="5F3EE865" w14:textId="763F8CD9"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is aansprakelijk voor de voldoening van alle uit deze overeenkomst</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jegens erfverpachter voortvloeiende verplichtingen.</w:t>
      </w:r>
    </w:p>
    <w:p w14:paraId="795F28DC" w14:textId="20840413"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vrijwaart erfverpachter tegen alle aanspraken van derden op</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vergoeding wegens schade, hoe ook genaamd, bodemverontreiniging daaronder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begrepen, voor zover die schade door of vanwege de erfpachter is ontstaan.</w:t>
      </w:r>
    </w:p>
    <w:p w14:paraId="108115E6" w14:textId="1EE96972"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62762" w:rsidRPr="00424CB6">
        <w:rPr>
          <w:rFonts w:cs="Arial-ItalicMT"/>
          <w:i/>
          <w:iCs/>
          <w:szCs w:val="17"/>
          <w:lang w:val="nl-NL"/>
          <w14:ligatures w14:val="standardContextual"/>
        </w:rPr>
        <w:tab/>
      </w:r>
      <w:r w:rsidRPr="00424CB6">
        <w:rPr>
          <w:rFonts w:cs="Arial-ItalicMT"/>
          <w:i/>
          <w:iCs/>
          <w:szCs w:val="17"/>
          <w:lang w:val="nl-NL"/>
          <w14:ligatures w14:val="standardContextual"/>
        </w:rPr>
        <w:t>Alle werken of eigendommen van erfverpachter, welke ten gevolge van de</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uitoefening van het recht van erfpacht mochten worden beschadigd, moeten door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op kosten van de erfpachter op de eerste aanschrijving van erfverpachter,</w:t>
      </w:r>
      <w:r w:rsidR="00D62762"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binnen de daarbij te bepalen termijn, tot diens genoegen worden hersteld.</w:t>
      </w:r>
    </w:p>
    <w:p w14:paraId="4331CB82"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7</w:t>
      </w:r>
    </w:p>
    <w:p w14:paraId="6859017B"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BODEMVERONTREINIGING</w:t>
      </w:r>
    </w:p>
    <w:p w14:paraId="22D98BA2" w14:textId="50963029"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Van bodemverontreiniging is sprake indien zich op en/of in de bodem van het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erfpachtterrein hogere concentraties van schadelijke stoffen bevinden dan op</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 van natuurlijk voorkomen is te verwachten, rekening houdende met het tot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heden geconstateerde gebruik als recreatieterrein, gelet op de stand van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wetenschap en de streefwaarden (eerder wel genoemd referentiewaarden of A</w:t>
      </w:r>
      <w:r w:rsidR="009A3D90" w:rsidRPr="00424CB6">
        <w:rPr>
          <w:rFonts w:cs="Arial-ItalicMT"/>
          <w:i/>
          <w:iCs/>
          <w:szCs w:val="17"/>
          <w:lang w:val="nl-NL"/>
          <w14:ligatures w14:val="standardContextual"/>
        </w:rPr>
        <w:t>-</w:t>
      </w:r>
      <w:r w:rsidRPr="00424CB6">
        <w:rPr>
          <w:rFonts w:cs="Arial-ItalicMT"/>
          <w:i/>
          <w:iCs/>
          <w:szCs w:val="17"/>
          <w:lang w:val="nl-NL"/>
          <w14:ligatures w14:val="standardContextual"/>
        </w:rPr>
        <w:t>waarden)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bij de Wet Bodembescherming van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negentienhonderdvierennegentig behorende circulaire van negen mei</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negentienhonderdvierennegentig (kenmerk DBO/07494013), dan wel daarvoor in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plaats tredende algemeen gangbare kwaliteitseisen gelet op de in deze akte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genoemde bestemmings- casu quo gebruiksmogelijkheden.</w:t>
      </w:r>
    </w:p>
    <w:p w14:paraId="43E121BA" w14:textId="67036E5F"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De erfverpachter is niet bekend met feiten of omstandigheden die erop wijzen of</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kunnen wijzen dat het erfpachtterrein enige verontreiniging bevat, anders dan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terzake van de in artikel 5 lid 2 bedoelde stortplaats.</w:t>
      </w:r>
    </w:p>
    <w:p w14:paraId="78EDB142" w14:textId="77777777" w:rsidR="009A3D90"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Partijen hebben geen reden om aan te nemen dat het erfpachtterrein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verontreinigd is, in de zin dat het bezwarend is voor de voorgenomen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bestemmingen en of gebruik.</w:t>
      </w:r>
    </w:p>
    <w:p w14:paraId="54D7C92B" w14:textId="04556EE9" w:rsidR="00255F03" w:rsidRPr="00424CB6" w:rsidRDefault="00255F03" w:rsidP="00424CB6">
      <w:pPr>
        <w:autoSpaceDE w:val="0"/>
        <w:autoSpaceDN w:val="0"/>
        <w:adjustRightInd w:val="0"/>
        <w:spacing w:line="293" w:lineRule="auto"/>
        <w:ind w:left="1418"/>
        <w:jc w:val="both"/>
        <w:rPr>
          <w:rFonts w:cs="Arial-ItalicMT"/>
          <w:i/>
          <w:iCs/>
          <w:szCs w:val="17"/>
          <w:lang w:val="nl-NL"/>
          <w14:ligatures w14:val="standardContextual"/>
        </w:rPr>
      </w:pPr>
      <w:r w:rsidRPr="00424CB6">
        <w:rPr>
          <w:rFonts w:cs="Arial-ItalicMT"/>
          <w:i/>
          <w:iCs/>
          <w:szCs w:val="17"/>
          <w:lang w:val="nl-NL"/>
          <w14:ligatures w14:val="standardContextual"/>
        </w:rPr>
        <w:t>Het risico dat later zal blijken dat ten tijde van de vestiging van het recht van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 in afwijking van bovenbedoelde aanname toch verontreiniging in het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erfpachtterrein aanwezig is, is voor risico van de erfverpachter, voor zover het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gaat om verontreiniging die van belang is voor het in artikel 2 genoemde gebruik.</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zoveel nodig in afwijking van het gestelde in de eerste volzin van dit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artikellid, geldt het volgende wanneer binnen een periode van vijf jaren, ingaande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heden, door het bevoegd gezag krachtens de Wet Bodembescherming wordt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gesteld dat in het erfpachtterrein </w:t>
      </w:r>
      <w:r w:rsidRPr="00424CB6">
        <w:rPr>
          <w:rFonts w:cs="Arial-ItalicMT"/>
          <w:i/>
          <w:iCs/>
          <w:szCs w:val="17"/>
          <w:lang w:val="nl-NL"/>
          <w14:ligatures w14:val="standardContextual"/>
        </w:rPr>
        <w:lastRenderedPageBreak/>
        <w:t>sprake is van een partijen ten tijde van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vestiging van het recht van erfpacht niet bekend geval van ernstige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bodemverontreiniging en aannemelijk wordt gemaakt dat deze verontreiniging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ook ten tijde van de vestiging van het recht van erfpacht in het erfpachtterrein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aanwezig was en ook onder de heden geldende normen moest worden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aangemerkt als een geval van ernstige bodemverontreiniging. In dat geval wordt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schade die de erfpachter lijdt, voorzover deze aantoonbaar het gevolg is van het waardedrukkend effect van deze verontreiniging of van beperking van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ontwikkelings- beheers- en exploitatiemogelijkheden, door erfverpachter vergoed.</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Indien de erfpachter bovendien aannemelijk maakt dat onder de heden geldende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normen ten aanzien van dit geval van ernstige bodemverontreiniging sprake was</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urgentie om het betreffende geval te saneren, een en ander in de zin van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Wet bodemverontreiniging en beoordeeld naar het door in artikel 2 van deze akte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genoemde gebruik, komen de kosten van onderzoek, tijdelijke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beveiligingsmaatregelen en sanering voor rekening van erfverpachter.</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heeft voor zijn rekening verscheidene bodemonderzoeken laten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instellen met betrekking tot een gedeelte van het erfpachtterrein. Uit deze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onderzoeksrapporten blijkt dat er niet van een zodanige verontreiniging sprake is</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dat het terrein niet aan de voorgenomen bestemming kan voldoen.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gevolgen van de door de erfverpachter op het erfpachtterrein aangelegde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stortlokatie blijven, voor zover in tegenstelling tot het hiervoor bepaalde, volledig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risico van de erfverpachter.</w:t>
      </w:r>
    </w:p>
    <w:p w14:paraId="754D509B"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8</w:t>
      </w:r>
    </w:p>
    <w:p w14:paraId="321A5048"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LASTEN</w:t>
      </w:r>
    </w:p>
    <w:p w14:paraId="7406A00F" w14:textId="49A19033"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1.</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Alle zakelijke lasten en belastingen die van het erfpachtterrein en van de daarop</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eventueel aanwezige opstallen worden geheven of zullen worden geheven,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komen van de datum van aanvang van het recht van erfpacht voor rekening van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erfpachter.</w:t>
      </w:r>
    </w:p>
    <w:p w14:paraId="2634B123" w14:textId="6C3D9774"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Wanneer de erfverpachter belastingen of lasten, als in lid 1 van dit artikel</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 mocht hebben betaald, zal daarvan kennis worden gegeven aan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die verplicht is binnen een (1) maand nadien het betaalde bedrag aan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te vergoeden."</w:t>
      </w:r>
    </w:p>
    <w:p w14:paraId="4E7C4F73"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1200D069"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lang w:val="nl-NL"/>
          <w14:ligatures w14:val="standardContextual"/>
        </w:rPr>
        <w:t>"</w:t>
      </w:r>
      <w:r w:rsidRPr="00424CB6">
        <w:rPr>
          <w:rFonts w:cs="Arial-ItalicMT"/>
          <w:i/>
          <w:iCs/>
          <w:szCs w:val="17"/>
          <w:u w:val="single"/>
          <w:lang w:val="nl-NL"/>
          <w14:ligatures w14:val="standardContextual"/>
        </w:rPr>
        <w:t>Artikel 11</w:t>
      </w:r>
    </w:p>
    <w:p w14:paraId="4448199F"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BURGERLIJK WETBOEK</w:t>
      </w:r>
    </w:p>
    <w:p w14:paraId="2D47A472" w14:textId="6B4E2537"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Wanneer het Burgerlijk Wetboek, mede naar aanleiding van rechtspraak, voor</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partijen onvoorziene consequenties zal hebben voor de inhoud en/of uitvoering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rechten en verplichtingen van partijen dan zal bij de bepaling van hetgeen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partijen jegens elkaar verplicht en gerechtigd zijn zo dicht mogelijk worden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aangesloten bij de bedoeling van hetgeen in de akte van vestiging en in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voorwaarden is neergelegd.</w:t>
      </w:r>
    </w:p>
    <w:p w14:paraId="4E718C8D" w14:textId="748A052F"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Indien één van de partijen dit in verband met de in het vorige lid bedoelde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consequenties noodzakelijk acht, zullen partijen dienaangaande nadere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afspraken met elkaar maken, waarbij hetgeen in het vorige lid is bepaald wordt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nagestreefd."</w:t>
      </w:r>
    </w:p>
    <w:p w14:paraId="7529DE67"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624605CF"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13</w:t>
      </w:r>
    </w:p>
    <w:p w14:paraId="3359C1B9"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RECHT VAN OPSTAL.</w:t>
      </w:r>
    </w:p>
    <w:p w14:paraId="1096C4ED" w14:textId="0CF936FE"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Waar in deze akte wordt gesproken over de erfpachter of het recht van erfpacht, wordt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daaronder mede verstaan de opstalhouder en het recht van opstal."</w:t>
      </w:r>
    </w:p>
    <w:p w14:paraId="030D6BA7"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34E797F2"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18</w:t>
      </w:r>
    </w:p>
    <w:p w14:paraId="33BCF430"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PUBLIEKRECHTELIJKE EN PRIVAATRECHTELIJKE</w:t>
      </w:r>
    </w:p>
    <w:p w14:paraId="5DF39BD3" w14:textId="72F094AD"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BEPERKINGEN/BEPERKTE GENOTSRECHTEN</w:t>
      </w:r>
    </w:p>
    <w:p w14:paraId="590F259D" w14:textId="58A883FB"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Met betrekking tot beperkingen voortvloeiende uit het bestaan van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erfdienstbaarheden, bijzondere lasten en beperkingen, zakelijke rechten,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kettingbedingen en kwalitatieve verplichtingen, wordt uitdrukkelijk verwezen naar titels</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waarbij de erfverpachter de eigendom heeft verkregen, welke integraal door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voor zover van toepassing worden aanvaard.</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Bij gehele danwel gedeeltelijke overdracht van het onderhavige erfpachtsrecht en het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opstal zullen alle voorwaarden en bepalingen van deze akte alsmede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bestaande erfdienstbaarheden, kwalitatieve rechten en verplichtingen alsmede ketting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boete bedingen integraal door de erfpachter moeten </w:t>
      </w:r>
      <w:r w:rsidRPr="00424CB6">
        <w:rPr>
          <w:rFonts w:cs="Arial-ItalicMT"/>
          <w:i/>
          <w:iCs/>
          <w:szCs w:val="17"/>
          <w:lang w:val="nl-NL"/>
          <w14:ligatures w14:val="standardContextual"/>
        </w:rPr>
        <w:lastRenderedPageBreak/>
        <w:t>worden overgedragen aan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onder welke titel dan ook, op straffe van ontbinding dezer</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 Voorzover daarvan in deze akte niet is afgeweken blijft tussen partijen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gelden al hetgeen voor het passeren van deze akte tussen hen is overeengekomen.</w:t>
      </w:r>
      <w:r w:rsidRPr="00424CB6">
        <w:rPr>
          <w:rFonts w:cs="ArialMT"/>
          <w:i/>
          <w:iCs/>
          <w:szCs w:val="17"/>
          <w:lang w:val="nl-NL"/>
          <w14:ligatures w14:val="standardContextual"/>
        </w:rPr>
        <w:t>".</w:t>
      </w:r>
    </w:p>
    <w:p w14:paraId="16DF8D43" w14:textId="41DFD679" w:rsidR="00255F03" w:rsidRPr="00424CB6" w:rsidRDefault="00255F03" w:rsidP="00424CB6">
      <w:pPr>
        <w:autoSpaceDE w:val="0"/>
        <w:autoSpaceDN w:val="0"/>
        <w:adjustRightInd w:val="0"/>
        <w:spacing w:line="293" w:lineRule="auto"/>
        <w:ind w:left="1134" w:hanging="283"/>
        <w:jc w:val="both"/>
        <w:rPr>
          <w:rFonts w:cs="ArialMT"/>
          <w:i/>
          <w:iCs/>
          <w:szCs w:val="17"/>
          <w:lang w:val="nl-NL"/>
          <w14:ligatures w14:val="standardContextual"/>
        </w:rPr>
      </w:pPr>
      <w:r w:rsidRPr="00424CB6">
        <w:rPr>
          <w:rFonts w:cs="ArialMT"/>
          <w:i/>
          <w:iCs/>
          <w:szCs w:val="17"/>
          <w:lang w:val="nl-NL"/>
          <w14:ligatures w14:val="standardContextual"/>
        </w:rPr>
        <w:t xml:space="preserve">b. </w:t>
      </w:r>
      <w:r w:rsidR="009A3D90" w:rsidRPr="00424CB6">
        <w:rPr>
          <w:rFonts w:cs="ArialMT"/>
          <w:i/>
          <w:iCs/>
          <w:szCs w:val="17"/>
          <w:lang w:val="nl-NL"/>
          <w14:ligatures w14:val="standardContextual"/>
        </w:rPr>
        <w:tab/>
      </w:r>
      <w:r w:rsidRPr="00424CB6">
        <w:rPr>
          <w:rFonts w:cs="ArialMT"/>
          <w:i/>
          <w:iCs/>
          <w:szCs w:val="17"/>
          <w:lang w:val="nl-NL"/>
          <w14:ligatures w14:val="standardContextual"/>
        </w:rPr>
        <w:t>de Akte van Wijziging I waarin onder meer het volgende voorkomt, woordelijk</w:t>
      </w:r>
      <w:r w:rsidR="009A3D90" w:rsidRPr="00424CB6">
        <w:rPr>
          <w:rFonts w:cs="ArialMT"/>
          <w:i/>
          <w:iCs/>
          <w:szCs w:val="17"/>
          <w:lang w:val="nl-NL"/>
          <w14:ligatures w14:val="standardContextual"/>
        </w:rPr>
        <w:t xml:space="preserve"> </w:t>
      </w:r>
      <w:r w:rsidRPr="00424CB6">
        <w:rPr>
          <w:rFonts w:cs="ArialMT"/>
          <w:i/>
          <w:iCs/>
          <w:szCs w:val="17"/>
          <w:lang w:val="nl-NL"/>
          <w14:ligatures w14:val="standardContextual"/>
        </w:rPr>
        <w:t>luidende:</w:t>
      </w:r>
    </w:p>
    <w:p w14:paraId="193AFA57"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3</w:t>
      </w:r>
    </w:p>
    <w:p w14:paraId="06A29B86"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ERFPACHTCANON</w:t>
      </w:r>
    </w:p>
    <w:p w14:paraId="04ED70AC" w14:textId="1CE874EA"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De erfpachtcanon is voor de gehele looptijd van het erfpachtrecht afgekocht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tegen een bedrag van een (1) euro te vermeerderen met negentien procent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Belasting Toegevoegde Waarde.</w:t>
      </w:r>
    </w:p>
    <w:p w14:paraId="4CAC9AF4" w14:textId="023212DD"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Indien en voor zover de tussen de partijen, de gemeente Naarden en Naarderbos</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Ontwikkeling B.V., gesloten of te sluiten exploitatieovereenkomst geheel of ten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dele in rechte wordt vernietigd als gevolg waarvan enerzijds de gemeentelijke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medewerking aan het in bouwexploitatie brengen van de erfpachtgronden niet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meer verschuldigd is en de verplichting tot het voldoen van een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exploitatiebijdrage vervalt, zal de erfpachtcanon met een additioneel bedrag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verhoogd worden tot het bedrag van de in de exploitatieovereenkomst bepaalde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exploitatiebijdrage zulks met de verplichting voor de gemeente als erfverpachter</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 de overeengekomen gemeentelijke medewerking aan het in bouwexploitatie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brengen integraal alsnog op basis van deze erfpachtakte te verlenen, zonodig</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toepassing van artikel 3:42 van het Burgerlijk Wetboek. De voorschriften 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bedingen van voormelde exploitatieovereenkomst worden alsdan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dienovereenkomstig als hier herhaald en ingelast geacht.</w:t>
      </w:r>
    </w:p>
    <w:p w14:paraId="07A14C69" w14:textId="0635D2AE"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9A3D90" w:rsidRPr="00424CB6">
        <w:rPr>
          <w:rFonts w:cs="Arial-ItalicMT"/>
          <w:i/>
          <w:iCs/>
          <w:szCs w:val="17"/>
          <w:lang w:val="nl-NL"/>
          <w14:ligatures w14:val="standardContextual"/>
        </w:rPr>
        <w:tab/>
      </w:r>
      <w:r w:rsidRPr="00424CB6">
        <w:rPr>
          <w:rFonts w:cs="Arial-ItalicMT"/>
          <w:i/>
          <w:iCs/>
          <w:szCs w:val="17"/>
          <w:lang w:val="nl-NL"/>
          <w14:ligatures w14:val="standardContextual"/>
        </w:rPr>
        <w:t>Indien de bestemmingen van respectievelijk de bebouwings- 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gebruiksmogelijkheden op de erfpachtgronden en/of de bouwvlakken als bedoeld</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artikel 1 planologisch worden gewijzigd als gevolg waarvan naast en boven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bebouwing ingevolge Planbeschrijving Masterplan de dato 4 april 2001 en het</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bestemmingsplan Recreatiepark Naarderbos een verruiming van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(woon)bouwmogelijkheden ontstaat, dan treden partijen in overleg over een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additionele eenmalige afkoopsom gelijk aan een nader overeen te komen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percentage van de dientengevolge ontstane meerwaarde van de desbetreffende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gronden ten opzichte van de bij deze akte toegestane bebouwings- 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gebruiksmogelijkheden. De additionele afkoopsom is eerst opeisbaar zodra de</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verruimde bebouwings- en gebruiksmogelijkheden feitelijk in uitvoering worden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genomen en de desbetreffende gronden in erfpacht en/ of in eigendom zijn</w:t>
      </w:r>
      <w:r w:rsidR="009A3D9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overgedragen aan de erfpachter."</w:t>
      </w:r>
    </w:p>
    <w:p w14:paraId="51FD1EF3"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5649A444" w14:textId="76994311"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9</w:t>
      </w:r>
    </w:p>
    <w:p w14:paraId="7B22E19F"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BEVOEGDHEID TOT VERVREEMDING KETTINGBEDING</w:t>
      </w:r>
    </w:p>
    <w:p w14:paraId="043681FB" w14:textId="119D576A"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Het is de erfpachter, zonder toestemming van erfverpachter niet toegestaan:</w:t>
      </w:r>
    </w:p>
    <w:p w14:paraId="3A253F58"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0BF41FC2" w14:textId="56FB8A02"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b.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het recht van erfpacht, waaronder begrepen het opstalrecht of enig deel</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daarvan te splitsen door overdracht of toedeling van het recht van erfpacht</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een gedeelte van de zaak waarop het recht van erfpacht rust dan wel te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splitsen in appartementsrechten;</w:t>
      </w:r>
    </w:p>
    <w:p w14:paraId="08275EA8" w14:textId="5F6815A2"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c.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het recht van erfpacht, waaronder begrepen het opstalrecht alsmede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zaak waarop het recht van erfpacht rust dan wel de daartoe behorende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zaken, onder welke titel ook geheel of gedeeltelijk aan derden in gebruik of</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genot af te staan, met dien verstande dat de toestemming niet is vereist</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indien deze activiteiten betrekking hebben op beheersactiviteiten in het</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kader van de exploitatie van het erfpachtterrein overeenkomstig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 gebruik en onderhoud zoals vermeld in artikel 2;</w:t>
      </w:r>
    </w:p>
    <w:p w14:paraId="2C1DA218" w14:textId="68DB8F24"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d.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op de zaak waarop het recht van erfpacht, waaronder begrepen het</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opstalrecht, rust geheel of gedeeltelijk het recht van ondererfpacht tegen</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door de erfpachter te bepalen voorwaarden te vestigen, waarbij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voorwaarden en bepalingen uit deze akte - inclusief deze bepaling- aan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ondererfpachter(s) voor zover van relevant integraal, voorzover mogelijk als</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kettingbeding dienen te worden opgelegd;</w:t>
      </w:r>
    </w:p>
    <w:p w14:paraId="4C64EABD" w14:textId="1BE912F4"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e.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op het recht van erfpacht, waaronder begrepen het opstalrecht alsmede op</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zaak waarop het recht van erfpacht rust dan wel op de daartoe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behorende zaken (beperkte) zakelijke (zekerheids) rechten te vestigen.</w:t>
      </w:r>
    </w:p>
    <w:p w14:paraId="24856B4C" w14:textId="2971A7EF"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2.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De goedkeuring van de gemeente kan slechts worden geweigerd ingeval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uitvoering van deze erfpachtakte niet is gewaarborgd en evenmin door het stellen</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voorwaarden hieraan tegemoet gekomen kan worden,</w:t>
      </w:r>
    </w:p>
    <w:p w14:paraId="7087D5AD" w14:textId="73646760"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Bij gehele danwel gedeeltelijke overdracht van het onderhavige erfpachtsrecht en</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recht van opstal zullen voor zover relevant alle voorwaarden en bepalingen</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deze akte integraal door de erfpachter moeten worden overgedragen aan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onder welke titel dan ook.</w:t>
      </w:r>
    </w:p>
    <w:p w14:paraId="4E171128" w14:textId="75CFA91B"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Voorzover daarvan in deze akte niet is afgeweken blijft tussen partijen gelden al</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hetgeen voor het passeren van deze akte tussen hen is overeengekomen.</w:t>
      </w:r>
    </w:p>
    <w:p w14:paraId="69512514" w14:textId="6707C00D"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642800" w:rsidRPr="00424CB6">
        <w:rPr>
          <w:rFonts w:cs="Arial-ItalicMT"/>
          <w:i/>
          <w:iCs/>
          <w:szCs w:val="17"/>
          <w:lang w:val="nl-NL"/>
          <w14:ligatures w14:val="standardContextual"/>
        </w:rPr>
        <w:tab/>
      </w:r>
      <w:r w:rsidRPr="00424CB6">
        <w:rPr>
          <w:rFonts w:cs="Arial-ItalicMT"/>
          <w:i/>
          <w:iCs/>
          <w:szCs w:val="17"/>
          <w:lang w:val="nl-NL"/>
          <w14:ligatures w14:val="standardContextual"/>
        </w:rPr>
        <w:t>Binnen twee maanden na dagtekening van de akte, waarbij de in het voorgaande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lid van dit artikel genoemde rechtshandelingen zijn vastgelegd, moet de</w:t>
      </w:r>
      <w:r w:rsidR="0064280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een gewaarmerkt afschrift aan erfverpachter doen toekomen.</w:t>
      </w:r>
    </w:p>
    <w:p w14:paraId="69086BAC"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10</w:t>
      </w:r>
    </w:p>
    <w:p w14:paraId="0317858C"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OPLEVERING BIJ HET EINDE VAN HET RECHT</w:t>
      </w:r>
    </w:p>
    <w:p w14:paraId="59A7B330" w14:textId="1958D9E8"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Bij het einde van het recht van erfpacht uit welke hoofde ook, zal erfverpachter,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ingevolge artikel 99 lid 1 boek 5 van het Burgerlijk Wetboek, de erfpachter voor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alsdan op het erfpachtterrein aanwezige gebouwen, werken, golfbaan,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beplantingen en overige gebouwde en aangelegde voorzieningen schadeloos</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stellen op grond van de economische waarde, welke waarde door partijen in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onderling overleg dient te worden bepaald. Bij gebreke van overeenstemming zal</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hiervoor bedoelde economische waarde worden bepaald door drie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deskundigen. Ieder van partijen wijst een deskundige aan die beiden gezamenlijk</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derde deskundige aanwijzen. Indien het aanwijzen van de deskundige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uitblijft, kan de meest gerede partij een verzoek doen aan de Voorzieningenrechter van de Arrondissementsrechtbank te Amsterdam om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deskundige(n) te benoemen. De deskundigen zijn verplicht hun advies binnen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drie(3) maanden na de desbetreffende opdrachtverlening aan beide partijen uit te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brengen.</w:t>
      </w:r>
    </w:p>
    <w:p w14:paraId="2FE1B0C8" w14:textId="18CB5DD6"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kosten van deskundigen worden door ieder der partijen voor de helft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gedragen.</w:t>
      </w:r>
    </w:p>
    <w:p w14:paraId="373E601C" w14:textId="47B17610"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schadeloosstelling moet binnen zes maanden na de tussen partijen verkregen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overeenstemming of uitspraak van de deskundigen worden betaald.</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is bevoegd met deze waarde te verrekenen hetgeen hij nog uit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hoofde van de erfpacht van de erfpachter te vorderen heeft, kosten daaronder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begrepen.</w:t>
      </w:r>
    </w:p>
    <w:p w14:paraId="6EC7405C" w14:textId="1970127C"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Bij minnelijke beëindiging van het recht van erfpacht, kunnen beide partijen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overeenkomen de schadeloosstellingsverplichting als bedoeld in lid 1 te doen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compenseren door casu quo op te schorten, gedurende de termijn van een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voortgezet eeuwigdurend recht van opstal om niet.</w:t>
      </w:r>
    </w:p>
    <w:p w14:paraId="0085F22D" w14:textId="7573ACFE"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Beëindiging geschiedt in alle gevallen door opzegging bij exploit op grond van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88 van boek 5 van het Burgerlijk Wetboek, met in achtneming van een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termijn van vijf jaren. Bij niet tijdige opzegging of bij stilzwijgende verlenging</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wordt de looptijd van het recht van erfpacht met de oorspronkelijke periode 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 dezelfde voorwaarden en bedingen verlengd. De erfverpachter kan het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erfpacht niet tussentijds opzeggen."</w:t>
      </w:r>
    </w:p>
    <w:p w14:paraId="2DA85A07" w14:textId="77777777"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MT"/>
          <w:i/>
          <w:iCs/>
          <w:szCs w:val="17"/>
          <w:lang w:val="nl-NL"/>
          <w14:ligatures w14:val="standardContextual"/>
        </w:rPr>
        <w:t>Enzovoorts</w:t>
      </w:r>
    </w:p>
    <w:p w14:paraId="2E92826E"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23</w:t>
      </w:r>
    </w:p>
    <w:p w14:paraId="45A28AAB" w14:textId="77777777" w:rsidR="00255F03" w:rsidRPr="00424CB6" w:rsidRDefault="00255F03" w:rsidP="00424CB6">
      <w:pPr>
        <w:autoSpaceDE w:val="0"/>
        <w:autoSpaceDN w:val="0"/>
        <w:adjustRightInd w:val="0"/>
        <w:spacing w:line="293" w:lineRule="auto"/>
        <w:ind w:left="1134"/>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BETALING/KWIJTING</w:t>
      </w:r>
    </w:p>
    <w:p w14:paraId="7CDA5A56" w14:textId="79C06853"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comparant(e), handelend voor en namens de erfverpachter, verklaarde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afkoopsom van de erfpachter bij de ondertekening van deze akte te hebben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ontvangen. De comparante handelend voor en namens de erfverpachter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verklaarde voor de ontvangt van de afkoopsom bij deze kwijting te verlenen.</w:t>
      </w:r>
    </w:p>
    <w:p w14:paraId="25E38707" w14:textId="30770AB6"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Nadat de in artikel 3, lid 2 bedoelde rechtssituatie is ingetreden wordt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voldoening van de additionele afkoopsom verrekend met de alsdan door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gemeente te restitueren exploitatiebijdrage en wettelijke rente waarna partijen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 en weer niet meer van elkaar te vorderen hebben behoudens het ingevolge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3, lid 2 bepaalde terzake van gemeentelijke medewerking.</w:t>
      </w:r>
    </w:p>
    <w:p w14:paraId="5FD15918" w14:textId="0B8D646A"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in artikel 3, lid 3 bedoelde additionele afkoopsom dient te worden voldaan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uiterlijk een (1) maand nadat partijen de hoogte daarvan hebben vastgesteld dan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wel – indien later – binnen een (1) maand nadat de uitvoering van de extra</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bebouwings- en gebruiksmogelijkheden feitelijk ter hand is genomen.</w:t>
      </w:r>
      <w:r w:rsidRPr="00424CB6">
        <w:rPr>
          <w:rFonts w:cs="ArialMT"/>
          <w:i/>
          <w:iCs/>
          <w:szCs w:val="17"/>
          <w:lang w:val="nl-NL"/>
          <w14:ligatures w14:val="standardContextual"/>
        </w:rPr>
        <w:t>".</w:t>
      </w:r>
    </w:p>
    <w:p w14:paraId="12C802DD" w14:textId="39146807" w:rsidR="00255F03" w:rsidRPr="00424CB6" w:rsidRDefault="00255F03" w:rsidP="00424CB6">
      <w:pPr>
        <w:autoSpaceDE w:val="0"/>
        <w:autoSpaceDN w:val="0"/>
        <w:adjustRightInd w:val="0"/>
        <w:spacing w:line="293" w:lineRule="auto"/>
        <w:ind w:left="1134" w:hanging="283"/>
        <w:jc w:val="both"/>
        <w:rPr>
          <w:rFonts w:cs="ArialMT"/>
          <w:i/>
          <w:iCs/>
          <w:szCs w:val="17"/>
          <w:lang w:val="nl-NL"/>
          <w14:ligatures w14:val="standardContextual"/>
        </w:rPr>
      </w:pPr>
      <w:r w:rsidRPr="00424CB6">
        <w:rPr>
          <w:rFonts w:cs="ArialMT"/>
          <w:i/>
          <w:iCs/>
          <w:szCs w:val="17"/>
          <w:lang w:val="nl-NL"/>
          <w14:ligatures w14:val="standardContextual"/>
        </w:rPr>
        <w:lastRenderedPageBreak/>
        <w:t xml:space="preserve">c. </w:t>
      </w:r>
      <w:r w:rsidR="00D0601C" w:rsidRPr="00424CB6">
        <w:rPr>
          <w:rFonts w:cs="ArialMT"/>
          <w:i/>
          <w:iCs/>
          <w:szCs w:val="17"/>
          <w:lang w:val="nl-NL"/>
          <w14:ligatures w14:val="standardContextual"/>
        </w:rPr>
        <w:tab/>
      </w:r>
      <w:r w:rsidRPr="00424CB6">
        <w:rPr>
          <w:rFonts w:cs="ArialMT"/>
          <w:i/>
          <w:iCs/>
          <w:szCs w:val="17"/>
          <w:lang w:val="nl-NL"/>
          <w14:ligatures w14:val="standardContextual"/>
        </w:rPr>
        <w:t>de Akte van Wijziging II, waarin onder meer het volgende voorkomt, woordelijk</w:t>
      </w:r>
      <w:r w:rsidR="00D0601C" w:rsidRPr="00424CB6">
        <w:rPr>
          <w:rFonts w:cs="ArialMT"/>
          <w:i/>
          <w:iCs/>
          <w:szCs w:val="17"/>
          <w:lang w:val="nl-NL"/>
          <w14:ligatures w14:val="standardContextual"/>
        </w:rPr>
        <w:t xml:space="preserve"> </w:t>
      </w:r>
      <w:r w:rsidRPr="00424CB6">
        <w:rPr>
          <w:rFonts w:cs="ArialMT"/>
          <w:i/>
          <w:iCs/>
          <w:szCs w:val="17"/>
          <w:lang w:val="nl-NL"/>
          <w14:ligatures w14:val="standardContextual"/>
        </w:rPr>
        <w:t>luidende:</w:t>
      </w:r>
    </w:p>
    <w:p w14:paraId="1E22A0BE" w14:textId="77777777" w:rsidR="00255F03" w:rsidRPr="00424CB6" w:rsidRDefault="00255F03"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MT"/>
          <w:i/>
          <w:iCs/>
          <w:szCs w:val="17"/>
          <w:lang w:val="nl-NL"/>
          <w14:ligatures w14:val="standardContextual"/>
        </w:rPr>
        <w:t xml:space="preserve">" </w:t>
      </w:r>
      <w:r w:rsidRPr="00424CB6">
        <w:rPr>
          <w:rFonts w:cs="Arial-BoldItalicMT"/>
          <w:b/>
          <w:bCs/>
          <w:i/>
          <w:iCs/>
          <w:szCs w:val="17"/>
          <w:lang w:val="nl-NL"/>
          <w14:ligatures w14:val="standardContextual"/>
        </w:rPr>
        <w:t>4. Correctie duur erfpachtrechten</w:t>
      </w:r>
    </w:p>
    <w:p w14:paraId="535DBA56" w14:textId="636BDFDD"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dat partijen in de genoemde akte van vestiging van het erfpachtrecht gedateerd</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achtentwintig mei tweeduizend vier de duur van het erfpachtrecht hebben vastgesteld</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zoals dat bij die akte bepaald is en in de genoemde akte van dertig mei tweeduizend</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drie voor een periode van vijftig jaren, hetgeen vervolgens abusievelijk is</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weergegeven met de datum van dertig april tweeduizend achtenvijftig.</w:t>
      </w:r>
    </w:p>
    <w:p w14:paraId="1E7969BE" w14:textId="7E94B46A"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 comparanten, handelend als gemeld, verklaarden dat de duur van de hiervoor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genoemde akten en de bij deze akte gevestigde erfpachtrechten te zijn aangegaan voor een periode van vijftig jaren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ingaande achtentwintig mei tweeduizend vier 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derhalve eindigende met achtentwintig mei tweeduizend vierenvijftig.</w:t>
      </w:r>
    </w:p>
    <w:p w14:paraId="32DA6C79" w14:textId="77777777" w:rsidR="00255F03" w:rsidRPr="00424CB6" w:rsidRDefault="00255F03"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5. aanvulling erfpachtvoorwaarden</w:t>
      </w:r>
    </w:p>
    <w:p w14:paraId="00803E9E" w14:textId="77777777"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dat partijen nader zijn overeengekomen om:</w:t>
      </w:r>
    </w:p>
    <w:p w14:paraId="33ED9C19" w14:textId="7CBBA12F"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aan de bestaande erfpachtvoorwaarden het volgende kettingboetebeding toe te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voegen:</w:t>
      </w:r>
    </w:p>
    <w:p w14:paraId="3D8A4080" w14:textId="77777777" w:rsidR="00255F03" w:rsidRPr="00424CB6" w:rsidRDefault="00255F03"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Kettingboetebeding openbaarheid Golfbaan</w:t>
      </w:r>
    </w:p>
    <w:p w14:paraId="2BA67866" w14:textId="3CF21334"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 gemeente Naarden en Naarderbos Ontwikkeling B.V., voornoemd, zijn het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navolgende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overeengekomen in verband met de wens van de Gemeente Naarden het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openbare karakter van de na te melden percelen te behouden.</w:t>
      </w:r>
    </w:p>
    <w:p w14:paraId="2C65A458" w14:textId="604C2CA9"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Erfpachter verplicht zich hierbij jegens de erfverpachter, die zulks aanvaardt:</w:t>
      </w:r>
    </w:p>
    <w:p w14:paraId="3F19554C" w14:textId="558806E0"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a.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wandelpaden die zijn of zullen worden aangelegd op de percelen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kadastraal bekend als gemeente Naarden sectie A nummers 2183, 2184,</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2185, 2186 en 2187, zoals die bij deze akte of bij vermelde akten van dertig</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mei tweeduizend drie en acht en twintig mei tweeduizend vier betrokken zijn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bij het recht van erfpacht, én bedoelde percelen, niet af te sluiten voor het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publiek, zulks onverminderd het recht van de gerechtigde tot de op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vorenbedoelde percelen gesitueerde dan wel te situeren opstallen, die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opstallen te omheinen ten behoeve van inbraakpreventie en veiligheid;</w:t>
      </w:r>
    </w:p>
    <w:p w14:paraId="1C15A8F4" w14:textId="2162AB82"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b.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het gebruik van de op de onder a) bedoelde percelen aangelegde dan wel</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 te leggen golfbaan niet afhankelijk te stellen van het lidmaatschap van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enige vereniging; en</w:t>
      </w:r>
    </w:p>
    <w:p w14:paraId="300EF5F1" w14:textId="28BADEB4" w:rsidR="00255F03" w:rsidRPr="00424CB6" w:rsidRDefault="00255F03" w:rsidP="00424CB6">
      <w:pPr>
        <w:autoSpaceDE w:val="0"/>
        <w:autoSpaceDN w:val="0"/>
        <w:adjustRightInd w:val="0"/>
        <w:spacing w:line="293" w:lineRule="auto"/>
        <w:ind w:left="1701"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c.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geen exclusief persoonlijk gebruiksrecht te verlenen ten aanzien van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 b) bedoelde golfbaan.</w:t>
      </w:r>
    </w:p>
    <w:p w14:paraId="3E031686" w14:textId="00002F68"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Bij niet-nakoming van enige verplichting hiervoor onder 1) vermeld, is de partij die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niet nakomt, na schriftelijke ingebrekestelling doch zonder rechterlijke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tussenkomst, na verloop van de in de ingebrekestelling gestelde termijn die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minimaal twee (2) maanden zal bedragen, ten behoeve van de erfverpachter een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gefixeerde schadevergoeding verschuldigd ad veertigduizend euro (EUR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40.000,00) te verhogen met een bedrag van éénduizend euro (EUR 1.000,00)</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elke dag dat de overtreding na bedoelde termijn voortduurt, zulks</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onverminderd het recht van de erfverpachter nakoming te vorderen.</w:t>
      </w:r>
    </w:p>
    <w:p w14:paraId="26FCDF4C" w14:textId="0064C685"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3)</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onder 1) tot en met 2) vermelde bepalingen/verplichtingen, alsmede deze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bepaling/verplichting dienen bij elke gehele of gedeeltelijke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vervreemding/overdracht van zakelijke (gebruiks)rechten op de onder 1)a)</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bedoelde percelen, alsmede bij verlening van een beperkt zakelijk (gebruiks)recht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de onder 1)a) bedoelde percelen, in de akte van vervreemding of van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vestiging aan de nieuwe beperkt zakelijk gerechtigde te worden opgelegd, ten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behoeve van de erfverpachter te worden bedongen en aangenomen 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woordelijk worden opgenomen, zulks op verbeurte door de erfpachter dan wel</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iedere opvolgende beperkt zakelijk gerechtigde die verzuimt op te leggen, te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bedingen, aan te nemen of te doen opnemen, van een onmiddellijk opeisbare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boete van veertigduizend euro (EUR 40.000,00) ten behoeve van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zulks onverminderd het recht van de erfverpachter nakoming te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vorderen.</w:t>
      </w:r>
    </w:p>
    <w:p w14:paraId="4E0F3821" w14:textId="77777777" w:rsidR="00255F03" w:rsidRPr="00424CB6" w:rsidRDefault="00255F03"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Zelfstandig recht van opstal</w:t>
      </w:r>
    </w:p>
    <w:p w14:paraId="1FA5DCC6" w14:textId="3B5F590E"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De aan de in de genoemde akten van vestiging van recht van erfpacht gedateerd dertig mei tweeduizend drie en achtentwintig mei tweeduizend vier gekoppelde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rechten van opstal in die zin te wijzigen dat de rechten van opstal voor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hiervoor aangegeven duur van de erfpacht zelfstandige rechten van opstal zijn tot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stellen en in eigendom hebben en houden van opstallen op het hiervoor</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aangeduid erfpachtterrein, zullende deze bestaan uit onder meer een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multifunctioneel gebouw met restaurant en verblijfsruimten, clubhuizen cum</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annexis, </w:t>
      </w:r>
      <w:r w:rsidRPr="00424CB6">
        <w:rPr>
          <w:rFonts w:cs="Arial-ItalicMT"/>
          <w:i/>
          <w:iCs/>
          <w:szCs w:val="17"/>
          <w:lang w:val="nl-NL"/>
          <w14:ligatures w14:val="standardContextual"/>
        </w:rPr>
        <w:lastRenderedPageBreak/>
        <w:t>(dienst)woningen, machineloodsen, kiosken, overdekte en nietoverdekte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afslagplaatsen, schuilhutten, beregeninstallatie, drainagesysteem,</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duikers, bruggen, gas-, water-, electra- en communicatieleidingen, buizen 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rioleringswerken voor de afvoer van hemelwater, gootwater en fecaliën, trafo's,</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waterdoorlaten en hekwerken, toegangswegen en niet openbare parkeerplaatsen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alsmede openbare parkeerplaatsen voor zover betaald afsluitbaar door middel</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afsluitbomen, alsmede een gebouw ten behoeve van de reddingsbrigade,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vogelhutten, klimwanden, educatief paviljoen, toiletgebouwen en overige werken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opstallen, welke werken en opstallen voor rekening en risico van de zakelijke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gerechtigde zijn of worden aangelegd dan wel gebouwd; in deze vestiging van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recht van erfpacht is vorenbedoelde verlening van het recht van opstal</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besloten.</w:t>
      </w:r>
    </w:p>
    <w:p w14:paraId="496E232F" w14:textId="7C4FE1A1" w:rsidR="00255F03" w:rsidRPr="00424CB6" w:rsidRDefault="00255F03"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0601C" w:rsidRPr="00424CB6">
        <w:rPr>
          <w:rFonts w:cs="Arial-ItalicMT"/>
          <w:i/>
          <w:iCs/>
          <w:szCs w:val="17"/>
          <w:lang w:val="nl-NL"/>
          <w14:ligatures w14:val="standardContextual"/>
        </w:rPr>
        <w:tab/>
      </w:r>
      <w:r w:rsidRPr="00424CB6">
        <w:rPr>
          <w:rFonts w:cs="Arial-ItalicMT"/>
          <w:i/>
          <w:iCs/>
          <w:szCs w:val="17"/>
          <w:lang w:val="nl-NL"/>
          <w14:ligatures w14:val="standardContextual"/>
        </w:rPr>
        <w:t>Artikel 9 eerste lid sub a van de erfpachtvoorwaarden te wijzigen als volgt: "het</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erfpacht, waaronder begrepen het opstalrecht, over te dragen, indien</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door een wijziging in de zeggenschap casu quo controle over Naarderbos</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Ontwikkeling B.V. direct of indirect door aandelenoverdracht of anderszins, de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zeggenschap casu quo de controle overgaat in handen van derden. In alle</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andere gevallen het recht van erfpacht, waaronder begrepen het opstalrecht, of</w:t>
      </w:r>
      <w:r w:rsidR="00D0601C"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enig deel daarvan over te dragen aan derden".</w:t>
      </w:r>
    </w:p>
    <w:p w14:paraId="741C0319" w14:textId="13B9A854" w:rsidR="00255F03" w:rsidRPr="00424CB6" w:rsidRDefault="00255F03"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Voor het overige blijven de erfpachtvoorwaarden en bepalingen als opgenomen in de</w:t>
      </w:r>
      <w:r w:rsidR="000E286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voornoemde akten van vestiging gedateerd dertig mei tweeduizend drie en</w:t>
      </w:r>
      <w:r w:rsidR="000E286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achtentwintig mei tweeduizend vier van volle kracht en waarde en worden geacht</w:t>
      </w:r>
      <w:r w:rsidR="000E286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woordelijk in deze akte te zijn opgenomen.</w:t>
      </w:r>
    </w:p>
    <w:p w14:paraId="796869DC" w14:textId="4AC10FFF" w:rsidR="00255F03" w:rsidRPr="00424CB6" w:rsidRDefault="00255F03" w:rsidP="00424CB6">
      <w:pPr>
        <w:autoSpaceDE w:val="0"/>
        <w:autoSpaceDN w:val="0"/>
        <w:adjustRightInd w:val="0"/>
        <w:spacing w:line="293" w:lineRule="auto"/>
        <w:ind w:left="1134"/>
        <w:jc w:val="both"/>
        <w:rPr>
          <w:rFonts w:cs="ArialMT"/>
          <w:i/>
          <w:iCs/>
          <w:szCs w:val="17"/>
          <w:lang w:val="nl-NL"/>
          <w14:ligatures w14:val="standardContextual"/>
        </w:rPr>
      </w:pPr>
      <w:r w:rsidRPr="00424CB6">
        <w:rPr>
          <w:rFonts w:cs="Arial-ItalicMT"/>
          <w:i/>
          <w:iCs/>
          <w:szCs w:val="17"/>
          <w:lang w:val="nl-NL"/>
          <w14:ligatures w14:val="standardContextual"/>
        </w:rPr>
        <w:t>De comparanten, handelend als gemeld en ieder voor zich, verklaarden de rechten en</w:t>
      </w:r>
      <w:r w:rsidR="000E286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uit de vorenstaande wijzigingen aan de wederpartij op te leggen en te</w:t>
      </w:r>
      <w:r w:rsidR="000E286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aanvaarden.</w:t>
      </w:r>
      <w:r w:rsidRPr="00424CB6">
        <w:rPr>
          <w:rFonts w:cs="ArialMT"/>
          <w:i/>
          <w:iCs/>
          <w:szCs w:val="17"/>
          <w:lang w:val="nl-NL"/>
          <w14:ligatures w14:val="standardContextual"/>
        </w:rPr>
        <w:t>".</w:t>
      </w:r>
    </w:p>
    <w:p w14:paraId="3C977729" w14:textId="1165A023" w:rsidR="00903313" w:rsidRPr="00424CB6" w:rsidRDefault="00903313" w:rsidP="00424CB6">
      <w:pPr>
        <w:autoSpaceDE w:val="0"/>
        <w:autoSpaceDN w:val="0"/>
        <w:adjustRightInd w:val="0"/>
        <w:spacing w:line="293" w:lineRule="auto"/>
        <w:ind w:left="567"/>
        <w:jc w:val="both"/>
        <w:rPr>
          <w:rFonts w:cs="Arial-ItalicMT"/>
          <w:szCs w:val="17"/>
          <w:u w:val="single"/>
          <w:lang w:val="nl-NL"/>
          <w14:ligatures w14:val="standardContextual"/>
        </w:rPr>
      </w:pPr>
      <w:r w:rsidRPr="00424CB6">
        <w:rPr>
          <w:rFonts w:cs="Arial-ItalicMT"/>
          <w:szCs w:val="17"/>
          <w:highlight w:val="darkGray"/>
          <w:u w:val="single"/>
          <w:lang w:val="nl-NL"/>
          <w14:ligatures w14:val="standardContextual"/>
        </w:rPr>
        <w:t xml:space="preserve">Voor wat betreft de </w:t>
      </w:r>
      <w:r w:rsidRPr="00424CB6">
        <w:rPr>
          <w:rFonts w:cs="Arial-ItalicMT"/>
          <w:b/>
          <w:bCs/>
          <w:szCs w:val="17"/>
          <w:highlight w:val="darkGray"/>
          <w:u w:val="single"/>
          <w:lang w:val="nl-NL"/>
          <w14:ligatures w14:val="standardContextual"/>
        </w:rPr>
        <w:t>Percelen Afvalzorg</w:t>
      </w:r>
      <w:r w:rsidRPr="00424CB6">
        <w:rPr>
          <w:rFonts w:cs="Arial-ItalicMT"/>
          <w:szCs w:val="17"/>
          <w:highlight w:val="darkGray"/>
          <w:u w:val="single"/>
          <w:lang w:val="nl-NL"/>
          <w14:ligatures w14:val="standardContextual"/>
        </w:rPr>
        <w:t>:</w:t>
      </w:r>
    </w:p>
    <w:p w14:paraId="6C0D40E2" w14:textId="62F202F5" w:rsidR="00EA5D69" w:rsidRPr="00424CB6" w:rsidRDefault="00EA5D69" w:rsidP="00424CB6">
      <w:pPr>
        <w:autoSpaceDE w:val="0"/>
        <w:autoSpaceDN w:val="0"/>
        <w:adjustRightInd w:val="0"/>
        <w:spacing w:line="293" w:lineRule="auto"/>
        <w:ind w:left="851"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B84008" w:rsidRPr="00424CB6">
        <w:rPr>
          <w:rFonts w:cs="Arial-ItalicMT"/>
          <w:i/>
          <w:iCs/>
          <w:szCs w:val="17"/>
          <w:lang w:val="nl-NL"/>
          <w14:ligatures w14:val="standardContextual"/>
        </w:rPr>
        <w:tab/>
      </w:r>
      <w:r w:rsidRPr="00424CB6">
        <w:rPr>
          <w:rFonts w:cs="Arial-ItalicMT"/>
          <w:i/>
          <w:iCs/>
          <w:szCs w:val="17"/>
          <w:lang w:val="nl-NL"/>
          <w14:ligatures w14:val="standardContextual"/>
        </w:rPr>
        <w:t>Voor bestaande erfdienstbaarheden, kwalitatieve verplichtingen en/of andere bijzondere</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met betrekking tot het perceel kadastraal bekend gemeente Naarden, sectie</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 nummer 2434 (deel uitmakend van het Verkochte ND II 1 en het Verkochte ND II 2)</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wordt verwezen naar de inschrijving in de Openbare Registers op zesentwintig maart</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tweeduizend dertien in register Hypotheken 4, deel 62718, nummer 3 van een afschrift van</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akte houdende vestiging recht van opstal op zesentwintig maart tweeduizend dertien</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verleden voor mr. G.H. Smith, notaris te Groningen, waarin onder meer het volgende</w:t>
      </w:r>
      <w:r w:rsidR="00B84008"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voorkomt, woordelijk luidende:</w:t>
      </w:r>
    </w:p>
    <w:p w14:paraId="537F1503" w14:textId="77777777" w:rsidR="00EA5D69" w:rsidRPr="00424CB6" w:rsidRDefault="00EA5D69" w:rsidP="00424CB6">
      <w:pPr>
        <w:autoSpaceDE w:val="0"/>
        <w:autoSpaceDN w:val="0"/>
        <w:adjustRightInd w:val="0"/>
        <w:spacing w:line="293" w:lineRule="auto"/>
        <w:ind w:left="851"/>
        <w:jc w:val="both"/>
        <w:rPr>
          <w:rFonts w:cs="Arial-ItalicMT"/>
          <w:b/>
          <w:bCs/>
          <w:i/>
          <w:iCs/>
          <w:szCs w:val="17"/>
          <w:lang w:val="nl-NL"/>
          <w14:ligatures w14:val="standardContextual"/>
        </w:rPr>
      </w:pPr>
      <w:r w:rsidRPr="00424CB6">
        <w:rPr>
          <w:rFonts w:cs="Arial-ItalicMT"/>
          <w:i/>
          <w:iCs/>
          <w:szCs w:val="17"/>
          <w:lang w:val="nl-NL"/>
          <w14:ligatures w14:val="standardContextual"/>
        </w:rPr>
        <w:t>"</w:t>
      </w:r>
      <w:r w:rsidRPr="00424CB6">
        <w:rPr>
          <w:rFonts w:cs="Arial-ItalicMT"/>
          <w:b/>
          <w:bCs/>
          <w:i/>
          <w:iCs/>
          <w:szCs w:val="17"/>
          <w:lang w:val="nl-NL"/>
          <w14:ligatures w14:val="standardContextual"/>
        </w:rPr>
        <w:t>BEPALINGEN:</w:t>
      </w:r>
    </w:p>
    <w:p w14:paraId="4D55F81E" w14:textId="77777777" w:rsidR="00EA5D69" w:rsidRPr="00424CB6" w:rsidRDefault="00EA5D69" w:rsidP="00424CB6">
      <w:pPr>
        <w:autoSpaceDE w:val="0"/>
        <w:autoSpaceDN w:val="0"/>
        <w:adjustRightInd w:val="0"/>
        <w:spacing w:line="293" w:lineRule="auto"/>
        <w:ind w:left="851"/>
        <w:jc w:val="both"/>
        <w:rPr>
          <w:rFonts w:cs="Arial-ItalicMT"/>
          <w:b/>
          <w:bCs/>
          <w:i/>
          <w:iCs/>
          <w:szCs w:val="17"/>
          <w:lang w:val="nl-NL"/>
          <w14:ligatures w14:val="standardContextual"/>
        </w:rPr>
      </w:pPr>
      <w:r w:rsidRPr="00424CB6">
        <w:rPr>
          <w:rFonts w:cs="Arial-ItalicMT"/>
          <w:b/>
          <w:bCs/>
          <w:i/>
          <w:iCs/>
          <w:szCs w:val="17"/>
          <w:lang w:val="nl-NL"/>
          <w14:ligatures w14:val="standardContextual"/>
        </w:rPr>
        <w:t>Artikel 1</w:t>
      </w:r>
    </w:p>
    <w:p w14:paraId="3196B5A1" w14:textId="3FC4BBF0"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Deze overeenkomst is aangegaan onder de "Algemene Voorwaarden betreffende aanleg</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instandhouding van Leidingen 1995", hierna te noemen: "A.V.L. 1995", als vastgesteld</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bij akte vijfentwintig april negentienhonderd vijf en negentig, verleden voor mr. J.J.M.M.</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Ridderhof, notaris met plaats van vestiging Epe, van welke akte een afschrift is</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ingeschreven bij alle kantoren van de Dienst van het Kadaster en de Openbare Registers in Nederland, van welke A.V.L. 1995 de grondeigenaar een exemplaar, blijkens</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ondertekening van een dubbel heeft ontvangen en waarop hij heeft verklaard de inhoud</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A.V.L. 1995 te kennen en met die inhoud akkoord te gaan, welk dubbel hij na</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ondertekening aan Gasunie heeft teruggegeven.</w:t>
      </w:r>
    </w:p>
    <w:p w14:paraId="7DC2B8DA"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2</w:t>
      </w:r>
    </w:p>
    <w:p w14:paraId="2DB8B0FE" w14:textId="43914E0C"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Grondeigenaar informeert Gasunie over hem bekende feiten die erop wijzen dat de grond</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waarop het recht van opstal zal worden gevestigd enige verontreiniging of belemmering</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bevat, die ten nadele strekt of stoornis kan veroorzaken in het gebruik door Gasunie als</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voormeld.</w:t>
      </w:r>
    </w:p>
    <w:p w14:paraId="216AC210"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3</w:t>
      </w:r>
    </w:p>
    <w:p w14:paraId="7C196FBD" w14:textId="21160972"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 breedte van de strook, bedoeld in artikel IV van de A.V.L. 1995, bedraagt vijf meter</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 weerszijden van de hartlijn van de leiding.</w:t>
      </w:r>
    </w:p>
    <w:p w14:paraId="76E09513" w14:textId="77777777"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BoldItalicMT"/>
          <w:b/>
          <w:bCs/>
          <w:i/>
          <w:iCs/>
          <w:szCs w:val="17"/>
          <w:lang w:val="nl-NL"/>
          <w14:ligatures w14:val="standardContextual"/>
        </w:rPr>
        <w:t xml:space="preserve">Artikel 4 </w:t>
      </w:r>
      <w:r w:rsidRPr="00424CB6">
        <w:rPr>
          <w:rFonts w:cs="Arial-ItalicMT"/>
          <w:i/>
          <w:iCs/>
          <w:szCs w:val="17"/>
          <w:lang w:val="nl-NL"/>
          <w14:ligatures w14:val="standardContextual"/>
        </w:rPr>
        <w:t>enzovoorts.</w:t>
      </w:r>
    </w:p>
    <w:p w14:paraId="20C3FE01"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7</w:t>
      </w:r>
    </w:p>
    <w:p w14:paraId="3336C281" w14:textId="463970D9"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Grondeigenaar verleent onherroepelijke volmacht met de bevoegdheid tot substitutie aan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Gasunie om voor en namens grondeigenaar voormeld recht van opstal te vestigen bij</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notariële akte en die akte te ondertekenen en al datgene te doen en te laten verrichten,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wat terzake vereist mocht zijn. Deze volmacht zal niet eindigen door het overlijden van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grondeigenaar en evenmin bij zijn ondercuratelestelling.</w:t>
      </w:r>
    </w:p>
    <w:p w14:paraId="56D0AFE5"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8</w:t>
      </w:r>
    </w:p>
    <w:p w14:paraId="45073A95" w14:textId="3DE76418"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De kosten van deze overeenkomst, de akte van vestiging, de inschrijving in de openbare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registers en de verschuldigde overdrachtsbelasting en/of belasting toegevoegde waarde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de vestiging vallende, zullen door Gasunie worden gedragen.</w:t>
      </w:r>
    </w:p>
    <w:p w14:paraId="415F3913"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9</w:t>
      </w:r>
    </w:p>
    <w:p w14:paraId="30FE68DE" w14:textId="5DC08AFE"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Behoudens de vergoeding als hiervoor vermeld en de schadevergoedingen welke uit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hoofde van de A.V.L. 1995 zijn ontstaan of nog zullen ontstaan is Gasunie geen retributie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verschuldigd.</w:t>
      </w:r>
    </w:p>
    <w:p w14:paraId="2B09CA2B"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10</w:t>
      </w:r>
    </w:p>
    <w:p w14:paraId="040F735A" w14:textId="189C4EC6"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Het recht wordt gevestigd voor onbepaalde tijd. Grondeigenaar kan van zijn zijde het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opstal niet opzeggen.</w:t>
      </w:r>
    </w:p>
    <w:p w14:paraId="402E5EFD" w14:textId="345F7A85"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Uitsluitend Gasunie zal het bedongen recht van opstal en annexe rechten 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kunnen beëindigen, hetzij algeheel, hetzij ten aanzien van één of meer</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gedeelten van het werk ten behoeve waarvan het recht van opstal zal worden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gevestigd en wel te allen tijde, door opzegging met inachtneming van een termijn van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één jaar, middels een exploit als bedoeld in artikel 88 boek 5 van het Burgerlijk</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Wetboek, tenzij grondeigenaar schriftelijk verklaart van de wens tot beëindiging van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recht van opstal te hebben kennisgenomen, daarmee akkoord te gaan en afstand</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het recht van opstal door Gasunie te aanvaarden.</w:t>
      </w:r>
    </w:p>
    <w:p w14:paraId="11C8DC2F" w14:textId="384D6550"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Grondeigenaar verleent, voor zoveel nodig, aan Gasunie onherroepelijke volmacht,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ook in andere gevallen van het tenietgaan van het recht van opstal, daarvan in de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openbare registers te doen blijken middels inschrijving van notariële akte(n) en/of</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verklaring(en), namens grondeigenaar vanwege Gasunie ondertekend, welke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volmacht niet zal eindigen door het overlijden van de grondeigenaar dan wel zijn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ondercuratelestelling.</w:t>
      </w:r>
    </w:p>
    <w:p w14:paraId="61B3A77A"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11</w:t>
      </w:r>
    </w:p>
    <w:p w14:paraId="25B8A0C4" w14:textId="77777777" w:rsidR="00EF1191"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Grondeigenaar behoudt het volledige genot van de desbetreffende grond, voor zover hij</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dit niet aan derden heeft verleend, en voor zover een en ander niet strijdig is met het aan Gasunie verleende recht van opstal en annexe rechten.</w:t>
      </w:r>
      <w:r w:rsidR="00EF1191" w:rsidRPr="00424CB6">
        <w:rPr>
          <w:rFonts w:cs="Arial-ItalicMT"/>
          <w:i/>
          <w:iCs/>
          <w:szCs w:val="17"/>
          <w:lang w:val="nl-NL"/>
          <w14:ligatures w14:val="standardContextual"/>
        </w:rPr>
        <w:t xml:space="preserve"> </w:t>
      </w:r>
    </w:p>
    <w:p w14:paraId="6A5D0D3D" w14:textId="3151AF23"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Met betrekking tot het bijbehoren als omschreven in de A.V.L. 1995 zal Gasunie zich</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beperken tot die bijbehoren, die voor de veiligheid en de instandhouding van het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gastransport noodzakelijk zijn.</w:t>
      </w:r>
    </w:p>
    <w:p w14:paraId="0ED1D87F"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12</w:t>
      </w:r>
    </w:p>
    <w:p w14:paraId="0A4B2D7A" w14:textId="3A590BE3"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Als kwalitatieve verplichting als bedoeld in artikel 252 boek 6 van het Burgerlijk Wetboek</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wordt door Gasunie, die ter zake van deze verplichting domicilie kiest te harer voormelde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woonplaats, bedongen van grondeigenaar, ten laste van het registergoed waarop het recht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opstal rust en ten behoeve van Gasunie het verbod om: op, in of boven de beschreven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strook grond bouwwerken op te richten, goederen, waaronder begrepen afvalstoffen op te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slaan, gesloten wegdek aan te brengen, ontgrondingen te verrichten, rioleringen dan wel</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leidingen of kabels aan te brengen, bomen of diepwortelende struiken te planten dan wel</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voorwerpen de grond in te drijven, of aan een derde toestemming tot zulk een handeling te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verlenen, zonder schriftelijke toestemming van Gasunie, die nimmer op onredelijke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gronden zal weigeren medewerking te verlenen.</w:t>
      </w:r>
    </w:p>
    <w:p w14:paraId="011C5360"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13</w:t>
      </w:r>
    </w:p>
    <w:p w14:paraId="33745B32" w14:textId="1D12B49C"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1</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Gasunie zal het recht van opstal en al haar annexe rechten en verplichtingen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voortvloeiende uit deze overeenkomst, de akte van vestiging en de A.V.L. 1995</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kunnen overdragen aan een derde.</w:t>
      </w:r>
    </w:p>
    <w:p w14:paraId="2A0297EA" w14:textId="7C1B6EE8"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Grondeigenaar verklaart ter zake van die verplichtingen reeds nu voor als dan bij</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voorbaat zijn toestemming daartoe te verlenen.</w:t>
      </w:r>
    </w:p>
    <w:p w14:paraId="2D8D2740" w14:textId="71EB4F28"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De overgang van die verplichtingen zal eerst jegens grondeigenaar werken indien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Gasunie en de betreffende derde daarvan schriftelijk kennis hebben gegeven aan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grondeigenaar.</w:t>
      </w:r>
    </w:p>
    <w:p w14:paraId="1B2786E3"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14</w:t>
      </w:r>
    </w:p>
    <w:p w14:paraId="5D868AC7" w14:textId="23374F00"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Binnen vijf jaar nadat het werk geheel of gedeeltelijk buiten gebruik is gesteld, zal</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Gasunie het werk geheel of gedeeltelijk verwijderen. Gasunie verplicht zich om het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betrokken gedeelte van de grond weer in een zo goed mogelijke staat te brengen 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 eventuele schade in overeenstemming met artikel VI lid 1 van de A.V.L. 1995 te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vergoeden. Het recht van opstal zal worden doorgehaald, echter niet eerder dan nadat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grond in goede staat en schoon is opgeleverd.</w:t>
      </w:r>
    </w:p>
    <w:p w14:paraId="12F1FD26" w14:textId="0F9BC243"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Indien grondeigenaar er de voorkeur aan geeft dat het buiten gebruik gestelde werk</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ter plaatse gelaten wordt en Gasunie stemt hiermee in, blijft de overeenkomst in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stand.</w:t>
      </w:r>
    </w:p>
    <w:p w14:paraId="409605A5" w14:textId="3087E457"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3.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Als grondeigenaar, onder welke titel ook, alsnog verwijdering verlangt omdat</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grondeigenaar voldoende aannemelijk maakt dat het buiten gebruik gestelde werk een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belemmering vormt, zal Gasunie in overleg met deze grondeigenaar het werk</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verwijderen conform het gestelde in het eerste lid.</w:t>
      </w:r>
    </w:p>
    <w:p w14:paraId="3EEA3525" w14:textId="6085F3CB"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EF1191" w:rsidRPr="00424CB6">
        <w:rPr>
          <w:rFonts w:cs="Arial-ItalicMT"/>
          <w:i/>
          <w:iCs/>
          <w:szCs w:val="17"/>
          <w:lang w:val="nl-NL"/>
          <w14:ligatures w14:val="standardContextual"/>
        </w:rPr>
        <w:tab/>
      </w:r>
      <w:r w:rsidRPr="00424CB6">
        <w:rPr>
          <w:rFonts w:cs="Arial-ItalicMT"/>
          <w:i/>
          <w:iCs/>
          <w:szCs w:val="17"/>
          <w:lang w:val="nl-NL"/>
          <w14:ligatures w14:val="standardContextual"/>
        </w:rPr>
        <w:t>Bij gebrek aan overeenstemming tussen Gasunie en grondeigenaar over de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verwijdering of schade wordt verwezen naar artikel VIII van de A.V.L. 1995.</w:t>
      </w:r>
    </w:p>
    <w:p w14:paraId="3A05B425"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LEVERING EN AANVAARDING RECHT VAN OPSTAL</w:t>
      </w:r>
    </w:p>
    <w:p w14:paraId="31AFB085" w14:textId="3744B2B7"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Ter uitvoering van het vorenstaande verklaarde de comparante, handelend als gemeld,</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namens grondeigenaar te verlenen aan en te vestigen ten behoeve van Gasunie, terwijl zij,</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handelend als gemeld, namens Gasunie verklaarde aan te nemen:</w:t>
      </w:r>
    </w:p>
    <w:p w14:paraId="5A2564EE" w14:textId="1BE1794E"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MT"/>
          <w:i/>
          <w:iCs/>
          <w:szCs w:val="17"/>
          <w:lang w:val="nl-NL"/>
          <w14:ligatures w14:val="standardContextual"/>
        </w:rPr>
        <w:t xml:space="preserve">- </w:t>
      </w:r>
      <w:r w:rsidR="00EF1191" w:rsidRPr="00424CB6">
        <w:rPr>
          <w:rFonts w:cs="ArialMT"/>
          <w:i/>
          <w:iCs/>
          <w:szCs w:val="17"/>
          <w:lang w:val="nl-NL"/>
          <w14:ligatures w14:val="standardContextual"/>
        </w:rPr>
        <w:tab/>
      </w:r>
      <w:r w:rsidRPr="00424CB6">
        <w:rPr>
          <w:rFonts w:cs="Arial-ItalicMT"/>
          <w:i/>
          <w:iCs/>
          <w:szCs w:val="17"/>
          <w:lang w:val="nl-NL"/>
          <w14:ligatures w14:val="standardContextual"/>
        </w:rPr>
        <w:t>het recht van opstal, inhoudende het recht tot het aanleggen, in eigendom hebben,</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gebruiken en instandhouden van gastransportleiding(en) met eventueel bijbehoren op,</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en boven de grond van de grondeigenaar, welke grond hiervoor ook kadastraal is omschreven, op welk recht van opstal van toepassing zijn voormelde bepalingen en de</w:t>
      </w:r>
      <w:r w:rsidR="00EF119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A.V.L. 1995.</w:t>
      </w:r>
    </w:p>
    <w:p w14:paraId="679DED47"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KWIJTING</w:t>
      </w:r>
    </w:p>
    <w:p w14:paraId="38EB0BB8" w14:textId="2B8C5FAE"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 comparante, handelende als gemeld, verklaarde namens grondeigenaar aan Gasunie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kwijting te verlenen voor bovenvermelde vergoeding.</w:t>
      </w:r>
    </w:p>
    <w:p w14:paraId="2C2D55E1"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VERKLARING INZAKE GEDEELTELIJKE-/GEHELE KADASTRALE PERCELEN</w:t>
      </w:r>
    </w:p>
    <w:p w14:paraId="64AEE303" w14:textId="4C664624"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Voor zover de registergoederen hiervoor zijn omschreven als een gedeelte van een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kadastraal perceel wordt steeds bedoeld het gehele perceelsgedeelte dat ten name van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betreffende grondeigenaar staat, tenzij ter plaatse uitdrukkelijk anders is vermeld.</w:t>
      </w:r>
    </w:p>
    <w:p w14:paraId="7233FC1C" w14:textId="5E52E14A"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 verlening van voormelde rechten van opstal geschiedt met eerbiediging door Gasunie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eventueel eerder gevestigde beperkte en/of zakelijke rechten.</w:t>
      </w:r>
    </w:p>
    <w:p w14:paraId="4F5BB947"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CONSTATERING KWALITATIEVE VERPLICHTING</w:t>
      </w:r>
    </w:p>
    <w:p w14:paraId="06D40F95" w14:textId="62A132D9"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 comparante, handelend als gemeld, verklaarde voorts, dat de kwalitatieve verplichting</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als bedoeld in artikel 12 is aangegaan en verklaarde voorts –voor zover nodig- de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kwalitatieve verplichting als hiervoor gemeld bij deze te constateren.</w:t>
      </w:r>
      <w:r w:rsidRPr="00424CB6">
        <w:rPr>
          <w:rFonts w:cs="ArialMT"/>
          <w:i/>
          <w:iCs/>
          <w:szCs w:val="17"/>
          <w:lang w:val="nl-NL"/>
          <w14:ligatures w14:val="standardContextual"/>
        </w:rPr>
        <w:t>".</w:t>
      </w:r>
    </w:p>
    <w:p w14:paraId="7120E394" w14:textId="10630BAA" w:rsidR="00EA5D69" w:rsidRPr="00424CB6" w:rsidRDefault="00EA5D69"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3. </w:t>
      </w:r>
      <w:r w:rsidR="00574EF9" w:rsidRPr="00424CB6">
        <w:rPr>
          <w:rFonts w:cs="ArialMT"/>
          <w:i/>
          <w:iCs/>
          <w:szCs w:val="17"/>
          <w:lang w:val="nl-NL"/>
          <w14:ligatures w14:val="standardContextual"/>
        </w:rPr>
        <w:tab/>
      </w:r>
      <w:r w:rsidRPr="00424CB6">
        <w:rPr>
          <w:rFonts w:cs="ArialMT"/>
          <w:i/>
          <w:iCs/>
          <w:szCs w:val="17"/>
          <w:lang w:val="nl-NL"/>
          <w14:ligatures w14:val="standardContextual"/>
        </w:rPr>
        <w:t>Voor bestaande erfdienstbaarheden, kwalitatieve verplichtingen en/of andere bijzondere</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verplichtingen met betrekking tot het perceel kadastraal bekend gemeente Naarden, sectie</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A, nummer 2434 (deel uitmakend van het Verkochte ND II 1 en het Verkochte ND II 2)</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wordt verwezen naar de inschrijving in de Openbare Registers op drieëntwintig december</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tweeduizend dertien in register Hypotheken 4, deel 63726, nummer 145 van een afschrift</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van een akte houdende vestiging kwalitatieve verplichting op twintig december</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tweeduizend dertien verleden voor mr. A.J. Nielsen, notaris te Groningen, waarin onder</w:t>
      </w:r>
      <w:r w:rsidR="00574EF9" w:rsidRPr="00424CB6">
        <w:rPr>
          <w:rFonts w:cs="ArialMT"/>
          <w:i/>
          <w:iCs/>
          <w:szCs w:val="17"/>
          <w:lang w:val="nl-NL"/>
          <w14:ligatures w14:val="standardContextual"/>
        </w:rPr>
        <w:t xml:space="preserve"> </w:t>
      </w:r>
      <w:r w:rsidRPr="00424CB6">
        <w:rPr>
          <w:rFonts w:cs="ArialMT"/>
          <w:i/>
          <w:iCs/>
          <w:szCs w:val="17"/>
          <w:lang w:val="nl-NL"/>
          <w14:ligatures w14:val="standardContextual"/>
        </w:rPr>
        <w:t>meer het volgende voorkomt, woordelijk luidende:</w:t>
      </w:r>
    </w:p>
    <w:p w14:paraId="15C797A2"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OVEREENKOMST TOT HET AANGAAN VAN EEN KWALITATIEVE VERPLICHTING</w:t>
      </w:r>
    </w:p>
    <w:p w14:paraId="7E2855AF" w14:textId="22F1D561"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De comparanten, handelend als gemeld, verklaarden een schriftelijke overeenkomst tot het</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aangaan van een kwalitatieve verplichting te zijn aangegaan, welke overeenkomst op</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achttien maart tweeduizend dertien door partijen is ondertekend.</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voormelde overeenkomst staat woordelijk onder meer vermeld:</w:t>
      </w:r>
    </w:p>
    <w:p w14:paraId="6C6C20C5" w14:textId="6ADD4E9A"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574EF9" w:rsidRPr="00424CB6">
        <w:rPr>
          <w:rFonts w:cs="Arial-ItalicMT"/>
          <w:i/>
          <w:iCs/>
          <w:szCs w:val="17"/>
          <w:lang w:val="nl-NL"/>
          <w14:ligatures w14:val="standardContextual"/>
        </w:rPr>
        <w:tab/>
      </w:r>
      <w:r w:rsidRPr="00424CB6">
        <w:rPr>
          <w:rFonts w:cs="Arial-ItalicMT"/>
          <w:i/>
          <w:iCs/>
          <w:szCs w:val="17"/>
          <w:lang w:val="nl-NL"/>
          <w14:ligatures w14:val="standardContextual"/>
        </w:rPr>
        <w:t>Artikel 1.</w:t>
      </w:r>
    </w:p>
    <w:p w14:paraId="053EF353" w14:textId="4BBD8421"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Erfpachter verklaart in te stemmen met de uit de in de overweging vermelde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 voortvloeiende rechten en verplichtingen van Gasunie en verplicht zich</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tot naleving ervan, als ware hij grondeigenaar, onder voorwaarde dat de door</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te lijden schade, als bedoeld in de van deze overeenkomst deel</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uitmakende AVL 1995 aan hem zal worden vergoed.</w:t>
      </w:r>
    </w:p>
    <w:p w14:paraId="115D3889"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2. (geldt niet bij recht van gebruik en bewoning)</w:t>
      </w:r>
    </w:p>
    <w:p w14:paraId="1FFAC07C" w14:textId="21E0E4A5"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Erfpachter verplicht zich om niet tot gehele of gedeeltelijke vervreemding van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voormeld erfpachtrecht over te gaan, zonder:</w:t>
      </w:r>
    </w:p>
    <w:p w14:paraId="15D1AE3A" w14:textId="2419BB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 de betreffende rechtsopvolger kennis te geven van de in artikel 1 bedoelde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w:t>
      </w:r>
    </w:p>
    <w:p w14:paraId="5F2A464A" w14:textId="5F2CED50"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b. de verplichting tot naleving, als bedoeld in artikel 1 aan de betreffende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 op te leggen, en de naleving ervan voor Gasunie aan te nemen.</w:t>
      </w:r>
    </w:p>
    <w:p w14:paraId="73D76F5A"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3.</w:t>
      </w:r>
    </w:p>
    <w:p w14:paraId="17CA2B40"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 in artikel 2 bedoelde verplichting is een kwalitatieve verplichting, als bedoeld in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6:252 BW. Deze verplichting wordt door Gasunie, die ter zake domicilie kiest te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harer voormelde woonplaats, ten behoeve van Gasunie bedongen ten laste van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voormeld erfpachtrecht.</w:t>
      </w:r>
    </w:p>
    <w:p w14:paraId="4F41D2B8"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Artikel 4.</w:t>
      </w:r>
    </w:p>
    <w:p w14:paraId="619CFA00"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 in artikel 2 bedoelde verplichting zal overgaan op al degene die het erfpachtrecht</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zullen verkrijgen, hetzij onder algemene titel, hetzij onder bijzondere titel.</w:t>
      </w:r>
    </w:p>
    <w:p w14:paraId="140E6223"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5.</w:t>
      </w:r>
    </w:p>
    <w:p w14:paraId="0FA54DE6"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Degenen die van de Erfpachter een recht van gebruik van het zullen verkrijgen zijn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eveneens aan de in artikel 2 bedoelde verplichting gehouden.</w:t>
      </w:r>
    </w:p>
    <w:p w14:paraId="2A7A498F"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6.</w:t>
      </w:r>
    </w:p>
    <w:p w14:paraId="3DBAC269"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Erfpachter verleent onherroepelijke volmacht met de bevoegdheid van substitutie aan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Gasunie om voor en namens erfpachter de notariële akte, waarin de inhoud van deze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kwalitatieve verplichting zal worden opgenomen, te doen opmaken, te verlijden en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ondertekenen, deze te laten inschrijven in de openbare registers, alsmede al datgene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 doen en te laten verrichten wat terzake vereist mocht zijn. Deze volmacht eindigt</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niet door het overlijden van de erfpachter en evenmin bij zijn onder curatele stelling.</w:t>
      </w:r>
    </w:p>
    <w:p w14:paraId="52B10D5D"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7.</w:t>
      </w:r>
    </w:p>
    <w:p w14:paraId="4107BAC2"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 akte van vestiging zal worden verleden voor Broekema.Nielsen notarissen, te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Groningen. D</w:t>
      </w:r>
      <w:r w:rsidR="00574EF9" w:rsidRPr="00424CB6">
        <w:rPr>
          <w:rFonts w:cs="Arial-ItalicMT"/>
          <w:i/>
          <w:iCs/>
          <w:szCs w:val="17"/>
          <w:lang w:val="nl-NL"/>
          <w14:ligatures w14:val="standardContextual"/>
        </w:rPr>
        <w:t xml:space="preserve">e </w:t>
      </w:r>
      <w:r w:rsidRPr="00424CB6">
        <w:rPr>
          <w:rFonts w:cs="Arial-ItalicMT"/>
          <w:i/>
          <w:iCs/>
          <w:szCs w:val="17"/>
          <w:lang w:val="nl-NL"/>
          <w14:ligatures w14:val="standardContextual"/>
        </w:rPr>
        <w:t>kosten van de notariële akte en de inschrijving in de openbare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registers komen voor rekening van Gasunie.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Partijen zijn ermee bekend dat de hiervoor vermelde kadastrale gegevens wellicht niet</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correct zijn. Partijen verplichten zich over en weer mee te werken aan een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aanvullende overeenkomst, indien blijkt dat deze gegevens niet correct zijn.</w:t>
      </w:r>
    </w:p>
    <w:p w14:paraId="58B2A376" w14:textId="77777777" w:rsidR="00574EF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Artikel 8.</w:t>
      </w:r>
    </w:p>
    <w:p w14:paraId="0D2DB8A4" w14:textId="216F1413"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Deze overeenkomst wordt gesloten onder de opschortende voorwaarde van aanleg</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in de overweging aangegeven aardgastransportleidingen met dien verstande,</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dat ingeval geen aanleg plaatsvindt aan erfpachter in het kader van de voorgenomen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aanleg voldane vergoedingen op eerste aanzegging door Gasunie aan Gasunie terug</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moeten worden betaald, behoudens de zogenaamde behandelvergoeding, aan</w:t>
      </w:r>
      <w:r w:rsidR="00574EF9"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partijen voldoende bekend.”</w:t>
      </w:r>
    </w:p>
    <w:p w14:paraId="447B7339" w14:textId="538B01D4" w:rsidR="00903313" w:rsidRPr="00424CB6" w:rsidRDefault="00903313" w:rsidP="00424CB6">
      <w:pPr>
        <w:autoSpaceDE w:val="0"/>
        <w:autoSpaceDN w:val="0"/>
        <w:adjustRightInd w:val="0"/>
        <w:spacing w:line="293" w:lineRule="auto"/>
        <w:ind w:left="567"/>
        <w:jc w:val="both"/>
        <w:rPr>
          <w:rFonts w:cs="Arial-ItalicMT"/>
          <w:szCs w:val="17"/>
          <w:u w:val="single"/>
          <w:lang w:val="nl-NL"/>
          <w14:ligatures w14:val="standardContextual"/>
        </w:rPr>
      </w:pPr>
      <w:r w:rsidRPr="00424CB6">
        <w:rPr>
          <w:rFonts w:cs="Arial-ItalicMT"/>
          <w:szCs w:val="17"/>
          <w:highlight w:val="darkGray"/>
          <w:u w:val="single"/>
          <w:lang w:val="nl-NL"/>
          <w14:ligatures w14:val="standardContextual"/>
        </w:rPr>
        <w:t xml:space="preserve">Voor wat betreft de </w:t>
      </w:r>
      <w:r w:rsidRPr="00424CB6">
        <w:rPr>
          <w:rFonts w:cs="Arial-ItalicMT"/>
          <w:b/>
          <w:bCs/>
          <w:szCs w:val="17"/>
          <w:highlight w:val="darkGray"/>
          <w:u w:val="single"/>
          <w:lang w:val="nl-NL"/>
          <w14:ligatures w14:val="standardContextual"/>
        </w:rPr>
        <w:t>Percelen Afvalzorg</w:t>
      </w:r>
      <w:r w:rsidRPr="00424CB6">
        <w:rPr>
          <w:rFonts w:cs="Arial-ItalicMT"/>
          <w:szCs w:val="17"/>
          <w:highlight w:val="darkGray"/>
          <w:u w:val="single"/>
          <w:lang w:val="nl-NL"/>
          <w14:ligatures w14:val="standardContextual"/>
        </w:rPr>
        <w:t xml:space="preserve">, voor zover het het perceel met kadastraal nummer 2434 betreft, en voor wat betreft het </w:t>
      </w:r>
      <w:r w:rsidRPr="00424CB6">
        <w:rPr>
          <w:rFonts w:cs="Arial-ItalicMT"/>
          <w:b/>
          <w:bCs/>
          <w:szCs w:val="17"/>
          <w:highlight w:val="darkGray"/>
          <w:u w:val="single"/>
          <w:lang w:val="nl-NL"/>
          <w14:ligatures w14:val="standardContextual"/>
        </w:rPr>
        <w:t>Perceel De Staat</w:t>
      </w:r>
      <w:r w:rsidRPr="00424CB6">
        <w:rPr>
          <w:rFonts w:cs="Arial-ItalicMT"/>
          <w:szCs w:val="17"/>
          <w:highlight w:val="darkGray"/>
          <w:u w:val="single"/>
          <w:lang w:val="nl-NL"/>
          <w14:ligatures w14:val="standardContextual"/>
        </w:rPr>
        <w:t>:</w:t>
      </w:r>
    </w:p>
    <w:p w14:paraId="2E112AE5"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CONSTATERING KWALITATIEVE VERPLICHTING</w:t>
      </w:r>
    </w:p>
    <w:p w14:paraId="2970A7C2" w14:textId="255DB96B" w:rsidR="00EA5D69" w:rsidRPr="00424CB6" w:rsidRDefault="00EA5D69" w:rsidP="00424CB6">
      <w:pPr>
        <w:autoSpaceDE w:val="0"/>
        <w:autoSpaceDN w:val="0"/>
        <w:adjustRightInd w:val="0"/>
        <w:spacing w:line="293" w:lineRule="auto"/>
        <w:ind w:left="851"/>
        <w:jc w:val="both"/>
        <w:rPr>
          <w:rFonts w:cs="ArialMT"/>
          <w:i/>
          <w:iCs/>
          <w:szCs w:val="17"/>
          <w:lang w:val="nl-NL"/>
          <w14:ligatures w14:val="standardContextual"/>
        </w:rPr>
      </w:pPr>
      <w:r w:rsidRPr="00424CB6">
        <w:rPr>
          <w:rFonts w:cs="Arial-ItalicMT"/>
          <w:i/>
          <w:iCs/>
          <w:szCs w:val="17"/>
          <w:lang w:val="nl-NL"/>
          <w14:ligatures w14:val="standardContextual"/>
        </w:rPr>
        <w:t>De comparanten, handelend als gemeld, verklaarden, ter uitvoering van het vorenstaande</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bij deze akte, waarvan een afschrift zal worden ingeschreven in de openbare registers,</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 te willen gaan tot constatering van de hiervoor onder 1. omschreven verplichting op</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aan de erfpachter in erfpacht toebehorende registergoed kadastraal bekend gemeente</w:t>
      </w:r>
      <w:r w:rsidR="00A3691F" w:rsidRPr="00424CB6">
        <w:rPr>
          <w:rFonts w:cs="Arial-ItalicMT"/>
          <w:i/>
          <w:iCs/>
          <w:szCs w:val="17"/>
          <w:lang w:val="nl-NL"/>
          <w14:ligatures w14:val="standardContextual"/>
        </w:rPr>
        <w:t xml:space="preserve"> </w:t>
      </w:r>
      <w:r w:rsidRPr="00424CB6">
        <w:rPr>
          <w:rFonts w:cs="Arial-BoldItalicMT"/>
          <w:b/>
          <w:bCs/>
          <w:i/>
          <w:iCs/>
          <w:szCs w:val="17"/>
          <w:lang w:val="nl-NL"/>
          <w14:ligatures w14:val="standardContextual"/>
        </w:rPr>
        <w:t xml:space="preserve">Naarden, </w:t>
      </w:r>
      <w:r w:rsidRPr="00424CB6">
        <w:rPr>
          <w:rFonts w:cs="Arial-ItalicMT"/>
          <w:i/>
          <w:iCs/>
          <w:szCs w:val="17"/>
          <w:lang w:val="nl-NL"/>
          <w14:ligatures w14:val="standardContextual"/>
        </w:rPr>
        <w:t xml:space="preserve">sectie </w:t>
      </w:r>
      <w:r w:rsidRPr="00424CB6">
        <w:rPr>
          <w:rFonts w:cs="Arial-BoldItalicMT"/>
          <w:b/>
          <w:bCs/>
          <w:i/>
          <w:iCs/>
          <w:szCs w:val="17"/>
          <w:lang w:val="nl-NL"/>
          <w14:ligatures w14:val="standardContextual"/>
        </w:rPr>
        <w:t xml:space="preserve">A, </w:t>
      </w:r>
      <w:r w:rsidRPr="00424CB6">
        <w:rPr>
          <w:rFonts w:cs="Arial-ItalicMT"/>
          <w:i/>
          <w:iCs/>
          <w:szCs w:val="17"/>
          <w:lang w:val="nl-NL"/>
          <w14:ligatures w14:val="standardContextual"/>
        </w:rPr>
        <w:t xml:space="preserve">nummer </w:t>
      </w:r>
      <w:r w:rsidRPr="00424CB6">
        <w:rPr>
          <w:rFonts w:cs="Arial-BoldItalicMT"/>
          <w:b/>
          <w:bCs/>
          <w:i/>
          <w:iCs/>
          <w:szCs w:val="17"/>
          <w:lang w:val="nl-NL"/>
          <w14:ligatures w14:val="standardContextual"/>
        </w:rPr>
        <w:t xml:space="preserve">1916 (gedeeltelijk) </w:t>
      </w:r>
      <w:r w:rsidRPr="00424CB6">
        <w:rPr>
          <w:rFonts w:cs="Arial-ItalicMT"/>
          <w:i/>
          <w:iCs/>
          <w:szCs w:val="17"/>
          <w:lang w:val="nl-NL"/>
          <w14:ligatures w14:val="standardContextual"/>
        </w:rPr>
        <w:t>als een kwalitatieve verplichting in de zin</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artikel 6:252 van het Burgerlijk Wetboek, tengevolge waarvan deze verplichting</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overgaat op degenen, die het registergoed onder bijzondere titel in eigendom zullen</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verkrijgen en tengevolge waarvan degenen, die van de gerechtigde een gebruiksrecht met</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betrekking tot het registergoed zullen verkrijgen, mede aan die verplichtingen gehouden</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zullen zijn.</w:t>
      </w:r>
      <w:r w:rsidRPr="00424CB6">
        <w:rPr>
          <w:rFonts w:cs="ArialMT"/>
          <w:i/>
          <w:iCs/>
          <w:szCs w:val="17"/>
          <w:lang w:val="nl-NL"/>
          <w14:ligatures w14:val="standardContextual"/>
        </w:rPr>
        <w:t>".</w:t>
      </w:r>
    </w:p>
    <w:p w14:paraId="7A975441" w14:textId="3BDD5218" w:rsidR="000D3A3B" w:rsidRPr="00424CB6" w:rsidRDefault="000D3A3B" w:rsidP="00424CB6">
      <w:pPr>
        <w:autoSpaceDE w:val="0"/>
        <w:autoSpaceDN w:val="0"/>
        <w:adjustRightInd w:val="0"/>
        <w:spacing w:line="293" w:lineRule="auto"/>
        <w:ind w:left="567"/>
        <w:jc w:val="both"/>
        <w:rPr>
          <w:rFonts w:cs="Arial-ItalicMT"/>
          <w:szCs w:val="17"/>
          <w:lang w:val="nl-NL"/>
          <w14:ligatures w14:val="standardContextual"/>
        </w:rPr>
      </w:pPr>
      <w:r w:rsidRPr="00424CB6">
        <w:rPr>
          <w:rFonts w:cs="Arial-ItalicMT"/>
          <w:szCs w:val="17"/>
          <w:lang w:val="nl-NL"/>
          <w14:ligatures w14:val="standardContextual"/>
        </w:rPr>
        <w:t>Enzovoorts.</w:t>
      </w:r>
    </w:p>
    <w:p w14:paraId="71CAB47C" w14:textId="70F2419A" w:rsidR="000D3A3B" w:rsidRPr="00424CB6" w:rsidRDefault="000D3A3B" w:rsidP="00424CB6">
      <w:pPr>
        <w:autoSpaceDE w:val="0"/>
        <w:autoSpaceDN w:val="0"/>
        <w:adjustRightInd w:val="0"/>
        <w:spacing w:line="293" w:lineRule="auto"/>
        <w:ind w:left="567"/>
        <w:jc w:val="both"/>
        <w:rPr>
          <w:rFonts w:cs="Arial-ItalicMT"/>
          <w:szCs w:val="17"/>
          <w:lang w:val="nl-NL"/>
          <w14:ligatures w14:val="standardContextual"/>
        </w:rPr>
      </w:pPr>
      <w:r w:rsidRPr="00424CB6">
        <w:rPr>
          <w:rFonts w:cs="Arial-ItalicMT"/>
          <w:szCs w:val="17"/>
          <w:highlight w:val="darkGray"/>
          <w:u w:val="single"/>
          <w:lang w:val="nl-NL"/>
          <w14:ligatures w14:val="standardContextual"/>
        </w:rPr>
        <w:t xml:space="preserve">Voor wat betreft de </w:t>
      </w:r>
      <w:r w:rsidRPr="00424CB6">
        <w:rPr>
          <w:rFonts w:cs="Arial-ItalicMT"/>
          <w:b/>
          <w:bCs/>
          <w:szCs w:val="17"/>
          <w:highlight w:val="darkGray"/>
          <w:u w:val="single"/>
          <w:lang w:val="nl-NL"/>
          <w14:ligatures w14:val="standardContextual"/>
        </w:rPr>
        <w:t>Percelen Afvalzorg</w:t>
      </w:r>
      <w:r w:rsidRPr="00424CB6">
        <w:rPr>
          <w:rFonts w:cs="Arial-ItalicMT"/>
          <w:szCs w:val="17"/>
          <w:highlight w:val="darkGray"/>
          <w:u w:val="single"/>
          <w:lang w:val="nl-NL"/>
          <w14:ligatures w14:val="standardContextual"/>
        </w:rPr>
        <w:t>:</w:t>
      </w:r>
    </w:p>
    <w:p w14:paraId="1EF4B22C" w14:textId="0F02EA04" w:rsidR="00EA5D69" w:rsidRPr="00424CB6" w:rsidRDefault="00EA5D69"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5. </w:t>
      </w:r>
      <w:r w:rsidR="00A3691F" w:rsidRPr="00424CB6">
        <w:rPr>
          <w:rFonts w:cs="ArialMT"/>
          <w:i/>
          <w:iCs/>
          <w:szCs w:val="17"/>
          <w:lang w:val="nl-NL"/>
          <w14:ligatures w14:val="standardContextual"/>
        </w:rPr>
        <w:tab/>
      </w:r>
      <w:r w:rsidRPr="00424CB6">
        <w:rPr>
          <w:rFonts w:cs="ArialMT"/>
          <w:i/>
          <w:iCs/>
          <w:szCs w:val="17"/>
          <w:lang w:val="nl-NL"/>
          <w14:ligatures w14:val="standardContextual"/>
        </w:rPr>
        <w:t>Voor bestaande erfdienstbaarheden, kwalitatieve verplichtingen en/of andere bijzondere</w:t>
      </w:r>
      <w:r w:rsidR="00A3691F" w:rsidRPr="00424CB6">
        <w:rPr>
          <w:rFonts w:cs="ArialMT"/>
          <w:i/>
          <w:iCs/>
          <w:szCs w:val="17"/>
          <w:lang w:val="nl-NL"/>
          <w14:ligatures w14:val="standardContextual"/>
        </w:rPr>
        <w:t xml:space="preserve"> </w:t>
      </w:r>
      <w:r w:rsidRPr="00424CB6">
        <w:rPr>
          <w:rFonts w:cs="ArialMT"/>
          <w:i/>
          <w:iCs/>
          <w:szCs w:val="17"/>
          <w:lang w:val="nl-NL"/>
          <w14:ligatures w14:val="standardContextual"/>
        </w:rPr>
        <w:t>verplichtingen met betrekking tot het Verkochte ND II 1 en het Verkochte ND II 2 wordt</w:t>
      </w:r>
      <w:r w:rsidR="00A3691F" w:rsidRPr="00424CB6">
        <w:rPr>
          <w:rFonts w:cs="ArialMT"/>
          <w:i/>
          <w:iCs/>
          <w:szCs w:val="17"/>
          <w:lang w:val="nl-NL"/>
          <w14:ligatures w14:val="standardContextual"/>
        </w:rPr>
        <w:t xml:space="preserve"> </w:t>
      </w:r>
      <w:r w:rsidRPr="00424CB6">
        <w:rPr>
          <w:rFonts w:cs="ArialMT"/>
          <w:i/>
          <w:iCs/>
          <w:szCs w:val="17"/>
          <w:lang w:val="nl-NL"/>
          <w14:ligatures w14:val="standardContextual"/>
        </w:rPr>
        <w:t>voorts verwezen naar de Akte van Uitgifte II, waarin onder meer het volgende voorkomt,</w:t>
      </w:r>
      <w:r w:rsidR="00A3691F" w:rsidRPr="00424CB6">
        <w:rPr>
          <w:rFonts w:cs="ArialMT"/>
          <w:i/>
          <w:iCs/>
          <w:szCs w:val="17"/>
          <w:lang w:val="nl-NL"/>
          <w14:ligatures w14:val="standardContextual"/>
        </w:rPr>
        <w:t xml:space="preserve"> </w:t>
      </w:r>
      <w:r w:rsidRPr="00424CB6">
        <w:rPr>
          <w:rFonts w:cs="ArialMT"/>
          <w:i/>
          <w:iCs/>
          <w:szCs w:val="17"/>
          <w:lang w:val="nl-NL"/>
          <w14:ligatures w14:val="standardContextual"/>
        </w:rPr>
        <w:t>woordelijk luidende:</w:t>
      </w:r>
    </w:p>
    <w:p w14:paraId="2C63F9A8"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MT"/>
          <w:i/>
          <w:iCs/>
          <w:szCs w:val="17"/>
          <w:lang w:val="nl-NL"/>
          <w14:ligatures w14:val="standardContextual"/>
        </w:rPr>
        <w:t>"</w:t>
      </w:r>
      <w:r w:rsidRPr="00424CB6">
        <w:rPr>
          <w:rFonts w:cs="Arial-ItalicMT"/>
          <w:i/>
          <w:iCs/>
          <w:szCs w:val="17"/>
          <w:u w:val="single"/>
          <w:lang w:val="nl-NL"/>
          <w14:ligatures w14:val="standardContextual"/>
        </w:rPr>
        <w:t>Artikel 1</w:t>
      </w:r>
    </w:p>
    <w:p w14:paraId="126D7A4D"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TIJDSDUUR EN OBJECTBEPALING</w:t>
      </w:r>
    </w:p>
    <w:p w14:paraId="00BB7E03" w14:textId="097560F5"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Op grond van de hiervoor vermelde overeenkomst en ter gedeeltelijke uitvoering daarvan</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vestigt de comparant sub 1, handelend als gemeld, bij deze ingaande heden en eindigende</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achtentwintig mei tweeduizend vier en vijftig ten behoeve van de comparant(e) sub 2</w:t>
      </w:r>
      <w:r w:rsidR="00A3691F"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genoemd, handelend als gemeld, die aanneemt:</w:t>
      </w:r>
    </w:p>
    <w:p w14:paraId="03B520BF" w14:textId="0DD77115"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het recht van erfpacht op de percelen grond weg en water (beheersloot) gelegen nabij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IJsselmeerweg te Naarden, kadastraal bekend als gemeente Naarden sectie A nummers</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1436 groot één hectare zesennegentig are en negentig centiare (01.96.90 ha.), 1916</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gedeeltelijk groot circa veertien hectare zesentachtig are en vijfentachtig centiare (14.86.85</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ha.), 1917 gedeeltelijk groot circa vijf hectare negenenzestig are en zevenentwintig</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centiare (05.69.27 ha.), een en ander zoals nader met arcering is aangegeven op de aan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deze akte gehechte grondtekening; hierna te noemen het "erfpachtterrein".</w:t>
      </w:r>
    </w:p>
    <w:p w14:paraId="1E386E31" w14:textId="042A9C2B"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Voorts verleent de comparant(e) sub 1, handelend als gemeld, voor de duur van het in lid 1</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bedoelde recht van erfpacht aan de comparant(e) sub 2, die zulks aanneemt:</w:t>
      </w:r>
    </w:p>
    <w:p w14:paraId="2233D47C" w14:textId="421AD953"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het voor de duur van het erfpachtrecht zelfstandig zakelijk recht van opstal tot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verkrijgen, stellen en in eigendom hebben en houden van opstallen - welke direct of</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indirect dienstbaar zijn aan de bestemming van het erfpachtterrein, dat tezamen met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aanwezige en op te richten opstallen nader in artikel 2 worden aangeduid als registergoed.</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nader op te richten opstallen worden voor rekening en risico van de Erfpachter als</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zakelijk gerechtigde aangelegd of gebouwd.</w:t>
      </w:r>
    </w:p>
    <w:p w14:paraId="396B5451"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2.</w:t>
      </w:r>
    </w:p>
    <w:p w14:paraId="658E74E6"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BESTEMMING, GEBRUIK, ONDERHOUD</w:t>
      </w:r>
    </w:p>
    <w:p w14:paraId="7A80FF4D" w14:textId="49E8729D"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mag het erfpachtterrein en de daarop bestaande of op te richten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opstallen, hierna gezamenlijk te noemen het registergoed" uitsluitend gebruiken als:</w:t>
      </w:r>
    </w:p>
    <w:p w14:paraId="44836367" w14:textId="7995CAB2"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golfbaan met de daarbij behorende opstallen en andere voorzieningen, alsmede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fiets-ruiter- en wandelpaden;</w:t>
      </w:r>
    </w:p>
    <w:p w14:paraId="7F895143" w14:textId="028E14DD"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overige (recreatieve) doeleinden, vermits passend binnen het Masterplan;</w:t>
      </w:r>
    </w:p>
    <w:p w14:paraId="51FF784A" w14:textId="1FC3220D"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voor het onderhoud van het openbaar gebied (huidige beheerlocatie).</w:t>
      </w:r>
    </w:p>
    <w:p w14:paraId="429D850D" w14:textId="013134BC"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dient voor zijn rekening en risico zorg te dragen voor het volledige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onderhoud van het registergoed (daaronder mede begrepen het onderhoud van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eventueel op het terrein aanwezige houtopstanden, wegen, sloten 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erfafscheidingen) en is tevens verantwoordelijk voor het onderhoud van de dijk zoals</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 in artikel 4 lid 2, voor zover met betrekking tot het onderhoud van de dijk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beheer niet of niet vanwege het Provinciaal bestuur wordt uitgeoefend. De Erfpachter</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mag de grond en de eventuele opstallen niet zodanig gebruiken casu quo houden,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doen of laten gebruiken, dat hieruit bezwaren van welstand of hygiëne van het milieu</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dan wel gevaar, schade of hinder in welke vorm dan ook ontstaat of kan ontstaan. De Erfpachter is zich bewust van het feit dat het registergoed een afgewerkte stortlocatie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betreft. De Erfpachter draagt met inachtneming - van het bepaalde In lid 1 van dit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zorg voor de inrichting, alsmede het beheer en onderhoud van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w:t>
      </w:r>
    </w:p>
    <w:p w14:paraId="12E19380" w14:textId="772C984B"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dient zich te onthouden van activiteiten die schade kunnen berokkenen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 de door de Erfverpachter aangebrachte technische voorzieningen. Bij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inrichting en gebruik van het registergoed zal de Erfpachter derhalve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gebruiksbeperkingen zoals in bijlage 2 en deze akte zijn opgenomen, in acht nemen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deze voorwaarden aan derden die op het registergoed werkzaamheden uitvoeren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of aanwezig zijn, opleggen. Voornoemde technische voorzieningen zijn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aangebracht in het kader van de uitvoering van monitorings- 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onderhoudsverplichtingen welke voortvloeien uit milieuwetgeving, waaronder de Wet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Milieubeheer en de Wet verontreiniging oppervlaktewateren. In het door bevoegd</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gezag vastgestelde Nazorgplan van juli 2001, welke als bijlage 3 is bijgevoegd, zijn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werkzaamheden die voortvloeien uit de monitorings- en onderhoudsverplichtingen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het registergoed vastgelegd. Dit Nazorgplan wordt periodiek geactualiseerd 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vervolgens door bevoegd gezag vastgesteld. De Erfverpachter draagt tot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zogenoemde sluitingsverklaring zorg voor de uitvoering van de in het Nazorgplan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beschreven werkzaamheden. Vanaf de sluitingsverklaring gaan deze verplichtingen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rechtswege over op de provincie Noord-Holland overeenkomstig titel 8.3, artikel</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8.50 lid 1 Wet Milieubeheer. Beperkingen in het gebruik die het gevolg zijn van het feit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dat het stortlocatie betreft kan de Erfverpachter niet worden tegengeworpen met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Inachtneming van het daaromtrent verder in deze akte bepaalde.</w:t>
      </w:r>
    </w:p>
    <w:p w14:paraId="6161614B" w14:textId="2697B1CF"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Naast de gebruiksbeperkingen omschreven in bijlage 2, die specifiek zien op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voorkomen van aantasting van de functionele eigenschappen van de bovenafdichting</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de overige milieuhygiënische voorzieningen, is het in zijn algemeenheid verboden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 zonder vooraf verkregen schriftelijke toestemming van Erfverpachter:</w:t>
      </w:r>
    </w:p>
    <w:p w14:paraId="6FDE5D13" w14:textId="33EAC0C2"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aard, inrichting, bestemming of gedaante van het registergoed te wijzigen;</w:t>
      </w:r>
    </w:p>
    <w:p w14:paraId="40A59225" w14:textId="53BAD408"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grond, zand, zoden of strooisel en dergelijke te winnen, te steken of af te voeren;</w:t>
      </w:r>
    </w:p>
    <w:p w14:paraId="1923681B" w14:textId="06C3C7AB"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grond te storten zonder een bodemgeschiktheidsverklaring gerelateerd aan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 van de grond;</w:t>
      </w:r>
    </w:p>
    <w:p w14:paraId="676BF28C" w14:textId="60C65967"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gebouwen, (bouw)werken, getimmerten of constructies op te richten, aan te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brengen of te wijzigen.</w:t>
      </w:r>
    </w:p>
    <w:p w14:paraId="272B6E4F" w14:textId="0AFE7F4F"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Indien Erfpachter wenst over te gaan tot activiteiten zoals omschreven in lid 4 van dit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of in bijlage 2 zal de Erfpachter hiertoe schriftelijk toestemming vragen aan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w:t>
      </w:r>
    </w:p>
    <w:p w14:paraId="5031C129" w14:textId="796720E6"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6.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kan het verzoek zoals omschreven in lid 5 weigeren indien niet door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stellen van voorwaarden - ook van financiële aard - redelijkerwijs tegemoet gekomen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kan worden aan het belang van de bescherming van de functionele eigenschappen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bovenafdichting en van de overige milieuhygiënische voorzieningen alsmede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toetsing van de Investeringen in relatie tot de eventuele vergoeding van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aan het einde van het recht van erfpacht.</w:t>
      </w:r>
    </w:p>
    <w:p w14:paraId="610CF9F1" w14:textId="3A2BC6B9"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7.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Indien de Erfpachter de exploitatie van de golfbaan overdraagt aan een derde dient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deze exploitant schriftelijk aan de Erfverpachter te verklaren dat deze exploitant zich</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onderwerpt aan de voorwaarden, bepalingen en richtlijnen welke in deze akte direct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dan wel indirect zijn opgenomen</w:t>
      </w:r>
    </w:p>
    <w:p w14:paraId="2191F9B5" w14:textId="77777777" w:rsidR="00EA5D69" w:rsidRPr="00424CB6" w:rsidRDefault="00EA5D69" w:rsidP="00424CB6">
      <w:pPr>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3</w:t>
      </w:r>
    </w:p>
    <w:p w14:paraId="4F84A1C5"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AFKOOP ERFPACHTCANON</w:t>
      </w:r>
    </w:p>
    <w:p w14:paraId="1CCDC58F" w14:textId="2D6EE183"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Partijen verklaarden voorts te zijn overeengekomen dat de erfpachtcanon voor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gehele duur der overeenkomst wordt afgekocht voor een bedrag groot drie honderd</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vijf en tachtig duizend euro (C 385.000,00) te vermeerderen met negentien procent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(19 %) Belasting Toegevoegde Waarde.</w:t>
      </w:r>
    </w:p>
    <w:p w14:paraId="0C0CBF1D" w14:textId="7EBB815A"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Het door Erfpachter in verband met het vorenstaande aan de Erfverpachter</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verschuldigde is door Erfpachter aan de Erfverpachter voldaan middels betaling op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kwaliteitsrekening van de notaris.</w:t>
      </w:r>
    </w:p>
    <w:p w14:paraId="600C7A8C"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4</w:t>
      </w:r>
    </w:p>
    <w:p w14:paraId="59C643D8"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AANVAARDING</w:t>
      </w:r>
    </w:p>
    <w:p w14:paraId="3AB4525B" w14:textId="6E805502"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kent het registergoed volledig en aanvaardt dit in de staat, waarin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zich ten tijde van de aanvang van het recht van erfpacht bevindt, met alle daaraan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verbonden lusten en lasten, heersende en lijdende erfdienstbaarheden, kwalitatieve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rechten en verplichtingen en kettingboetebedingen. Erfpachter is bekend met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specifieke eigenschappen van het erfpachtterrein, de daarbij behorende vergunningen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procedures. Het is de Erfpachter bekend dat na de eindkeuring, gevolgd door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sluitingsverklaring door de Provincie Noord-Holland, de nazorg van het erfpachtterrein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 de provincie Noord-Holland zal worden overgedragen.</w:t>
      </w:r>
    </w:p>
    <w:p w14:paraId="22B654A4" w14:textId="193B5737"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Het is Erfpachter bekend dat de dijk met alle daarop gelegen voorzieningen zoals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weg, gelegen door en langs het registergoed eigendom is van de Provincie Noord-Holland.</w:t>
      </w:r>
    </w:p>
    <w:p w14:paraId="2CD91DEF" w14:textId="01D89461"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blijft jegens Erfpachter, diens rechtsopvolgers en rechtverkrijgenden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verantwoordelijk voor de in haar opdracht op het registergoed ingerichte stortlocatie,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in achtneming van het daaromtrent in deze akte bepaalde en of voortvloeiende uit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werking - van artikel 176 boek 6 van het Burgerlijk Wetboek en dientengevolge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aansprakelijk voor schade als gevolg van verontreinigingen die voortvloeien uit de op</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registergoed gestorte afvalstoffen.</w:t>
      </w:r>
    </w:p>
    <w:p w14:paraId="25F7D739" w14:textId="50E87245"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verplicht zich de Erfpachter op de hoogte te stellen van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aanwezigheid van bestaande leidingen voor onder andere de uitvoering van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monitorings- en onderhoudsverplichtingen en nutsvoorzieningen.</w:t>
      </w:r>
    </w:p>
    <w:p w14:paraId="150D6659" w14:textId="017A4352"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vermelding in de akte van oppervlakte, belendingen, vorm, aard of ligging van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 zijn slechts bij benadering opgegeven, zonder dat het registergoed</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hieraan exact behoeft te beantwoorden. De Erfpachter heeft mitsdien nimmer enige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aanspraak op ontbinding van de erfpachtovereenkomst of op enige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schadevergoeding, indien de gedane opgave van oppervlakte, belendingen, vorm,</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aard, bestemming of ligging van het registergoed niet met de werkelijkheid blijkt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 te komen.</w:t>
      </w:r>
    </w:p>
    <w:p w14:paraId="2233E296" w14:textId="35188647"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6.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is niet aansprakelijk voor eventuele gebreken die het registergoed na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vestiging van het recht van erfpacht blijkt te hebben en die Erfverpachter op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moment van vestiging daadwerkelijk niet kende of die Erfverpachter naar op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moment van de vestiging gangbare opvattingen niet behoefde te kennen. Het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bepaalde in de vorige volzin is niet van toepassing in geval dientengevolge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 of het voorgenomen gebruik redelijkerwijs niet meer mogelijk is, waarbij</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laatste zin niet van toepassing Is indien verband houdende met de uitbreiding van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rijksweg A6.</w:t>
      </w:r>
    </w:p>
    <w:p w14:paraId="00A240C2" w14:textId="3C986B77"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7.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kan, ingeval lid 6 eerste volzin van toepassing is, geen vermindering,</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kwijtschelding of teruggave van de afkoopsom vorderen.</w:t>
      </w:r>
    </w:p>
    <w:p w14:paraId="7CD82C60" w14:textId="3E18F713"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8.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zal een zogenaamde leeflaag op het erfpachtterrein aanbrengen die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voldoet aan algemeen aanvaarbare kwaliteitseisen in relatie tot de voorgenomen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bestemming van het registergoed.</w:t>
      </w:r>
    </w:p>
    <w:p w14:paraId="0C2B5531"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5</w:t>
      </w:r>
    </w:p>
    <w:p w14:paraId="756FE515"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lastRenderedPageBreak/>
        <w:t>AANSPRAKELIJKHEID</w:t>
      </w:r>
    </w:p>
    <w:p w14:paraId="67E0FD43" w14:textId="1AA763EF" w:rsidR="00EA5D69" w:rsidRPr="00424CB6" w:rsidRDefault="00EA5D69" w:rsidP="00424CB6">
      <w:pPr>
        <w:pStyle w:val="Lijstalinea"/>
        <w:numPr>
          <w:ilvl w:val="0"/>
          <w:numId w:val="38"/>
        </w:num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 De Erfpachter is aansprakelijk voor de voldoening van alle andere uit deze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 jegens Erfverpachter voortvloeiende verplichtingen als eigenaar van</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registergoed, tenzij uitdrukkelijk in deze akte anders is gemeld.</w:t>
      </w:r>
    </w:p>
    <w:p w14:paraId="570E4788" w14:textId="18E5C519"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8928C1"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doet afstand van alle aanspraken, welke hij tegenover Erfverpachter</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zou kunnen doen gelden wegens schade bij de uitoefening van het recht van erfpacht</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door welke oorzaak ook ontstaan tenzij deze schade Is ontstaan door toedoen aan de</w:t>
      </w:r>
      <w:r w:rsidR="008928C1"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zijde van Erfverpachter dan wel tot diens risicosfeer behoort op grond van het hierna</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 artikel 6 B bepaalde.</w:t>
      </w:r>
    </w:p>
    <w:p w14:paraId="2C35FA31" w14:textId="59E30B46"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vrijwaart Erfverpachter tegen alle aanspraken van derden op</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vergoeding wegens schade, hoe ook genaamd, bodemverontreiniging daaronder</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begrepen, voor zover die schade door of vanwege de Erfpachter is ontstaan. In dat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kader zal Erfpachter zich onthouden van activiteiten die er toe zouden kunnen leiden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dat Met meer aan de van toepassing zijnde milieuvergunning, waaronder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vergunning in het kader van de Wet verontreiniging oppervlaktewateren (Wvo) kan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voldaan en de leeflaag wordt verontreinigd. Erfpachter zal de richtlijnen van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dan wel de daartoe aangewezen instanties nauwgezet naleven.</w:t>
      </w:r>
    </w:p>
    <w:p w14:paraId="65B102DA" w14:textId="3CD2BA84"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Alle werken of voorzieningen van Erfverpachter, welke ten gevolge van </w:t>
      </w:r>
      <w:r w:rsidR="00CA1B26" w:rsidRPr="00424CB6">
        <w:rPr>
          <w:rFonts w:cs="Arial-ItalicMT"/>
          <w:i/>
          <w:iCs/>
          <w:szCs w:val="17"/>
          <w:lang w:val="nl-NL"/>
          <w14:ligatures w14:val="standardContextual"/>
        </w:rPr>
        <w:t>–</w:t>
      </w:r>
      <w:r w:rsidRPr="00424CB6">
        <w:rPr>
          <w:rFonts w:cs="Arial-ItalicMT"/>
          <w:i/>
          <w:iCs/>
          <w:szCs w:val="17"/>
          <w:lang w:val="nl-NL"/>
          <w14:ligatures w14:val="standardContextual"/>
        </w:rPr>
        <w:t xml:space="preserve">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uitoefening van het recht van erfpacht mochten worden beschadigd, worden op kosten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en eventueel door de Erfpachter hersteld. Daartoe zal de schade door Erfpachter</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schriftelijk gemeld worden aan Erfverpachter. Erfverpachter bepaalt vervolgens of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 door Erfpachter of haarzelf zal (moeten) worden hersteld. In ieder geval zal</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schade aan de onderhouds- en monitoringsvoorzieningen zelf willen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herstellen. Indien de Erfverpachter bepaalt dat de schadedoor Erfpachter hersteld</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dient te worden, zal de schade door de Erfpachter op de eerste aanschrijving van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binnen de daarbij te bepalen redelijke termijn, die past bij de aard van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werkzaamheden, tot diens genoegen worden hersteld.</w:t>
      </w:r>
    </w:p>
    <w:p w14:paraId="6ED6A91A" w14:textId="74380EEF"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is tegenover Erfverpachter aansprakelijk voor elke aantasting van het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 door of vanwege de Erfpachter ontstaan waaronder begrepen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aantasting van natuurlijke waarden bijvoorbeeld door verontreiniging van de bodem 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oppervlakte- en grondwater, tenzij hij aannemelijk maakt dat bedoelde aantasting</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niet aan hem, dan wel degene(n) die zich met zijn toestemming en/of door zijn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toedoen en/of nalaten op het registergoed hebben bevonden, in redelijkheid kan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toegerekend.</w:t>
      </w:r>
    </w:p>
    <w:p w14:paraId="3C224E8B"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6</w:t>
      </w:r>
    </w:p>
    <w:p w14:paraId="0B2C0D54"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Nazorg en aansprakelijkheid stortlocatie</w:t>
      </w:r>
    </w:p>
    <w:p w14:paraId="40AE7D65" w14:textId="0C601048"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Het is de Erfpachter bekend dat de stortlocatie gelegen op het Erfpachterrein door of</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namens Erfverpachter en de Provincie Noord-Holland onderhouden en gemonitord dient te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in het kader van de nazorgverplichtingen van de stortlocatie. Erfpachter zal te allen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tijde verplicht zijn haar volledige medewerking daartoe te verlenen en de controlerende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instantie toegang tot het terrein te verschaffen.</w:t>
      </w:r>
    </w:p>
    <w:p w14:paraId="010D672F" w14:textId="46465845"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A.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Nazorgwerkzaamheden</w:t>
      </w:r>
    </w:p>
    <w:p w14:paraId="135578E8" w14:textId="2AA74164"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is verantwoordelijk voor de onderhouds- en monitoringsverplichtingen van de locatie, overeenkomstig een door de Provincie Noord-Holland vastgesteld</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"Nazorgplan" (hierna te noemen: nazorgwerkzaamheden). Nadat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sluitingsverklaring overeenkomstig de Wet Milieubeheer door bevoegd gezag is</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verleend gaat de verplichting tot uitvoering van de nazorgwerkzaamheden van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rechtswege over op de provincie Noord-Holland.</w:t>
      </w:r>
    </w:p>
    <w:p w14:paraId="2E877C4B" w14:textId="72FB80D0"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dient zich te houden aan de voorwaarden, richtlijnen en aanwijzingen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provincie Noord-Holland en Erfverpachter in het kader van de uitvoering van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nazorgwerkzaamheden.</w:t>
      </w:r>
    </w:p>
    <w:p w14:paraId="20F8BA89" w14:textId="64AA4622"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Erfpachter verplicht zich jegens Erfverpachter en de provincie Noord-Holland haar</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volledige medewerking te verlenen aan de nazorgwerkzaamheden alsmede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toestemming te verlenen voor het aanbrengen van aanvullende voorzieningen ten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behoeve van de nazorgwerkzaamheden, zulks op de minst bezwarende wijze.</w:t>
      </w:r>
    </w:p>
    <w:p w14:paraId="3A631B0A" w14:textId="697849A7"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Erfpachter verplicht zich jegens Erfverpachter en de provincie Noord-Holland om</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personen aan wie de nazorgwerkzaamheden zijn opgedragen te allen tijde toegang tot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terrein te verlenen en zich te houden aan aanwijzingen en richtlijnen van deze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personen. Erfpachter staat er voorin dat de voornoemde personen ongestoord hun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werkzaamheden kunnen verrichten.</w:t>
      </w:r>
    </w:p>
    <w:p w14:paraId="39D6D196" w14:textId="133DF6B7"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5.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Aan deze akte is gehecht een niet limitatieve opsomming van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nazorgwerkzaamheden zoals opgenomen in het Nazorgplan dat periodiek wordt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geactualiseerd. (bijlage 4).</w:t>
      </w:r>
    </w:p>
    <w:p w14:paraId="45437CE8" w14:textId="72DD0604"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6.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Het is de Erfpachter bekend dat de bovenafdichting in de toekomst vervangen moet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waardoor gedurende een tijdsbestek van ongeveer twee jaren de golfbaan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zover aangelegd op het registergoed niet gebruikt kan worden. Volgens aan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verstrekte informatie is de verwachte levensduur van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bovenafdichting vijfenzeventig tot honderd jaar.</w:t>
      </w:r>
    </w:p>
    <w:p w14:paraId="4593B659" w14:textId="3E0B2201"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7.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zal zich inspannen de nazorgwerkzaamheden zo min mogelijk</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belastend te (laten) zijn voor de exploitatie van de golfbaan.</w:t>
      </w:r>
    </w:p>
    <w:p w14:paraId="7D79D85C" w14:textId="2457F282"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8.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is niet aansprakelijk voor schade ontstaan als gevolg van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verontreiniging van lucht, water of bodem, met na de feitelijke levering van het</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 daarop gestorte stoffen. De aansprakelijk voor schade ligt uitsluitend bij</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Erfpachter of een derde die daarvoor aansprakelijk is ingevolge het bepaalde in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Wet bodembescherming en de Wet Milieubeheer.</w:t>
      </w:r>
    </w:p>
    <w:p w14:paraId="466E3569" w14:textId="15A0ADA3"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B.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Schade</w:t>
      </w:r>
    </w:p>
    <w:p w14:paraId="4856212D" w14:textId="611B5D20"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aanvaardt wettelijke verplichtingen tot schadevergoeding ter zake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exploitatie van een golfbaan op een stortlocatie slechts voor zover dat uit dit artikel</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blijkt en voor zover deze aansprakelijkheid uiterlijk op of voor acht en twintig mei</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tweeduizend vier en vijftig ontstaan.</w:t>
      </w:r>
    </w:p>
    <w:p w14:paraId="4C40D511" w14:textId="0DB15389"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2.</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Onder aansprakelijkheid bedoeld in dit artikel valt uitsluitend de situatie dat gedurende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bepaalde tijd het door Erfverpachter aan Erfpachter verpachte deel van de golfbaan</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onbespeelbaar is als gevolg van nazorgwerkzaamheden.</w:t>
      </w:r>
    </w:p>
    <w:p w14:paraId="6E3AB900" w14:textId="66DE6038"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Onder bepaalde tijd wordt verstaan meer dan drie dagen.</w:t>
      </w:r>
    </w:p>
    <w:p w14:paraId="5DD82E4F" w14:textId="7C1E400C"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Onder onbespeelbaar wordt uitsluitend verstaan:</w:t>
      </w:r>
    </w:p>
    <w:p w14:paraId="385E88A2" w14:textId="16663BA9"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(i) </w:t>
      </w:r>
      <w:r w:rsidR="00CA1B26" w:rsidRPr="00424CB6">
        <w:rPr>
          <w:rFonts w:cs="Arial-ItalicMT"/>
          <w:i/>
          <w:iCs/>
          <w:szCs w:val="17"/>
          <w:lang w:val="nl-NL"/>
          <w14:ligatures w14:val="standardContextual"/>
        </w:rPr>
        <w:tab/>
      </w:r>
      <w:r w:rsidRPr="00424CB6">
        <w:rPr>
          <w:rFonts w:cs="Arial-ItalicMT"/>
          <w:i/>
          <w:iCs/>
          <w:szCs w:val="17"/>
          <w:lang w:val="nl-NL"/>
          <w14:ligatures w14:val="standardContextual"/>
        </w:rPr>
        <w:t>meer dan één hole is buiten gebruik als direct gevolg van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nazorgwerkzaamheden;</w:t>
      </w:r>
    </w:p>
    <w:p w14:paraId="7D3E9467" w14:textId="597BC324"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(ii) meer dan twee greens buiten gebruik zijn als direct gevolg van de</w:t>
      </w:r>
      <w:r w:rsidR="00CA1B2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nazorgwerkzaamheden;</w:t>
      </w:r>
    </w:p>
    <w:p w14:paraId="383470EB" w14:textId="11E6D429"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5.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Holes worden slechts geacht buiten gebruik te zijn in het geval een belangrijk deel van de fairway als gevolg van de nazorgwerkzaamheden open ligt en als gevolg daarvan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onbespeelbaar is. Greens worden slechts geacht bulten gebruik te zijn in het geval</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green als gevolg van de nazorgwerkzaamheden open ligt en als gevolg daarvan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onbespeelbaar is.</w:t>
      </w:r>
    </w:p>
    <w:p w14:paraId="4EDCA842" w14:textId="5F65E523"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6.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Greens en fairways zijn aangegeven op de als bijlage 5 aangehechte tekening.</w:t>
      </w:r>
    </w:p>
    <w:p w14:paraId="06D2B6EA" w14:textId="50F69A5A"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7.</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Erfpachter dient zich naar beste kunnen in te spannen om de schade zo veel mogelijk</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 voorkomen, waaronder maar niet beperkt tot het in overleg met Erfverpachter</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aanleggen van tijdelijke holes en greens of overige in redelijkheid te bepalen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veranderingen in en aan de golfbaan.</w:t>
      </w:r>
    </w:p>
    <w:p w14:paraId="03CBEFB2" w14:textId="191DFF09"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8.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De totale aansprakelijkheid van Erfverpachter wegens toerekenbare tekortkoming in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nakoming van de erfpachtovereenkomst is beperkt tot vergoeding van directe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w:t>
      </w:r>
    </w:p>
    <w:p w14:paraId="41B732FD" w14:textId="2ECDBAB0"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9.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Onder directe schade wordt uitsluitend verstaan:</w:t>
      </w:r>
    </w:p>
    <w:p w14:paraId="2EBC745C" w14:textId="72E6942B"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De redelijke kosten die noodzakelijk zijn om het door Erfverpachter aan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verpachte deel van de golfbaan in de oude staat te herstellen;</w:t>
      </w:r>
    </w:p>
    <w:p w14:paraId="45B6DC5A" w14:textId="2B565C16"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het aantoonbare omzetverlies als gevolg van het onbespeelbaar zijn van de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golfbaan;</w:t>
      </w:r>
    </w:p>
    <w:p w14:paraId="51DB80EB" w14:textId="322566E1"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redelijke kosten, gemaakt ter voorkoming of beperking van schade, voor zover</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aantoont dat deze kosten hebben geleid tot beperking - van directe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 in de zin van deze erfpachtovereenkomst. Onder aantoonbaar</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omzetverlies vallen uitsluitend annuleringen, kortingen op arrangementen en</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greenfees en geannuleerde horecaomzet als direct gevolg van de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nazorgwerkzaamheden. Voor zover de schade per kwartaal niet meer dan vijf</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duizend euro bedraagt komt deze niet voor vergoeding in aanmerking.</w:t>
      </w:r>
    </w:p>
    <w:p w14:paraId="6CED9DF2" w14:textId="5FE888CC"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10.</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Aansprakelijkheid van Erfverpachter voor indirecte schade is uitgesloten.</w:t>
      </w:r>
    </w:p>
    <w:p w14:paraId="608AAD57" w14:textId="63476F71"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11.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Buiten de in dit artikel genoemde gevallen rust op Erfverpachter geen enkele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aansprakelijkheid voor schadevergoeding, ongeacht de grond waarop een vordering</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tot schadevergoeding zou worden gebaseerd.</w:t>
      </w:r>
    </w:p>
    <w:p w14:paraId="3DC7D902" w14:textId="256826BD"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12. </w:t>
      </w:r>
      <w:r w:rsidR="00C97F56" w:rsidRPr="00424CB6">
        <w:rPr>
          <w:rFonts w:cs="Arial-ItalicMT"/>
          <w:i/>
          <w:iCs/>
          <w:szCs w:val="17"/>
          <w:lang w:val="nl-NL"/>
          <w14:ligatures w14:val="standardContextual"/>
        </w:rPr>
        <w:tab/>
      </w:r>
      <w:r w:rsidRPr="00424CB6">
        <w:rPr>
          <w:rFonts w:cs="Arial-ItalicMT"/>
          <w:i/>
          <w:iCs/>
          <w:szCs w:val="17"/>
          <w:lang w:val="nl-NL"/>
          <w14:ligatures w14:val="standardContextual"/>
        </w:rPr>
        <w:t>De aansprakelijkheid van Erfverpachter wegens toerekenbare tekortkoming in de</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nakoming van de erfpachtovereenkomst ontstaat slechts indien Erfpachter</w:t>
      </w:r>
      <w:r w:rsidR="00C97F56"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onverwijld en deugdelijk schriftelijk op de hoogte stelt van een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onbespeelbare golfbaansituatie als bedoeld In dit artikel. De ingebrekestelling dient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zo gedetailleerd mogelijke omschrijving van de onbespeelbaarheid en de schade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 bevatten, zodat Erfverpachter in staat is adequaat te reageren.</w:t>
      </w:r>
    </w:p>
    <w:p w14:paraId="61F94075" w14:textId="350A0D55"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13.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Voorwaarde voor het ontstaan van enig recht op schadevergoeding is steeds dat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de schade zo spoedig mogelijk na het ontdekken daarvan schriftelijk bij</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meldt.</w:t>
      </w:r>
    </w:p>
    <w:p w14:paraId="7C95E74C" w14:textId="1E1BE97F"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14.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Uitdrukkelijk wordt vastgesteld dat de Erfverpachter uitsluitend aansprakelijk is voor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in artikel 6.B.1 bedoelde schade. Schade als gevolg van onspeelbaarheid wegens</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iedere andere oorzaak, zoals onteigening en de aanleg van wegen - alsmede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voorbereiding daartoe - leidt niet tot een schadevergoeding van Erfverpachter aan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w:t>
      </w:r>
    </w:p>
    <w:p w14:paraId="1DD754BC"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7</w:t>
      </w:r>
    </w:p>
    <w:p w14:paraId="68DA692A"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LASTEN</w:t>
      </w:r>
    </w:p>
    <w:p w14:paraId="14CBAACF" w14:textId="02D702E1"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Alle zakelijke lasten en belastingen, zowel de eigenaars- als de gebruikerslasten, die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het registergoed en van de daarop eventueel - aanwezige opstallen worden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geheven of zullen worden geheven, komen van de datum van aanvang van het recht van erfpacht, gedurende de looptijd van het erfpachtcontract voor rekening van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w:t>
      </w:r>
    </w:p>
    <w:p w14:paraId="4EA9F59C" w14:textId="71FC5479"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Wanneer de Erfverpachter belastingen of lasten, als In lid 1 van dit artikel bedoeld,</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mocht hebben betaald, zal daarvan zo spoedig als redelijkerwijs mogelijk is, zulks met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oog op het aanwenden van rechtsmiddelen kennis worden gegeven aan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die verplicht is binnen een (1) maand nadien het betaalde bedrag aan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te vergoeden.</w:t>
      </w:r>
    </w:p>
    <w:p w14:paraId="69404B05"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8</w:t>
      </w:r>
    </w:p>
    <w:p w14:paraId="628AE77D"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TEKORTKOMING BIJ NAKOMING</w:t>
      </w:r>
    </w:p>
    <w:p w14:paraId="194C2305" w14:textId="1D40B891" w:rsidR="00EA5D69" w:rsidRPr="00424CB6" w:rsidRDefault="00EA5D69" w:rsidP="00424CB6">
      <w:pPr>
        <w:pStyle w:val="Lijstalinea"/>
        <w:numPr>
          <w:ilvl w:val="0"/>
          <w:numId w:val="39"/>
        </w:numPr>
        <w:autoSpaceDE w:val="0"/>
        <w:autoSpaceDN w:val="0"/>
        <w:adjustRightInd w:val="0"/>
        <w:spacing w:line="293" w:lineRule="auto"/>
        <w:jc w:val="both"/>
        <w:rPr>
          <w:rFonts w:cs="Arial-ItalicMT"/>
          <w:i/>
          <w:iCs/>
          <w:szCs w:val="17"/>
          <w:lang w:val="nl-NL"/>
          <w14:ligatures w14:val="standardContextual"/>
        </w:rPr>
      </w:pPr>
      <w:r w:rsidRPr="00424CB6">
        <w:rPr>
          <w:rFonts w:cs="Arial-ItalicMT"/>
          <w:i/>
          <w:iCs/>
          <w:szCs w:val="17"/>
          <w:lang w:val="nl-NL"/>
          <w14:ligatures w14:val="standardContextual"/>
        </w:rPr>
        <w:t xml:space="preserve"> Indien de Erfpachter meer dan één maand nalatig is in de nakoming van de uit deze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overeenkomst of uit de wet voortvloeiende geldelijke verplichtingen verbeurt hij,</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zonder dat daartoe enige ingebrekestelling - zal zijn vereist, een boete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éénvijftiende procent van de achterstallige gebleven som voor iedere ingegane maand</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verzuim, een en ander onverminderd het recht van Erfverpachter om ter zake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nakoming te vorderen.</w:t>
      </w:r>
    </w:p>
    <w:p w14:paraId="6FFC99E0" w14:textId="763A88DA"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Ingeval van niet naleving van enige andere dan een in het eerste lid van dit artikel</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bedoelde verplichting of aanwijzing, de Erfpachter bij of krachtens deze overeenkomst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opgelegd of uit de wet voortvloeiende, heeft Erfverpachter, onverminderd zijn recht op</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schadevergoeding, de bevoegdheid na ingebrekestelling zonder dat daartoe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rechterlijke machtiging nodig is, op kosten van de Erfpachter zelf datgene weg te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nemen of te verrichten hetgeen in strijd met deze verplichtingen is verricht of</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nagelaten.</w:t>
      </w:r>
    </w:p>
    <w:p w14:paraId="0A7D1FC7" w14:textId="77777777" w:rsidR="00C81D34"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Indien de Erfpachter tekort schiet in de nakoming van zijn verplichtingen tot betaling</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afkoopsom, kan Erfverpachter het recht van erfpacht opzeggen, waarbij geen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vergoeding voor de waarde van de door Erfpachter gerealiseerde gebouwen, werken,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golfbaan en beplantingen verschuldigd is.</w:t>
      </w:r>
    </w:p>
    <w:p w14:paraId="3D2B2A26" w14:textId="7602020B"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Mits hij binnen een maand na opzegging alsnog tot genoegen van Erfverpachter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zekerheid stelt voor zijn toekomstige verplichtingen alsmede alsnog zijn verplichtingen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nakomt met vergoeding van de schade en kosten, daaronder tevens begrepen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kosten van de exploten als bedoeld in artikel 5:88 van het Burgerlijk Wetboek, kan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de effectuering van de opzegging voorkomen. De door Erfpachter alsdan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verschuldigde vergoeding aan schade wordt hierbij gesteld op tenminste een duizend</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vijf honderd euro per dag vanaf de dag van opzegging tot aan de dag van gehele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betaling.</w:t>
      </w:r>
    </w:p>
    <w:p w14:paraId="421F9D18" w14:textId="6A54A84C"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Indien de Erfpachter in ernstige mate tekort schiet in de nakoming van - zijn overige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kan, onverminderd het bepaalde in lid 1 van dit artikel, Erfverpachter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recht van erfpacht opzeggen, waarbij een vergoeding voor de waarde van de door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gerealiseerde gebouwen, werken, golfbaan en beplantingen verschuldigd</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is. Mits hij binnen een maand na opzegging alsnog tot genoegen van Erfverpachter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zekerheid stelt voor zijn toekomstige verplichtingen alsmede alsnog zijn verplichtingen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nakomt met vergoeding van de schade en kosten, daaronder tevens begrepen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kosten van de exploten als bedoeld in artikel 5:88 van het Burgerlijk Wetboek, kan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de effectuering van de opzegging voorkomen. De door Erfpachter alsdan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verschuldigde vergoeding aan schade wordt hierbij gesteld op tenminste een duizend</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vijf honderd euro per dag vanaf de dag van opzegging tot aan de dag van gehele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betaling. Erfverpachter heeft het recht de aan haar toekomende schadevergoeding 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kosten te verrekenen met de te vergoeden waarde.</w:t>
      </w:r>
    </w:p>
    <w:p w14:paraId="046FB94E"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9</w:t>
      </w:r>
    </w:p>
    <w:p w14:paraId="4D248B8D"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BEVOEGDHEIDSBEPERKINGEN. OPZEGGINGSVERBOD. KETTINGBEDING</w:t>
      </w:r>
    </w:p>
    <w:p w14:paraId="40E2E18A" w14:textId="63916D1E"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1.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is de Erfpachter zonder vooraf verkregen schriftelijke toestemming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niet toegestaan:</w:t>
      </w:r>
    </w:p>
    <w:p w14:paraId="4721EB21" w14:textId="2447B85D"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a.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registergoed of enig deel daarvan te splitsen door overdracht of toedeling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recht van erfpacht op een gedeelte van de zaak waarop het recht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 rust dan wel te splitsen in appartementsrechten;</w:t>
      </w:r>
    </w:p>
    <w:p w14:paraId="4B425714" w14:textId="6687B8F3"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b.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registergoed onder welke titel ook geheel of gedeeltelijk aan derden in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 of genot af te staan;</w:t>
      </w:r>
    </w:p>
    <w:p w14:paraId="4B137D18" w14:textId="7FCF2D1F"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c.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registergoed geheel of gedeeltelijk in ondererfpacht uit te geven;</w:t>
      </w:r>
    </w:p>
    <w:p w14:paraId="024A3077" w14:textId="391CA8BE" w:rsidR="00EA5D69" w:rsidRPr="00424CB6" w:rsidRDefault="00EA5D69"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d.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op het registergoed zakelijke rechten te vestigen anders dan hypotheekrechten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ten behoeve van de financiering van het registergoed en de aanleg van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golfbaan.</w:t>
      </w:r>
    </w:p>
    <w:p w14:paraId="49E3AF78" w14:textId="644AD233"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Erfverpachter kan de toestemming niet onthouden indien Erfpachter aan alle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ook geldelijk welke voor Erfpachter uit deze akte en of de wet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voortvloeien heeft voldaan en zekerheid aan Erfverpachter wordt verstrekt dat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of gebruiker alle verplichtingen welke voorvloeien uit deze akte 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wet overneemt en aanvaardt.</w:t>
      </w:r>
    </w:p>
    <w:p w14:paraId="5A152574" w14:textId="4399FA0B"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Binnen twee maanden na dagtekening van de akte, waarbij de in het voorgaande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leden van dit artikel genoemde rechtshandelingen zijn vastgelegd, moet de Erfpachter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gewaarmerkt afschrift van de desbetreffende regeling, overeenkomst of akte aan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doen toekomen.</w:t>
      </w:r>
    </w:p>
    <w:p w14:paraId="46463FF0" w14:textId="77777777" w:rsidR="00C81D34"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Van iedere verkoop conform artikel 3:268 van het Burgerlijk Wetboek moet door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onmiddellijk mededeling worden gedaan aan Erfverpachter.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geval van een voorgenomen executie van het recht van erfpacht door 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hypotheekhouder van de Erfpachter heeft Erfverpachter het voorkeursrecht tot koop</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tegen de economische verkoopwaarde, welke bij gebreke van overeenstemming</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tussen partijen bindend zal worden vastgesteld door drie deskundigen, waarvan een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 te benoemen door de Erfpachter, een (1) door de Erfverpachter, terwijl deze beide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deskundigen samen een derde deskundige zullen aanwijzen, waarbij voor alle drie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aanwijzingen een termijn van maximaal een (1) maand geldt.</w:t>
      </w:r>
    </w:p>
    <w:p w14:paraId="4D786C89" w14:textId="205BE37E"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Indien een partij of de beide deskundigen nalatig zijn een deskundige aan te wijzen,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zal de betrokken deskundige op schriftelijk verzoek van de meest gerede partij worden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aangewezen door de President van de Arrondissementsrechtbank te Amsterdam.</w:t>
      </w:r>
    </w:p>
    <w:p w14:paraId="1E6BEB30" w14:textId="2BEF117D"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5.</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De in de voorwaarden en in de akte omschreven verplichtingen van partijen om iets te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dulden of niet te doen ten aanzien van het registergoed zullen overgaan op degenen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 het recht van erfpacht en of opstal onder welke titel dan ook verkrijgen. Degenen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 van de Erfpachter een recht tot gebruik van het recht van erfpacht casu quo het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registergoed zullen verkrijgen, zijn mede aan deze verplichtingen gebonden.</w:t>
      </w:r>
    </w:p>
    <w:p w14:paraId="0E92750E" w14:textId="3FB39CC5"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6.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De in dit artikel omschreven verplichtingen verkrijgen derdenwerking door inschrijving</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een van deze voorwaarden opgemaakte notariële akte in de openbare registers.</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Erfpachter verleent Erfverpachter onherroepelijke machtiging om de inschrijving tot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stand te brengen.</w:t>
      </w:r>
    </w:p>
    <w:p w14:paraId="0747321A" w14:textId="04C36808"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7.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De Erfpachter is verplicht en verbindt zich jegens Erfverpachter, die dit - voor zich</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aanvaardt, de verplichtingen als omschreven in dit artikel lid 6 bedoelde akte, bij</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overdracht van het recht van erfpacht alsmede bij verlening daarop van enig zakelijk</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of persoonlijk gerechtigde ten behoeve van Erfverpachter op te leggen en die ten behoeve van Erfverpachter aan te nemen.</w:t>
      </w:r>
    </w:p>
    <w:p w14:paraId="37335B1D" w14:textId="5BBF57C6"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8.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In de leden 2 tot en met 7 bepaalde geldt slechts indien en voor zover de hier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bedoelde verplichtingen niet van rechtswege door de overdracht of vestiging van het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beperkt recht op de nieuwe Erfpachter of beperkt gerechtigde overgaan.</w:t>
      </w:r>
    </w:p>
    <w:p w14:paraId="258F82CE" w14:textId="11A6FD24"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9.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Het is de Erfpachter verboden afstand te doen van het recht van erfpacht, dan wel het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erfpacht op te zeggen.</w:t>
      </w:r>
    </w:p>
    <w:p w14:paraId="0D99E8CA"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10</w:t>
      </w:r>
    </w:p>
    <w:p w14:paraId="64843997"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VERLENGING</w:t>
      </w:r>
    </w:p>
    <w:p w14:paraId="245EB760" w14:textId="17C92BAF"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Na verloop van de overeengekomen duur van het erfpachtrecht zal het erfpachtrecht met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termijn van vijftig (50) jaar worden verlengd, tegen alsdan te bepalen voorwaarden 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een alsdan te bepalen canon, tenzij het recht tijdig wordt opgezegd. De canon wordt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 door partijen in onderling overleg en bij gebreke daarvan door drie deskundigen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waarbij ieder van partijen een deskundige aanwijst en de twee deskundigen gezamenlijk</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derde deskundige. Bij de waardebepaling moet worden uitgegaan van de bestemming</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het terrein op dat moment. Bij de waardering van de opstallen zullen alle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lastRenderedPageBreak/>
        <w:t>omstandigheden van het geval in acht moeten worden genomen, rekeninghoudende met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(toekomstige) bestemming van de grond. De opzegging dient uiterlijk een (1) jaar voor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beëindiging schriftelijk bij aangetekend schrijven aan de wederpartij worden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medegedeeld.</w:t>
      </w:r>
    </w:p>
    <w:p w14:paraId="60AD9F5C"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11</w:t>
      </w:r>
    </w:p>
    <w:p w14:paraId="7FC7832E"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OPLEVERING BIJ HET EINDE VAN HET RECHT</w:t>
      </w:r>
    </w:p>
    <w:p w14:paraId="36944FF8" w14:textId="1E06D333"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Bij het einde van het recht van erfpacht door het verstrijken van de tijd waarvoor het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 van erfpacht is gevestigd zal Erfverpachter Erfpachter schadeloos stellen voor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alsdan op het registergoed met zijn toestemming door Erfpachter gebouwde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gebouwen, werken, golfbaan en beplantingen voor zover deze door en op kosten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Erfpachter zijn aangebracht of welke hij heeft vergoed. De vergoeding zal</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plaatsvinden tegen de economische waarde indien de bestemming van het terrein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golfbaan blijft. De economische waarde wordt door partijen in onderling overleg</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 Bij gebreke van overeenstemming zal de hiervoor bedoelde economische</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waarde warden bepaald door driedeskundigen, op de wijze en onder de voorwaarden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als in artikel 10 omschreven.</w:t>
      </w:r>
    </w:p>
    <w:p w14:paraId="72CCBCED" w14:textId="06E10C92"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De kosten van deskundigen worden door ieder der partijen voor de helft gedragen.</w:t>
      </w:r>
    </w:p>
    <w:p w14:paraId="27385D30" w14:textId="43D0DEE5"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De waarde moet behoudens het bepaalde in het volgende lid - binnen - zes maanden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na de tussen partijen verkregen overeenstemming of uitspraak van de deskundigen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betaald. Erfverpachter is bevoegd met deze waarde te verrekenen hetgeen hij</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nog uit hoofde van de erfpacht van de Erfpachter te vorderen heeft, kosten daaronder</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begrepen.</w:t>
      </w:r>
    </w:p>
    <w:p w14:paraId="2BECCBF4" w14:textId="0D525760" w:rsidR="00EA5D69" w:rsidRPr="00424CB6" w:rsidRDefault="00EA5D69" w:rsidP="00424CB6">
      <w:pPr>
        <w:autoSpaceDE w:val="0"/>
        <w:autoSpaceDN w:val="0"/>
        <w:adjustRightInd w:val="0"/>
        <w:spacing w:line="293" w:lineRule="auto"/>
        <w:ind w:left="1134"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C81D34" w:rsidRPr="00424CB6">
        <w:rPr>
          <w:rFonts w:cs="Arial-ItalicMT"/>
          <w:i/>
          <w:iCs/>
          <w:szCs w:val="17"/>
          <w:lang w:val="nl-NL"/>
          <w14:ligatures w14:val="standardContextual"/>
        </w:rPr>
        <w:tab/>
      </w:r>
      <w:r w:rsidRPr="00424CB6">
        <w:rPr>
          <w:rFonts w:cs="Arial-ItalicMT"/>
          <w:i/>
          <w:iCs/>
          <w:szCs w:val="17"/>
          <w:lang w:val="nl-NL"/>
          <w14:ligatures w14:val="standardContextual"/>
        </w:rPr>
        <w:t>Indien Erfpachter haar rechten en plichten op grond van deze overeenkomst met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medewerking van Erfverpachter overdraagt aan een derde, dan zal het recht van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 en de opstalrechten ongewijzigd worden voortgezet, met dien verstande dat</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Erfverpachter gerechtigd is de erfpachtcanon en afkoopsom te heronderhandelen</w:t>
      </w:r>
      <w:r w:rsidR="00C81D3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de derde.</w:t>
      </w:r>
    </w:p>
    <w:p w14:paraId="3659133A"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12</w:t>
      </w:r>
    </w:p>
    <w:p w14:paraId="12436BC5"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TOESTEMMING</w:t>
      </w:r>
    </w:p>
    <w:p w14:paraId="122C3837" w14:textId="7A8C7042"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In alle gevallen waarin schriftelijk voorafgaande toestemming van Erfverpachter is</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vereist, kunnen aan een toestemming redelijke voorwaarden worden verbonden,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welke voorwaarden niet gericht mogen zijn op het verkrijgen van een hogere financiële tegenprestatie zonder dat daar tegenover daaraan gerelateerde extra</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inspanningen of, prestaties van de Erfverpachter staan.</w:t>
      </w:r>
    </w:p>
    <w:p w14:paraId="6FB31AB5" w14:textId="2AA61063"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Het verleend zijn van een toestemming in de zin van lid 1 laat onverlet -de op grond</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wet- en regelgeving of andere overeenkomsten bestaande verplichtingen van 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Erfpachter om vergunning en/of toestemming te vragen.</w:t>
      </w:r>
    </w:p>
    <w:p w14:paraId="0B5F61C6" w14:textId="5041D42A"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3.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en eenmaal verleende toestemming ontslaat de Erfpachter niet van zijn verplichting</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 andermaal toestemming te vragen indien en zodra dit nodig is, en verplicht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Erfverpachter niet tot het verlenen van toestemming in zodanig geval.</w:t>
      </w:r>
    </w:p>
    <w:p w14:paraId="4CA21B81" w14:textId="55E7588A"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4.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Het verlenen van toestemming ontslaat de Erfpachter niet van een juiste nakoming</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voor hem uit de erfpacht voortvloeiende verplichtingen, terwijl Erfverpachter</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door het verlenen van toestemming geen enkele aansprakelijkheid aanvaardt.</w:t>
      </w:r>
    </w:p>
    <w:p w14:paraId="02060CFE"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13</w:t>
      </w:r>
    </w:p>
    <w:p w14:paraId="3D2D19AE"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BURGERLIJK WETBOEK</w:t>
      </w:r>
    </w:p>
    <w:p w14:paraId="041C5CA9" w14:textId="01128940"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1.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Wanneer het Burgerlijk Wetboek, naar aanleiding van rechtspraak, voor partijen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onvoorziene consequenties zal hebben voor de inhoud en/of uitvoering van de rechten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verplichtingen van partijen dan zal bij de bepaling van hetgeen partijen jegens</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elkaar verplicht en gerechtigd zijn zo dicht mogelijk worden aangesloten bij 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bedoeling van hetgeen in de akte van vestiging en in de voorwaarden is neergelegd.</w:t>
      </w:r>
    </w:p>
    <w:p w14:paraId="2BBFC62C" w14:textId="7F92CE73"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2.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Indien één van de partijen dit in verband met de in het vorige lid bedoelde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consequenties noodzakelijk acht, zullen partijen dienaangaande nadere afspraken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elkaar maken, waarbij hetgeen in het vorige lid is bepaald wordt nagestreefd.</w:t>
      </w:r>
    </w:p>
    <w:p w14:paraId="772259D3"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14</w:t>
      </w:r>
    </w:p>
    <w:p w14:paraId="7BDCFDAB"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AANTEKENING IN DE OPENBARE REGISTERS</w:t>
      </w:r>
    </w:p>
    <w:p w14:paraId="2E1ED518" w14:textId="3B6BC188"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Wanneer het blijkens deze akte verleende recht van erfpacht door welke oorzaak ook, zal</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zijn geëindigd, is Erfverpachter bevoegd daarvan aantekening te laten doen in 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openbare registers.</w:t>
      </w:r>
    </w:p>
    <w:p w14:paraId="6FE1C11F"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Artikel 15</w:t>
      </w:r>
    </w:p>
    <w:p w14:paraId="42BAC66F"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RECHT VAN OPSTAL</w:t>
      </w:r>
    </w:p>
    <w:p w14:paraId="5A660383" w14:textId="194FD712"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Waar in deze akte wordt gesproken over de Erfpachter of het recht van erfpacht, wordt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daaronder mede verstaan de Opstalhouder en het recht van opstal."</w:t>
      </w:r>
    </w:p>
    <w:p w14:paraId="16A19AAC" w14:textId="77777777"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Enzovoorts</w:t>
      </w:r>
    </w:p>
    <w:p w14:paraId="50B78968"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lang w:val="nl-NL"/>
          <w14:ligatures w14:val="standardContextual"/>
        </w:rPr>
        <w:t>"</w:t>
      </w:r>
      <w:r w:rsidRPr="00424CB6">
        <w:rPr>
          <w:rFonts w:cs="Arial-ItalicMT"/>
          <w:i/>
          <w:iCs/>
          <w:szCs w:val="17"/>
          <w:u w:val="single"/>
          <w:lang w:val="nl-NL"/>
          <w14:ligatures w14:val="standardContextual"/>
        </w:rPr>
        <w:t>Artikel 19</w:t>
      </w:r>
    </w:p>
    <w:p w14:paraId="2C1F3B37"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PUBLIEKRECHTELIJKE EN PRIVAATRECHTELIJKE BEPERKINGEN/BEPERKTE</w:t>
      </w:r>
    </w:p>
    <w:p w14:paraId="452F7E0E" w14:textId="77777777" w:rsidR="00EA5D69" w:rsidRPr="00424CB6" w:rsidRDefault="00EA5D69" w:rsidP="00424CB6">
      <w:pPr>
        <w:autoSpaceDE w:val="0"/>
        <w:autoSpaceDN w:val="0"/>
        <w:adjustRightInd w:val="0"/>
        <w:spacing w:line="293" w:lineRule="auto"/>
        <w:ind w:left="851"/>
        <w:jc w:val="both"/>
        <w:rPr>
          <w:rFonts w:cs="Arial-ItalicMT"/>
          <w:i/>
          <w:iCs/>
          <w:szCs w:val="17"/>
          <w:u w:val="single"/>
          <w:lang w:val="nl-NL"/>
          <w14:ligatures w14:val="standardContextual"/>
        </w:rPr>
      </w:pPr>
      <w:r w:rsidRPr="00424CB6">
        <w:rPr>
          <w:rFonts w:cs="Arial-ItalicMT"/>
          <w:i/>
          <w:iCs/>
          <w:szCs w:val="17"/>
          <w:u w:val="single"/>
          <w:lang w:val="nl-NL"/>
          <w14:ligatures w14:val="standardContextual"/>
        </w:rPr>
        <w:t>GENOTSRECHTEN</w:t>
      </w:r>
    </w:p>
    <w:p w14:paraId="271D6FF9" w14:textId="3542EC48"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Met betrekking tot beperkingen voortvloeiende uit het bestaan van erfdienstbaarheden,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bijzondere lasten en beperkingen, zakelijke rechten, kettingbedingen en kwalitatieve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wordt uitdrukkelijk verwezen naar de voornoemde aankomsttitel waarin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onder meer is bepaald:</w:t>
      </w:r>
    </w:p>
    <w:p w14:paraId="491546F5" w14:textId="47292703" w:rsidR="00EA5D69" w:rsidRPr="00424CB6" w:rsidRDefault="00EA5D69" w:rsidP="00424CB6">
      <w:pPr>
        <w:autoSpaceDE w:val="0"/>
        <w:autoSpaceDN w:val="0"/>
        <w:adjustRightInd w:val="0"/>
        <w:spacing w:line="293" w:lineRule="auto"/>
        <w:ind w:left="851"/>
        <w:jc w:val="both"/>
        <w:rPr>
          <w:rFonts w:cs="Arial-ItalicMT"/>
          <w:i/>
          <w:iCs/>
          <w:szCs w:val="17"/>
          <w:lang w:val="nl-NL"/>
          <w14:ligatures w14:val="standardContextual"/>
        </w:rPr>
      </w:pPr>
      <w:r w:rsidRPr="00424CB6">
        <w:rPr>
          <w:rFonts w:cs="Arial-ItalicMT"/>
          <w:i/>
          <w:iCs/>
          <w:szCs w:val="17"/>
          <w:lang w:val="nl-NL"/>
          <w14:ligatures w14:val="standardContextual"/>
        </w:rPr>
        <w:t>""Voor wat betreft de registergoederen hiervoor gemeld sub 4 (thans genummerd 1916,</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1917 en 1436) naar een onder 4 genoemde akte van levering, bij afschrift ingeschreven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ten kantore van de Rijksdienst van het Kadaster en de Openbare registers te Amsterdam,</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drieëntwintig september negentienhonderd tweeënnegentig in deel 11130 nummer 18,</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waarin wordt vermeld dat de genoemde kadastrale nummers 1436 en 1459 (thans 1916)</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zijn belast met een (beperkt) zakelijk recht van het aanleggen, gebruiken en instandhouden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een gastransportleiding ten behoeve van de naamloze vennootschap N.V.</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Nederlandse Gasunie, zoals neergelegd in de inmiddels buiten werking gestelde)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Belemmeringenwet Privaatrecht.""</w:t>
      </w:r>
    </w:p>
    <w:p w14:paraId="583E28C3" w14:textId="6A75A494" w:rsidR="000D3A3B" w:rsidRPr="00424CB6" w:rsidRDefault="005177AF" w:rsidP="00424CB6">
      <w:pPr>
        <w:autoSpaceDE w:val="0"/>
        <w:autoSpaceDN w:val="0"/>
        <w:adjustRightInd w:val="0"/>
        <w:spacing w:line="293" w:lineRule="auto"/>
        <w:ind w:left="567"/>
        <w:jc w:val="both"/>
        <w:rPr>
          <w:rFonts w:cs="Arial-ItalicMT"/>
          <w:szCs w:val="17"/>
          <w:u w:val="single"/>
          <w:lang w:val="nl-NL"/>
          <w14:ligatures w14:val="standardContextual"/>
        </w:rPr>
      </w:pPr>
      <w:r w:rsidRPr="00424CB6">
        <w:rPr>
          <w:rFonts w:cs="Arial-ItalicMT"/>
          <w:szCs w:val="17"/>
          <w:highlight w:val="darkGray"/>
          <w:u w:val="single"/>
          <w:lang w:val="nl-NL"/>
          <w14:ligatures w14:val="standardContextual"/>
        </w:rPr>
        <w:t xml:space="preserve">Voor wat betreft de </w:t>
      </w:r>
      <w:r w:rsidRPr="00424CB6">
        <w:rPr>
          <w:rFonts w:cs="Arial-ItalicMT"/>
          <w:b/>
          <w:bCs/>
          <w:szCs w:val="17"/>
          <w:highlight w:val="darkGray"/>
          <w:u w:val="single"/>
          <w:lang w:val="nl-NL"/>
          <w14:ligatures w14:val="standardContextual"/>
        </w:rPr>
        <w:t>Percelen Afvalzorg</w:t>
      </w:r>
      <w:r w:rsidRPr="00424CB6">
        <w:rPr>
          <w:rFonts w:cs="Arial-ItalicMT"/>
          <w:szCs w:val="17"/>
          <w:highlight w:val="darkGray"/>
          <w:u w:val="single"/>
          <w:lang w:val="nl-NL"/>
          <w14:ligatures w14:val="standardContextual"/>
        </w:rPr>
        <w:t>:</w:t>
      </w:r>
    </w:p>
    <w:p w14:paraId="62E21848" w14:textId="300D4E50" w:rsidR="00EA5D69" w:rsidRPr="00424CB6" w:rsidRDefault="00EA5D69" w:rsidP="00424CB6">
      <w:pPr>
        <w:autoSpaceDE w:val="0"/>
        <w:autoSpaceDN w:val="0"/>
        <w:adjustRightInd w:val="0"/>
        <w:spacing w:line="293" w:lineRule="auto"/>
        <w:ind w:left="851" w:hanging="284"/>
        <w:jc w:val="both"/>
        <w:rPr>
          <w:rFonts w:cs="ArialMT"/>
          <w:i/>
          <w:iCs/>
          <w:szCs w:val="17"/>
          <w:lang w:val="nl-NL"/>
          <w14:ligatures w14:val="standardContextual"/>
        </w:rPr>
      </w:pPr>
      <w:r w:rsidRPr="00424CB6">
        <w:rPr>
          <w:rFonts w:cs="ArialMT"/>
          <w:i/>
          <w:iCs/>
          <w:szCs w:val="17"/>
          <w:lang w:val="nl-NL"/>
          <w14:ligatures w14:val="standardContextual"/>
        </w:rPr>
        <w:t xml:space="preserve">6. </w:t>
      </w:r>
      <w:r w:rsidR="00D71B0A" w:rsidRPr="00424CB6">
        <w:rPr>
          <w:rFonts w:cs="ArialMT"/>
          <w:i/>
          <w:iCs/>
          <w:szCs w:val="17"/>
          <w:lang w:val="nl-NL"/>
          <w14:ligatures w14:val="standardContextual"/>
        </w:rPr>
        <w:tab/>
      </w:r>
      <w:r w:rsidRPr="00424CB6">
        <w:rPr>
          <w:rFonts w:cs="ArialMT"/>
          <w:i/>
          <w:iCs/>
          <w:szCs w:val="17"/>
          <w:lang w:val="nl-NL"/>
          <w14:ligatures w14:val="standardContextual"/>
        </w:rPr>
        <w:t>Voor bestaande erfdienstbaarheden, kwalitatieve verplichtingen en/of andere bijzondere</w:t>
      </w:r>
      <w:r w:rsidR="00D71B0A" w:rsidRPr="00424CB6">
        <w:rPr>
          <w:rFonts w:cs="ArialMT"/>
          <w:i/>
          <w:iCs/>
          <w:szCs w:val="17"/>
          <w:lang w:val="nl-NL"/>
          <w14:ligatures w14:val="standardContextual"/>
        </w:rPr>
        <w:t xml:space="preserve"> </w:t>
      </w:r>
      <w:r w:rsidRPr="00424CB6">
        <w:rPr>
          <w:rFonts w:cs="ArialMT"/>
          <w:i/>
          <w:iCs/>
          <w:szCs w:val="17"/>
          <w:lang w:val="nl-NL"/>
          <w14:ligatures w14:val="standardContextual"/>
        </w:rPr>
        <w:t>verplichtingen met betrekking tot het Verkochte ND I 1, het Verkochte ND I 2, het</w:t>
      </w:r>
      <w:r w:rsidR="00D71B0A" w:rsidRPr="00424CB6">
        <w:rPr>
          <w:rFonts w:cs="ArialMT"/>
          <w:i/>
          <w:iCs/>
          <w:szCs w:val="17"/>
          <w:lang w:val="nl-NL"/>
          <w14:ligatures w14:val="standardContextual"/>
        </w:rPr>
        <w:t xml:space="preserve"> </w:t>
      </w:r>
      <w:r w:rsidRPr="00424CB6">
        <w:rPr>
          <w:rFonts w:cs="ArialMT"/>
          <w:i/>
          <w:iCs/>
          <w:szCs w:val="17"/>
          <w:lang w:val="nl-NL"/>
          <w14:ligatures w14:val="standardContextual"/>
        </w:rPr>
        <w:t>Verkochte ND II 1, het Verkochte ND II 2, het Verkochte NBO 1 en het Verkochte NBO 2</w:t>
      </w:r>
      <w:r w:rsidR="00D71B0A" w:rsidRPr="00424CB6">
        <w:rPr>
          <w:rFonts w:cs="ArialMT"/>
          <w:i/>
          <w:iCs/>
          <w:szCs w:val="17"/>
          <w:lang w:val="nl-NL"/>
          <w14:ligatures w14:val="standardContextual"/>
        </w:rPr>
        <w:t xml:space="preserve"> </w:t>
      </w:r>
      <w:r w:rsidRPr="00424CB6">
        <w:rPr>
          <w:rFonts w:cs="ArialMT"/>
          <w:i/>
          <w:iCs/>
          <w:szCs w:val="17"/>
          <w:lang w:val="nl-NL"/>
          <w14:ligatures w14:val="standardContextual"/>
        </w:rPr>
        <w:t>word</w:t>
      </w:r>
      <w:r w:rsidR="00D71B0A" w:rsidRPr="00424CB6">
        <w:rPr>
          <w:rFonts w:cs="ArialMT"/>
          <w:i/>
          <w:iCs/>
          <w:szCs w:val="17"/>
          <w:lang w:val="nl-NL"/>
          <w14:ligatures w14:val="standardContextual"/>
        </w:rPr>
        <w:t xml:space="preserve">t </w:t>
      </w:r>
      <w:r w:rsidRPr="00424CB6">
        <w:rPr>
          <w:rFonts w:cs="ArialMT"/>
          <w:i/>
          <w:iCs/>
          <w:szCs w:val="17"/>
          <w:lang w:val="nl-NL"/>
          <w14:ligatures w14:val="standardContextual"/>
        </w:rPr>
        <w:t>verwezen naar de Akte Kwalitatieve Verplichting, waarin onder meer het volgende</w:t>
      </w:r>
      <w:r w:rsidR="00D71B0A" w:rsidRPr="00424CB6">
        <w:rPr>
          <w:rFonts w:cs="ArialMT"/>
          <w:i/>
          <w:iCs/>
          <w:szCs w:val="17"/>
          <w:lang w:val="nl-NL"/>
          <w14:ligatures w14:val="standardContextual"/>
        </w:rPr>
        <w:t xml:space="preserve"> </w:t>
      </w:r>
      <w:r w:rsidRPr="00424CB6">
        <w:rPr>
          <w:rFonts w:cs="ArialMT"/>
          <w:i/>
          <w:iCs/>
          <w:szCs w:val="17"/>
          <w:lang w:val="nl-NL"/>
          <w14:ligatures w14:val="standardContextual"/>
        </w:rPr>
        <w:t>voorkomt, woordelijk luidende:</w:t>
      </w:r>
    </w:p>
    <w:p w14:paraId="16CA64FD"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KWALITATIEVE VERPLICHTINGEN, KETTINGBEDINGEN EN BOETEBEDINGEN</w:t>
      </w:r>
    </w:p>
    <w:p w14:paraId="6D9107C9" w14:textId="77777777" w:rsidR="00EA5D69" w:rsidRPr="00424CB6" w:rsidRDefault="00EA5D69"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7</w:t>
      </w:r>
    </w:p>
    <w:p w14:paraId="32F2D7FD" w14:textId="2718061C" w:rsidR="00EA5D69" w:rsidRPr="00424CB6" w:rsidRDefault="00EA5D69"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7.1 NBO, DEV I, DEV II en MG&amp;H verwijzen naar het bepaalde in de artikelen 5.4, 9.2,</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11.5, 11.6, 14.2, 14.3, 14.4, 14.5 en 14.6 van de Overeenkomst, woordelijk luidende:</w:t>
      </w:r>
    </w:p>
    <w:p w14:paraId="2954D71C" w14:textId="1E9809E8" w:rsidR="00EA5D69" w:rsidRPr="00424CB6" w:rsidRDefault="00EA5D69"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 xml:space="preserve">5. </w:t>
      </w:r>
      <w:r w:rsidR="00D71B0A" w:rsidRPr="00424CB6">
        <w:rPr>
          <w:rFonts w:cs="Arial-BoldItalicMT"/>
          <w:b/>
          <w:bCs/>
          <w:i/>
          <w:iCs/>
          <w:szCs w:val="17"/>
          <w:lang w:val="nl-NL"/>
          <w14:ligatures w14:val="standardContextual"/>
        </w:rPr>
        <w:tab/>
      </w:r>
      <w:r w:rsidRPr="00424CB6">
        <w:rPr>
          <w:rFonts w:cs="Arial-BoldItalicMT"/>
          <w:b/>
          <w:bCs/>
          <w:i/>
          <w:iCs/>
          <w:szCs w:val="17"/>
          <w:lang w:val="nl-NL"/>
          <w14:ligatures w14:val="standardContextual"/>
        </w:rPr>
        <w:t>LEVERING"</w:t>
      </w:r>
    </w:p>
    <w:p w14:paraId="36CD0A9D"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58F091DE" w14:textId="44CA43CE"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"5.4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In de Verticale Splitsingsakte en Leveringsakte zal een erfdienstbaarheid ten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gunste van het Perceel worden gevestigd, inhoudende een recht om op de minst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bezwarende wijze via de paden van de Golfbanen te komen en te gaan van 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parkeerplaatsen van de Golfbanen naar het Perceel. Indien op de Golfbanen een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aanlegsteiger wordt gerealiseerd zal (aanvullend) een erfdienstbaarheid ten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gunste van het Perceel worden gevestigd, inhoudende een recht om op de minst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bezwarende wijze via de paden van de Golfbanen te komen en te gaan van deze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aanlegsteiger naar het Perceel. Indien op het Perceel een aanlegsteiger wordt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gerealiseerd zal (aanvullend) een erfdienstbaarheid ten gunste van de Golfbanen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gevestigd, inhoudende een recht om op de minst bezwarende wijze via</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paden van het Perceel te komen en te gaan van deze aanlegsteiger naar de</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Golfbanen."</w:t>
      </w:r>
    </w:p>
    <w:p w14:paraId="2018D29C"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73545FCB" w14:textId="49C0DB7A" w:rsidR="00EA5D69" w:rsidRPr="00424CB6" w:rsidRDefault="00EA5D69"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 xml:space="preserve">9. </w:t>
      </w:r>
      <w:r w:rsidR="00D71B0A" w:rsidRPr="00424CB6">
        <w:rPr>
          <w:rFonts w:cs="Arial-BoldItalicMT"/>
          <w:b/>
          <w:bCs/>
          <w:i/>
          <w:iCs/>
          <w:szCs w:val="17"/>
          <w:lang w:val="nl-NL"/>
          <w14:ligatures w14:val="standardContextual"/>
        </w:rPr>
        <w:tab/>
      </w:r>
      <w:r w:rsidRPr="00424CB6">
        <w:rPr>
          <w:rFonts w:cs="Arial-BoldItalicMT"/>
          <w:b/>
          <w:bCs/>
          <w:i/>
          <w:iCs/>
          <w:szCs w:val="17"/>
          <w:lang w:val="nl-NL"/>
          <w14:ligatures w14:val="standardContextual"/>
        </w:rPr>
        <w:t>VERPLICHTINGEN TEN AANZIEN VAN DE GOLFBANEN EN HET PERCEEL"</w:t>
      </w:r>
    </w:p>
    <w:p w14:paraId="06EBE6A3"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206B08FA" w14:textId="1B07CC37"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"9.2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NBO en MG&amp;H komen overeen dat de parkeerplaats van NBO ten behoeve van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Golfbanen bij het plaatsvinden van events van MG&amp;H (of haar huurders of</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gebruikers) tevens door de bezoekers van het Perceel mag worden gebruikt als</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overloopparkeerplaats van de parkeerplaats van MG&amp;H, dat wil zeggen wanneer</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capaciteit van de parkeerplaats van MG&amp;H is bereikt, met dien verstande dat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alsdan niet meer dan 50% van de beschikbare capaciteit van de parkeerplaats</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NBO ten behoeve van de Golfbanen door MG&amp;H zal mogen worden gebruikt,</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met inachtneming van geldende parkeervoorwaarden. NBO en MG&amp;H zullen in</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dat geval gelijke parkeertarieven hanteren, die in redelijkheid en in onderling</w:t>
      </w:r>
      <w:r w:rsidR="00D71B0A"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overleg worden vastgesteld."</w:t>
      </w:r>
    </w:p>
    <w:p w14:paraId="45441691"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602297E8" w14:textId="77777777" w:rsidR="00EA5D69" w:rsidRPr="00424CB6" w:rsidRDefault="00EA5D69"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Regeling bij aankoop bloot eigendom</w:t>
      </w:r>
    </w:p>
    <w:p w14:paraId="161F6DB1" w14:textId="35F13496"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11.5 </w:t>
      </w:r>
      <w:r w:rsidR="00D71B0A" w:rsidRPr="00424CB6">
        <w:rPr>
          <w:rFonts w:cs="Arial-ItalicMT"/>
          <w:i/>
          <w:iCs/>
          <w:szCs w:val="17"/>
          <w:lang w:val="nl-NL"/>
          <w14:ligatures w14:val="standardContextual"/>
        </w:rPr>
        <w:tab/>
      </w:r>
      <w:r w:rsidRPr="00424CB6">
        <w:rPr>
          <w:rFonts w:cs="Arial-ItalicMT"/>
          <w:i/>
          <w:iCs/>
          <w:szCs w:val="17"/>
          <w:lang w:val="nl-NL"/>
          <w14:ligatures w14:val="standardContextual"/>
        </w:rPr>
        <w:t>Indien NBO of DEV I of DEV II, op enig moment nadat de Verticale Splitsingsakte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is gepasseerd, het bloot eigendom van de grond waarop zich de Golfbanen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bevinden en/of de grond waarop zich het Perceel bevindt, kan verkrijgen, zal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NBO of DEV I of DEV II het bloot eigendom van de </w:t>
      </w:r>
      <w:r w:rsidRPr="00424CB6">
        <w:rPr>
          <w:rFonts w:cs="Arial-ItalicMT"/>
          <w:i/>
          <w:iCs/>
          <w:szCs w:val="17"/>
          <w:lang w:val="nl-NL"/>
          <w14:ligatures w14:val="standardContextual"/>
        </w:rPr>
        <w:lastRenderedPageBreak/>
        <w:t>grond waarop zich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Perceel bevindt onder geen beding accepteren. NBO, DEV I, DEV II zullen zich</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ervoor inspannen dat MG&amp;H het bloot eigendom van de grond onder het Perceel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Gemeente Gooise Meren kan verkrijgen tegen gelijke voorwaarden als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voorwaarden als die dan gelden voor NBO of DEV I of DEV II (ten aanzien van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grond onder het Perceel). Indien deze inspanning niet slaagt blijft het verbod voor NBO of DEV I of DEV II, het bloot eigendom van de grond waarop zich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Perceel bevindt te accepteren onverminderd in stand.</w:t>
      </w:r>
    </w:p>
    <w:p w14:paraId="3955FB9F" w14:textId="0D0B74BD"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11.6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Indien MG&amp;H, op enig moment nadat de Verticale Splitsingsakte is gepasseerd,</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bloot eigendom van de grond waarop zich de Golfbanen bevinden en/of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grond waarop zich het Perceel bevindt, kan verkrijgen, zal MG&amp;H het bloot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eigendom van de grond waarop zich de Golfbanen bevinden, onder geen beding</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accepteren. MG&amp;H zal zich ervoor inspannen dat NBO, DEV I of DEV II het bloot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eigendom van de grond waarop zich de Golfbanen bevinden van de Gemeente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Gooise Meren kan verkrijgen tegen gelijke voorwaarden als de voorwaarden als</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 dan gelden voor MG&amp;H (ten aanzien van de grond onder de Golfbanen).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Indien deze inspanning niet slaagt blijft het verbod voor MG&amp;H het bloot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eigendom van de grond waarop zich de Golfbanen bevinden te accepteren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onverminderd in stand."</w:t>
      </w:r>
    </w:p>
    <w:p w14:paraId="32A2D69C"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2C0FDBF7" w14:textId="77777777" w:rsidR="00EA5D69" w:rsidRPr="00424CB6" w:rsidRDefault="00EA5D69" w:rsidP="00424CB6">
      <w:pPr>
        <w:autoSpaceDE w:val="0"/>
        <w:autoSpaceDN w:val="0"/>
        <w:adjustRightInd w:val="0"/>
        <w:spacing w:line="293" w:lineRule="auto"/>
        <w:ind w:left="1134"/>
        <w:jc w:val="both"/>
        <w:rPr>
          <w:rFonts w:cs="Arial-BoldItalicMT"/>
          <w:b/>
          <w:bCs/>
          <w:i/>
          <w:iCs/>
          <w:szCs w:val="17"/>
          <w:lang w:val="nl-NL"/>
          <w14:ligatures w14:val="standardContextual"/>
        </w:rPr>
      </w:pP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14. CLUBHUIS EN BESTEMMINGSPLAN"</w:t>
      </w:r>
    </w:p>
    <w:p w14:paraId="77765C88" w14:textId="77777777" w:rsidR="00EA5D69" w:rsidRPr="00424CB6" w:rsidRDefault="00EA5D69"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w:t>
      </w:r>
    </w:p>
    <w:p w14:paraId="7376D9F7" w14:textId="49193A78"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"14.2(i) NBO, (ii) DEV I, (iii) DEV II dan wel (iv) enige andere vennootschap waarover</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zeggenschap (direct of indirect) wordt uitgeoefend door van de Kuit dan wel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 enige huurder of gebruiker van het te realiseren clubhuis, zal/zullen het door</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partijen onder (i) t/m (iv) te realiseren clubhuis uitsluitend mogen gebruiken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golf en golf-gerelateerde activiteiten (waartoe ook doch niet uitsluitend</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behoort wellness, golfshop en restaurant) uitsluitend ten behoeve van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gebruikers van de Golfbanen, waarbij het haar/hen overigens vrij zal staan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faciliteiten aan te bieden die zij daartoe wenselijk acht(en). Niet golf-gerelateerde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activiteiten zullen aldus niet zijn toegestaan.</w:t>
      </w:r>
    </w:p>
    <w:p w14:paraId="61EBF005" w14:textId="39C5F05C"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14.3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MG&amp;H zal het multifunctionele gebouw op het Perceel uitsluitend mogen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gebruiken voor alle niet golf-gerelateerde activiteiten, waarbij het haar overigens</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vrij zal staan faciliteiten aan te bieden die zij wenselijk acht. Golf en golfgerelateerde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activiteiten zullen aldus niet zijn toegestaan.</w:t>
      </w:r>
    </w:p>
    <w:p w14:paraId="18B2A5C4" w14:textId="42B6A173"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14.4</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In de Leveringsakte en/of de Verticale Splitsingsakte zijn bepalingen opgenomen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 waarborgen dat opvolgende rechthebbenden tot de Golfbanen respectievelijk</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Perceel enerzijds gebonden zullen aan het bepaalde in Artikel 14.2</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respectievelijk 14.3 en anderzijds nakoming van het bepaalde in Artikel 14.3</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respectievelijk 14.2 zullen mogen verlangen.</w:t>
      </w:r>
    </w:p>
    <w:p w14:paraId="00F7986F" w14:textId="543E310E" w:rsidR="00EA5D69"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14.5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NBO, DEV I, DEV II en MG&amp;H zullen na Levering gezamenlijk optrekken naar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Gemeente Gooise Meren met betrekking tot het bestemmingsplan voor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gebied waaronder de Golfbanen vallen en elkaars ambities ten aanzien van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Golfbanen en het Perceel niet op onredelijke wijze dwarsbomen, een en ander in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goed overleg te bepalen.</w:t>
      </w:r>
    </w:p>
    <w:p w14:paraId="0E0C9F85" w14:textId="04642A63" w:rsidR="00B84008" w:rsidRPr="00424CB6" w:rsidRDefault="00EA5D69" w:rsidP="00424CB6">
      <w:pPr>
        <w:autoSpaceDE w:val="0"/>
        <w:autoSpaceDN w:val="0"/>
        <w:adjustRightInd w:val="0"/>
        <w:spacing w:line="293" w:lineRule="auto"/>
        <w:ind w:left="1560" w:hanging="426"/>
        <w:jc w:val="both"/>
        <w:rPr>
          <w:rFonts w:cs="Arial-ItalicMT"/>
          <w:i/>
          <w:iCs/>
          <w:szCs w:val="17"/>
          <w:lang w:val="nl-NL"/>
          <w14:ligatures w14:val="standardContextual"/>
        </w:rPr>
      </w:pPr>
      <w:r w:rsidRPr="00424CB6">
        <w:rPr>
          <w:rFonts w:cs="Arial-ItalicMT"/>
          <w:i/>
          <w:iCs/>
          <w:szCs w:val="17"/>
          <w:lang w:val="nl-NL"/>
          <w14:ligatures w14:val="standardContextual"/>
        </w:rPr>
        <w:t xml:space="preserve">14.6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NBO en/of DEV I en/of DEV II en diens rechtsopvolgers en MG&amp;H en diens</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zullen bij iedere overdracht of overgang uit welke hoofde ook van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Golfbanen of van een gedeelte daarvan respectievelijk het Perceel of een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gedeelte daarvan de hiervoor in Artikel 5.4, 9.2, 11.5, 11.6, 14.4 en 14.5</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omschreven bepalingen alsmede het bepaalde in dit Artikel 14.6 ten behoeve van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MG&amp;H of diens rechtsopvolgers respectievelijk NBO en/of DEV I en/of DEV II 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diens rechtsopvolgers aan de verkrijger/gerechtigde van de Golfbanen of een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gedeelte daarvan respectievelijk het Perceel of een gedeelte daarvan als</w:t>
      </w:r>
      <w:r w:rsidR="00B84008" w:rsidRPr="00424CB6">
        <w:rPr>
          <w:rFonts w:cs="Arial-ItalicMT"/>
          <w:i/>
          <w:iCs/>
          <w:szCs w:val="17"/>
          <w:lang w:val="nl-NL"/>
          <w14:ligatures w14:val="standardContextual"/>
        </w:rPr>
        <w:t xml:space="preserve"> kettingbeding opleggen en namens NBO en/of DEV I en/of DEV II of haar</w:t>
      </w:r>
      <w:r w:rsidR="00D82C40" w:rsidRPr="00424CB6">
        <w:rPr>
          <w:rFonts w:cs="Arial-ItalicMT"/>
          <w:i/>
          <w:iCs/>
          <w:szCs w:val="17"/>
          <w:lang w:val="nl-NL"/>
          <w14:ligatures w14:val="standardContextual"/>
        </w:rPr>
        <w:t xml:space="preserve"> </w:t>
      </w:r>
      <w:r w:rsidR="00B84008" w:rsidRPr="00424CB6">
        <w:rPr>
          <w:rFonts w:cs="Arial-ItalicMT"/>
          <w:i/>
          <w:iCs/>
          <w:szCs w:val="17"/>
          <w:lang w:val="nl-NL"/>
          <w14:ligatures w14:val="standardContextual"/>
        </w:rPr>
        <w:t>rechtsopvolgers respectievelijk MG&amp;H of haar rechtsopvolgers aanvaarden, op</w:t>
      </w:r>
      <w:r w:rsidR="00D82C40" w:rsidRPr="00424CB6">
        <w:rPr>
          <w:rFonts w:cs="Arial-ItalicMT"/>
          <w:i/>
          <w:iCs/>
          <w:szCs w:val="17"/>
          <w:lang w:val="nl-NL"/>
          <w14:ligatures w14:val="standardContextual"/>
        </w:rPr>
        <w:t xml:space="preserve"> </w:t>
      </w:r>
      <w:r w:rsidR="00B84008" w:rsidRPr="00424CB6">
        <w:rPr>
          <w:rFonts w:cs="Arial-ItalicMT"/>
          <w:i/>
          <w:iCs/>
          <w:szCs w:val="17"/>
          <w:lang w:val="nl-NL"/>
          <w14:ligatures w14:val="standardContextual"/>
        </w:rPr>
        <w:t>straffe van een boete van EUR 500.000 bij niet of niet behoorlijke nakoming,</w:t>
      </w:r>
      <w:r w:rsidR="00D82C40" w:rsidRPr="00424CB6">
        <w:rPr>
          <w:rFonts w:cs="Arial-ItalicMT"/>
          <w:i/>
          <w:iCs/>
          <w:szCs w:val="17"/>
          <w:lang w:val="nl-NL"/>
          <w14:ligatures w14:val="standardContextual"/>
        </w:rPr>
        <w:t xml:space="preserve"> </w:t>
      </w:r>
      <w:r w:rsidR="00B84008" w:rsidRPr="00424CB6">
        <w:rPr>
          <w:rFonts w:cs="Arial-ItalicMT"/>
          <w:i/>
          <w:iCs/>
          <w:szCs w:val="17"/>
          <w:lang w:val="nl-NL"/>
          <w14:ligatures w14:val="standardContextual"/>
        </w:rPr>
        <w:t>onverminderd het recht op schadevergoeding."</w:t>
      </w:r>
    </w:p>
    <w:p w14:paraId="45BCE89D" w14:textId="77777777" w:rsidR="00D82C40"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7.2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NBO, DEV I, DEV II respectievelijk MG&amp;H komen hierbij overeen dat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hiervoor</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vermelde verplichtingen van NBO, DEV I, DEV II respectievelijk MG&amp;H uit hoofde van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bepaalde in artikel 7.1 gelden als kwalitatieve verplichtingen als bedoeld in artikel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6:252 van het Burgerlijk Wetboek en wel ten aanzien van de hierna in artikel 7.4</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vermelde registergoederen, zodat deze verplichtingen ook zullen gelden voor</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van NBO, DEV I, DEV II en MG&amp;H en degenen die van NBO, DEV I,</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lastRenderedPageBreak/>
        <w:t>DEV II en MG&amp;H of diens rechtsopvolgers een recht tot gebruik van de hierna in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7.4 vermelde registergoederen krijgen, mede gebonden zullen zijn.</w:t>
      </w:r>
    </w:p>
    <w:p w14:paraId="5246EC05" w14:textId="734B5A78" w:rsidR="00B84008" w:rsidRPr="00424CB6" w:rsidRDefault="00B84008" w:rsidP="00424CB6">
      <w:pPr>
        <w:autoSpaceDE w:val="0"/>
        <w:autoSpaceDN w:val="0"/>
        <w:adjustRightInd w:val="0"/>
        <w:spacing w:line="293" w:lineRule="auto"/>
        <w:ind w:left="1134"/>
        <w:jc w:val="both"/>
        <w:rPr>
          <w:rFonts w:cs="Arial-ItalicMT"/>
          <w:i/>
          <w:iCs/>
          <w:szCs w:val="17"/>
          <w:lang w:val="nl-NL"/>
          <w14:ligatures w14:val="standardContextual"/>
        </w:rPr>
      </w:pPr>
      <w:r w:rsidRPr="00424CB6">
        <w:rPr>
          <w:rFonts w:cs="Arial-ItalicMT"/>
          <w:i/>
          <w:iCs/>
          <w:szCs w:val="17"/>
          <w:lang w:val="nl-NL"/>
          <w14:ligatures w14:val="standardContextual"/>
        </w:rPr>
        <w:t>Voor zover nodig verklaren de verschenen personen handelend namens NBO, DEV I,</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DEV II respectievelijk MG&amp;H de hiervoor in artikel 7.1 bedoelde verplichtingen 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aanvaarden en de rechten die ten behoeve van NBO, DEV I, en DEV II respectievelijk</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MG&amp;H zijn bedongen, te aanvaarden.</w:t>
      </w:r>
    </w:p>
    <w:p w14:paraId="67A8E7EF" w14:textId="6ACC9F46" w:rsidR="00B84008"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7.3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Voor zover de verplichtingen van NBO, DEV I, en DEV II en MG&amp;H uit hoofde van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bepaalde in artikel 7.1 niet bestaan uit een dulden of een niet doen en zodoende niet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kunnen worden vastgelegd middels kwalitatieve verplichtingen als bedoeld in artikel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6:252 van het Burgerlijk Wetboek, worden bedoelde verplichtingen hierbij als</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kettingbedingen met bijbehorende boetebedingen in onderhavige akte aan NBO, DEV</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 en DEV II respectievelijk MG&amp;H opgelegd ten behoeve van MG&amp;H respectievelijk</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NBO, DEV I, en DEV II en mitsdien onder de verplichting van NBO, DEV I, en DEV II</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MG&amp;H om bij enige overdracht onder bijzondere titel deze verplichtingen alsmede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onder dit artikel bepaalde aan zijn/haar rechtsopvolger(s) op te leggen en deze 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verplichten om deze bepalingen wederom op te leggen aan diens/hun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rechtsopvolger(s) bij elke volgende overdracht onder bijzondere titel, zulks op</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verbeurte van een direct opeisbare boete van vijfhonderdduizend euro (EUR</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500.000,--) ten behoeve van NBO, DEV I, en DEV II respectievelijk MG&amp;H bij niet of</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niet behoorlijke nakoming, onverminderd het recht op schadevergoeding.</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zover nodig verklaren de verschenen personen handelend namens NBO, DEV I,</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DEV II respectievelijk MG&amp;H de hiervoor bedoelde verplichtingen te aanvaarden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de rechten die ten behoeve van NBO, DEV I, en DEV II respectievelijk MG&amp;H zijn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bedongen, te aanvaarden.</w:t>
      </w:r>
    </w:p>
    <w:p w14:paraId="27408983" w14:textId="6C990BDC" w:rsidR="00B84008"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7.4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De hiervoor in artikel 7.1 vermelde verplichtingen van NBO, DEV I, DEV II</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respectievelijk MG&amp;H hebben betrekken op de navolgende registergoederen:</w:t>
      </w:r>
    </w:p>
    <w:p w14:paraId="71E83FD4" w14:textId="70F8752A"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voor wat betreft NBO: het Erfpachtrecht B en het Opstalrecht B;</w:t>
      </w:r>
    </w:p>
    <w:p w14:paraId="75E58EAA" w14:textId="06B3B037"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voor wat betreft DEV I: het Erfpachtrecht DEV I;</w:t>
      </w:r>
    </w:p>
    <w:p w14:paraId="029F0A45" w14:textId="367BED72"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voor wat betreft DEV II: het Erfpachtrecht DEV II; en</w:t>
      </w:r>
    </w:p>
    <w:p w14:paraId="2A59ABF2" w14:textId="4B51027C"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voor wat betreft MG&amp;H: het Erfpachtrecht A en het Opstalrecht A.</w:t>
      </w:r>
    </w:p>
    <w:p w14:paraId="4D262334" w14:textId="77777777" w:rsidR="00B84008" w:rsidRPr="00424CB6" w:rsidRDefault="00B84008"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VESTIGING ERFDIENSTBAARHEID</w:t>
      </w:r>
    </w:p>
    <w:p w14:paraId="4B216CE3" w14:textId="77777777" w:rsidR="00B84008" w:rsidRPr="00424CB6" w:rsidRDefault="00B84008"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8</w:t>
      </w:r>
    </w:p>
    <w:p w14:paraId="758CF6D5" w14:textId="5145E8E5" w:rsidR="00B84008"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8.1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Ter uitvoering van de Overeenkomst vestigt NBO hierbij ten behoeve van MG&amp;H, die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hierbij van NBO aanvaardt, de navolgende erfdienstbaarheid van overpad:</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de erfdienstbaarheid ten behoeve van de percelen kadastraal bekend </w:t>
      </w:r>
      <w:r w:rsidRPr="00424CB6">
        <w:rPr>
          <w:rFonts w:cs="Arial-BoldItalicMT"/>
          <w:b/>
          <w:bCs/>
          <w:i/>
          <w:iCs/>
          <w:szCs w:val="17"/>
          <w:lang w:val="nl-NL"/>
          <w14:ligatures w14:val="standardContextual"/>
        </w:rPr>
        <w:t>gemeente</w:t>
      </w:r>
      <w:r w:rsidR="00D82C40" w:rsidRPr="00424CB6">
        <w:rPr>
          <w:rFonts w:cs="Arial-ItalicMT"/>
          <w:i/>
          <w:iCs/>
          <w:szCs w:val="17"/>
          <w:lang w:val="nl-NL"/>
          <w14:ligatures w14:val="standardContextual"/>
        </w:rPr>
        <w:t xml:space="preserve"> </w:t>
      </w:r>
      <w:r w:rsidRPr="00424CB6">
        <w:rPr>
          <w:rFonts w:cs="Arial-BoldItalicMT"/>
          <w:b/>
          <w:bCs/>
          <w:i/>
          <w:iCs/>
          <w:szCs w:val="17"/>
          <w:lang w:val="nl-NL"/>
          <w14:ligatures w14:val="standardContextual"/>
        </w:rPr>
        <w:t xml:space="preserve">Naarden, sectie A, nummers 2516, 2517, 2518, 2536 en 2270 </w:t>
      </w:r>
      <w:r w:rsidRPr="00424CB6">
        <w:rPr>
          <w:rFonts w:cs="Arial-ItalicMT"/>
          <w:i/>
          <w:iCs/>
          <w:szCs w:val="17"/>
          <w:lang w:val="nl-NL"/>
          <w14:ligatures w14:val="standardContextual"/>
        </w:rPr>
        <w:t>als heersend erf 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 xml:space="preserve">ten laste van het perceel kadastraal bekend </w:t>
      </w:r>
      <w:r w:rsidRPr="00424CB6">
        <w:rPr>
          <w:rFonts w:cs="Arial-BoldItalicMT"/>
          <w:b/>
          <w:bCs/>
          <w:i/>
          <w:iCs/>
          <w:szCs w:val="17"/>
          <w:lang w:val="nl-NL"/>
          <w14:ligatures w14:val="standardContextual"/>
        </w:rPr>
        <w:t xml:space="preserve">gemeente Naarden, sectie A, nummer 2535 </w:t>
      </w:r>
      <w:r w:rsidRPr="00424CB6">
        <w:rPr>
          <w:rFonts w:cs="Arial-ItalicMT"/>
          <w:i/>
          <w:iCs/>
          <w:szCs w:val="17"/>
          <w:lang w:val="nl-NL"/>
          <w14:ligatures w14:val="standardContextual"/>
        </w:rPr>
        <w:t>als dienend erf,</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inhoudende de verplichting voor de gerechtigde tot het dienend erf om te dulden dat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gerechtigde tot het heersend erf gebruik maakt van en recht van overpad heeft om</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op de minst bezwarende wijze over de paden van het dienend erf te komen en 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gaan van de parkeerplaatsen gelegen op het dienend erf naar het heersend erf, welke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parkeerplaatsen met gele markering zijn aangeduid op de tekening die als Bijlage aan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deze akte is gehecht.</w:t>
      </w:r>
    </w:p>
    <w:p w14:paraId="6EC75210" w14:textId="4B781005" w:rsidR="00B84008"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8.2 Voor zover bij de erfdienstbaarheid en daarop van toepassing zijnde voorwaarden 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bepalingen niet uitdrukkelijk anders is vermeld, wordt bij de erfdienstbaarheid en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daarop van toepassing te verklaren voorwaarden en bepalingen bedoeld met:</w:t>
      </w:r>
    </w:p>
    <w:p w14:paraId="011326A4" w14:textId="3558F1AF"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 xml:space="preserve">gerechtigde tot het dienend erf": </w:t>
      </w:r>
      <w:r w:rsidRPr="00424CB6">
        <w:rPr>
          <w:rFonts w:cs="Arial-ItalicMT"/>
          <w:i/>
          <w:iCs/>
          <w:szCs w:val="17"/>
          <w:lang w:val="nl-NL"/>
          <w14:ligatures w14:val="standardContextual"/>
        </w:rPr>
        <w:t>de eigenaar(s) van casu quo beperkt zakelijk</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gerechtigde(n) tot en/of de gebruiker(s) van het/de bij de desbetreffende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erfdienstbaarheid breder te omschrijven dienend(e) erf/erven; en</w:t>
      </w:r>
    </w:p>
    <w:p w14:paraId="7ACCC692" w14:textId="0158FEF1"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w:t>
      </w:r>
      <w:r w:rsidRPr="00424CB6">
        <w:rPr>
          <w:rFonts w:cs="Arial-BoldItalicMT"/>
          <w:b/>
          <w:bCs/>
          <w:i/>
          <w:iCs/>
          <w:szCs w:val="17"/>
          <w:lang w:val="nl-NL"/>
          <w14:ligatures w14:val="standardContextual"/>
        </w:rPr>
        <w:t xml:space="preserve">gerechtigde tot het heersend erf": </w:t>
      </w:r>
      <w:r w:rsidRPr="00424CB6">
        <w:rPr>
          <w:rFonts w:cs="Arial-ItalicMT"/>
          <w:i/>
          <w:iCs/>
          <w:szCs w:val="17"/>
          <w:lang w:val="nl-NL"/>
          <w14:ligatures w14:val="standardContextual"/>
        </w:rPr>
        <w:t>de eigenaar(s) van casu quo beperkt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zakelijk gerechtigde(n) tot en/of de gebruiker(s) van het/de bij de desbetreffende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erfdienstbaarheid breder te omschrijven heersend(e) erf/erven.</w:t>
      </w:r>
    </w:p>
    <w:p w14:paraId="73D8D4D4" w14:textId="5FBD5DB7" w:rsidR="00B84008" w:rsidRPr="00424CB6" w:rsidRDefault="00B84008"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 xml:space="preserve">8.3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NBO en MG&amp;H komen voorts overeen dat ten aanzien van de erfdienstbaarheid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volgende voorwaarden en bepalingen gelden:</w:t>
      </w:r>
    </w:p>
    <w:p w14:paraId="035A61AF" w14:textId="5FE5F834"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a.</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 xml:space="preserve"> De uitoefening van de rechten uit hoofde van de erfdienstbaarheid door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gerechtigde tot het heersend erf dient in het algemeen op de voor de gerechtigde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tot het dienend erf minst bezwarende wijze te geschieden.</w:t>
      </w:r>
    </w:p>
    <w:p w14:paraId="3727B145" w14:textId="77777777" w:rsidR="00D82C40"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lastRenderedPageBreak/>
        <w:t xml:space="preserve">b.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Mede in verband met het hiervoor sub a. bepaalde is de gerechtigde tot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heersend erf gehouden er bij de uitoefening van zijn rechten uit hoofde van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erfdienstbaarheid voor zorg te dragen dat er geen schade wordt aangericht aan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dienend erf.</w:t>
      </w:r>
    </w:p>
    <w:p w14:paraId="5949B174" w14:textId="11CCF948" w:rsidR="00B84008" w:rsidRPr="00424CB6" w:rsidRDefault="00B84008" w:rsidP="00424CB6">
      <w:pPr>
        <w:autoSpaceDE w:val="0"/>
        <w:autoSpaceDN w:val="0"/>
        <w:adjustRightInd w:val="0"/>
        <w:spacing w:line="293" w:lineRule="auto"/>
        <w:ind w:left="1418"/>
        <w:jc w:val="both"/>
        <w:rPr>
          <w:rFonts w:cs="Arial-ItalicMT"/>
          <w:i/>
          <w:iCs/>
          <w:szCs w:val="17"/>
          <w:lang w:val="nl-NL"/>
          <w14:ligatures w14:val="standardContextual"/>
        </w:rPr>
      </w:pPr>
      <w:r w:rsidRPr="00424CB6">
        <w:rPr>
          <w:rFonts w:cs="Arial-ItalicMT"/>
          <w:i/>
          <w:iCs/>
          <w:szCs w:val="17"/>
          <w:lang w:val="nl-NL"/>
          <w14:ligatures w14:val="standardContextual"/>
        </w:rPr>
        <w:t>Eventuele schade, als bedoeld in de vorige zin, ontstaan als gevolg van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 van het dienend erf door de gerechtigde(n) tot het heersend erf, komt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rekening van de gerechtigde(n) tot het heersend erf, tenzij de gerechtigde(n)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tot het heersend erf kunnen aantonen dat deze schade niet aan hem/hen 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wijten is.</w:t>
      </w:r>
    </w:p>
    <w:p w14:paraId="2781C4F1" w14:textId="1046A101"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c.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Het is de gerechtigde tot het dienend erf in het algemeen niet toegestaan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(rechts)handelingen te verrichten en/of na te laten waardoor de gerechtigde tot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heersend erf wordt belemmerd in de uitoefening van zijn rechten uit hoofde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van de erfdienstbaarheid. In het verlengde daarvan is de gerechtigde tot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dienend erf verplicht om de parkeerplaatsen gelegen op het dienend erf te allen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tijde toegankelijk te maken en houden.</w:t>
      </w:r>
    </w:p>
    <w:p w14:paraId="2FF07455" w14:textId="159B7340" w:rsidR="00B84008"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d.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Onverminderd het hiervoor onder de punten a. tot en met c. bepaalde is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gerechtigde tot het heersend erf te allen tijde gehouden de door de gerechtigde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tot het dienend erf gegeven redelijke aanwijzingen aangaande de uitoefening van</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zijn rechten op te volgen. In het verlengde daarvan is de gerechtigde tot het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heersend erf verplicht om de gerechtigde tot het dienend erf tijdig op de hoogte te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brengen van eventuele evenementen die ertoe kunnen leiden dat gebruik zal</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worden gemaakt van de onderhavige erfdienstbaarheid.</w:t>
      </w:r>
    </w:p>
    <w:p w14:paraId="78D4DF35" w14:textId="516A598E" w:rsidR="00EF1191" w:rsidRPr="00424CB6" w:rsidRDefault="00B84008"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e.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De kosten van onderhoud, herstel en eventueel vernieuwing van alle betreffende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 de uitoefening van de rechten uit hoofde van de erfdienstbaarheid</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aanwezige voorzieningen op/in het dienend erf komen ten laste van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gerechtigde tot het dienend erf. Indien en voor zover voor het plegen van</w:t>
      </w:r>
      <w:r w:rsidR="00EF1191" w:rsidRPr="00424CB6">
        <w:rPr>
          <w:rFonts w:cs="Arial-ItalicMT"/>
          <w:i/>
          <w:iCs/>
          <w:szCs w:val="17"/>
          <w:lang w:val="nl-NL"/>
          <w14:ligatures w14:val="standardContextual"/>
        </w:rPr>
        <w:t xml:space="preserve"> onderhouds-, herstel- of eventuele vernieuwingswerkzaamheden het dienend erf</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moet worden betreden, is de gerechtigde tot het heersend erf verplicht daartoe</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tijdig een verzoek te doen bij de gerechtigde tot het dienend erf die vervolgens de</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toegang voor het uitvoeren van de werkzaamheden aan de gerechtigde tot het</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heersend erf dient te verlenen. Na afloop van bedoelde werkzaamheden is de</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gerechtigde tot het heersend erf verplicht om het dienend erf of het betreffende</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deel daarvan ter plaatse geheel schoon achter te laten minimaal in de staat</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waarin het zich bevond ten tijde van de aanvang van de werkzaamheden en</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eventuele opgetreden schade aan het dienend erf te vergoeden casu quo</w:t>
      </w:r>
      <w:r w:rsidR="00D82C40" w:rsidRPr="00424CB6">
        <w:rPr>
          <w:rFonts w:cs="Arial-ItalicMT"/>
          <w:i/>
          <w:iCs/>
          <w:szCs w:val="17"/>
          <w:lang w:val="nl-NL"/>
          <w14:ligatures w14:val="standardContextual"/>
        </w:rPr>
        <w:t xml:space="preserve"> </w:t>
      </w:r>
      <w:r w:rsidR="00EF1191" w:rsidRPr="00424CB6">
        <w:rPr>
          <w:rFonts w:cs="Arial-ItalicMT"/>
          <w:i/>
          <w:iCs/>
          <w:szCs w:val="17"/>
          <w:lang w:val="nl-NL"/>
          <w14:ligatures w14:val="standardContextual"/>
        </w:rPr>
        <w:t>terstond te (laten) herstellen.</w:t>
      </w:r>
    </w:p>
    <w:p w14:paraId="00595C3C" w14:textId="64B8D01F" w:rsidR="00EF1191" w:rsidRPr="00424CB6" w:rsidRDefault="00EF1191"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f.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De gerechtigde tot het heersend erf, voor zover zijnde eigenaar van of beperkt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zakelijk gerechtigde tot het heersend erf, dient ervoor zorg te dragen dat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verplichtingen die uit dit artikel voortvloeien worden nagekomen door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gebruikers van het heersend erf.</w:t>
      </w:r>
    </w:p>
    <w:p w14:paraId="76CC4FD4" w14:textId="2FB166B1" w:rsidR="00EF1191" w:rsidRPr="00424CB6" w:rsidRDefault="00EF1191"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g.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De gerechtigde tot het heersend erf is ter zake van (de vestiging van) de</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erfdienstbaarheden geen vergoeding - hoe ook genaamd - aan de gerechtigde tot</w:t>
      </w:r>
      <w:r w:rsidR="00D82C40"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het dienend erf verschuldigd.</w:t>
      </w:r>
    </w:p>
    <w:p w14:paraId="171F8017" w14:textId="43BD67D9" w:rsidR="00EF1191" w:rsidRPr="00424CB6" w:rsidRDefault="00EF1191" w:rsidP="00424CB6">
      <w:pPr>
        <w:autoSpaceDE w:val="0"/>
        <w:autoSpaceDN w:val="0"/>
        <w:adjustRightInd w:val="0"/>
        <w:spacing w:line="293" w:lineRule="auto"/>
        <w:ind w:left="1418" w:hanging="284"/>
        <w:jc w:val="both"/>
        <w:rPr>
          <w:rFonts w:cs="Arial-ItalicMT"/>
          <w:i/>
          <w:iCs/>
          <w:szCs w:val="17"/>
          <w:lang w:val="nl-NL"/>
          <w14:ligatures w14:val="standardContextual"/>
        </w:rPr>
      </w:pPr>
      <w:r w:rsidRPr="00424CB6">
        <w:rPr>
          <w:rFonts w:cs="Arial-ItalicMT"/>
          <w:i/>
          <w:iCs/>
          <w:szCs w:val="17"/>
          <w:lang w:val="nl-NL"/>
          <w14:ligatures w14:val="standardContextual"/>
        </w:rPr>
        <w:t xml:space="preserve">h. </w:t>
      </w:r>
      <w:r w:rsidR="00D82C40" w:rsidRPr="00424CB6">
        <w:rPr>
          <w:rFonts w:cs="Arial-ItalicMT"/>
          <w:i/>
          <w:iCs/>
          <w:szCs w:val="17"/>
          <w:lang w:val="nl-NL"/>
          <w14:ligatures w14:val="standardContextual"/>
        </w:rPr>
        <w:tab/>
      </w:r>
      <w:r w:rsidRPr="00424CB6">
        <w:rPr>
          <w:rFonts w:cs="Arial-ItalicMT"/>
          <w:i/>
          <w:iCs/>
          <w:szCs w:val="17"/>
          <w:lang w:val="nl-NL"/>
          <w14:ligatures w14:val="standardContextual"/>
        </w:rPr>
        <w:t>Een verzwaring van de onderhavige erfdienstbaarheid is niet toegestaan.</w:t>
      </w:r>
    </w:p>
    <w:p w14:paraId="1BCE16D1" w14:textId="29E3796E" w:rsidR="00EF1191" w:rsidRPr="00424CB6" w:rsidRDefault="00EF1191" w:rsidP="00424CB6">
      <w:pPr>
        <w:autoSpaceDE w:val="0"/>
        <w:autoSpaceDN w:val="0"/>
        <w:adjustRightInd w:val="0"/>
        <w:spacing w:line="293" w:lineRule="auto"/>
        <w:ind w:left="1134" w:hanging="283"/>
        <w:jc w:val="both"/>
        <w:rPr>
          <w:rFonts w:cs="Arial-ItalicMT"/>
          <w:i/>
          <w:iCs/>
          <w:szCs w:val="17"/>
          <w:lang w:val="nl-NL"/>
          <w14:ligatures w14:val="standardContextual"/>
        </w:rPr>
      </w:pPr>
      <w:r w:rsidRPr="00424CB6">
        <w:rPr>
          <w:rFonts w:cs="Arial-ItalicMT"/>
          <w:i/>
          <w:iCs/>
          <w:szCs w:val="17"/>
          <w:lang w:val="nl-NL"/>
          <w14:ligatures w14:val="standardContextual"/>
        </w:rPr>
        <w:t>8.4 NBO is niet verplicht tot medewerking aan het vestigen van andere</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erfdienstbaarheden dan de in dit</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bedoelde erfdienstbaarheid en de</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voorwaarden van artikel 9.2 van de Overeenkomst blijven gelden.</w:t>
      </w:r>
    </w:p>
    <w:p w14:paraId="53FC93A9" w14:textId="77777777" w:rsidR="00EF1191" w:rsidRPr="00424CB6" w:rsidRDefault="00EF1191"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ONDERHOUD OPENBAAR GEBIED</w:t>
      </w:r>
    </w:p>
    <w:p w14:paraId="1BB99523" w14:textId="77777777" w:rsidR="00EF1191" w:rsidRPr="00424CB6" w:rsidRDefault="00EF1191" w:rsidP="00424CB6">
      <w:pPr>
        <w:autoSpaceDE w:val="0"/>
        <w:autoSpaceDN w:val="0"/>
        <w:adjustRightInd w:val="0"/>
        <w:spacing w:line="293" w:lineRule="auto"/>
        <w:ind w:left="851"/>
        <w:jc w:val="both"/>
        <w:rPr>
          <w:rFonts w:cs="Arial-BoldItalicMT"/>
          <w:b/>
          <w:bCs/>
          <w:i/>
          <w:iCs/>
          <w:szCs w:val="17"/>
          <w:lang w:val="nl-NL"/>
          <w14:ligatures w14:val="standardContextual"/>
        </w:rPr>
      </w:pPr>
      <w:r w:rsidRPr="00424CB6">
        <w:rPr>
          <w:rFonts w:cs="Arial-BoldItalicMT"/>
          <w:b/>
          <w:bCs/>
          <w:i/>
          <w:iCs/>
          <w:szCs w:val="17"/>
          <w:lang w:val="nl-NL"/>
          <w14:ligatures w14:val="standardContextual"/>
        </w:rPr>
        <w:t>Artikel 9</w:t>
      </w:r>
    </w:p>
    <w:p w14:paraId="2FA50808" w14:textId="10EC28F6" w:rsidR="009910D8" w:rsidRPr="00424CB6" w:rsidRDefault="00EF1191" w:rsidP="00424CB6">
      <w:pPr>
        <w:autoSpaceDE w:val="0"/>
        <w:autoSpaceDN w:val="0"/>
        <w:adjustRightInd w:val="0"/>
        <w:spacing w:line="293" w:lineRule="auto"/>
        <w:ind w:left="851"/>
        <w:jc w:val="both"/>
        <w:rPr>
          <w:szCs w:val="17"/>
          <w:lang w:val="nl-NL"/>
        </w:rPr>
      </w:pPr>
      <w:r w:rsidRPr="00424CB6">
        <w:rPr>
          <w:rFonts w:cs="Arial-ItalicMT"/>
          <w:i/>
          <w:iCs/>
          <w:szCs w:val="17"/>
          <w:lang w:val="nl-NL"/>
          <w14:ligatures w14:val="standardContextual"/>
        </w:rPr>
        <w:t>Alle onderhoudsverplichtingen met betrekking tot het openbaar gebied van het Naarderbos</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jegens de Gemeente en/of derden (voor zover) die rusten op NBO en/of DEV I en/of DEV II</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in hun hoedanigheid van rechthebbende tot (een gedeelte van) de Registergoederen NBO,</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de Registergoederen DEV I en de Registergoederen DEV II, zijn en blijven voor rekening</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en risico van NBO en/of DEV I en/of DEV II, een en ander zoals verder omschreven in</w:t>
      </w:r>
      <w:r w:rsidR="00B53CB4" w:rsidRPr="00424CB6">
        <w:rPr>
          <w:rFonts w:cs="Arial-ItalicMT"/>
          <w:i/>
          <w:iCs/>
          <w:szCs w:val="17"/>
          <w:lang w:val="nl-NL"/>
          <w14:ligatures w14:val="standardContextual"/>
        </w:rPr>
        <w:t xml:space="preserve"> </w:t>
      </w:r>
      <w:r w:rsidRPr="00424CB6">
        <w:rPr>
          <w:rFonts w:cs="Arial-ItalicMT"/>
          <w:i/>
          <w:iCs/>
          <w:szCs w:val="17"/>
          <w:lang w:val="nl-NL"/>
          <w14:ligatures w14:val="standardContextual"/>
        </w:rPr>
        <w:t>artikel 9.1 van de Overeenkomst</w:t>
      </w:r>
      <w:r w:rsidRPr="00424CB6">
        <w:rPr>
          <w:rFonts w:cs="Arial-ItalicMT"/>
          <w:szCs w:val="17"/>
          <w:lang w:val="nl-NL"/>
          <w14:ligatures w14:val="standardContextual"/>
        </w:rPr>
        <w:t>.</w:t>
      </w:r>
      <w:r w:rsidRPr="00424CB6">
        <w:rPr>
          <w:rFonts w:cs="ArialMT"/>
          <w:i/>
          <w:iCs/>
          <w:szCs w:val="17"/>
          <w:lang w:val="nl-NL"/>
          <w14:ligatures w14:val="standardContextual"/>
        </w:rPr>
        <w:t>".</w:t>
      </w:r>
      <w:r w:rsidR="00B53CB4" w:rsidRPr="00424CB6">
        <w:rPr>
          <w:szCs w:val="17"/>
          <w:lang w:val="nl-NL"/>
        </w:rPr>
        <w:t>”</w:t>
      </w:r>
      <w:r w:rsidR="009910D8" w:rsidRPr="00424CB6">
        <w:rPr>
          <w:szCs w:val="17"/>
          <w:lang w:val="nl-NL"/>
        </w:rPr>
        <w:t>;</w:t>
      </w:r>
    </w:p>
    <w:p w14:paraId="62AF3741" w14:textId="20F7E460" w:rsidR="006748B3" w:rsidRPr="00424CB6" w:rsidRDefault="006748B3" w:rsidP="00424CB6">
      <w:pPr>
        <w:pStyle w:val="Lijstalinea"/>
        <w:numPr>
          <w:ilvl w:val="0"/>
          <w:numId w:val="37"/>
        </w:numPr>
        <w:spacing w:line="293" w:lineRule="auto"/>
        <w:ind w:left="567" w:hanging="567"/>
        <w:jc w:val="both"/>
        <w:rPr>
          <w:szCs w:val="17"/>
          <w:lang w:val="nl-NL"/>
        </w:rPr>
      </w:pPr>
      <w:r w:rsidRPr="00424CB6">
        <w:rPr>
          <w:szCs w:val="17"/>
          <w:lang w:val="nl-NL"/>
        </w:rPr>
        <w:t xml:space="preserve">een akte van vestiging opstalrecht, op twee augustus tweeduizend zestien voor mr. R. Berentsen, notaris te Arnhem, verleden en bij afschrift ingeschreven in register Hypotheken 4 van de Openbare Registers op drie augustus tweeduizend zestien in deel 68788 nummer 91, waarin onder meer het volgende is opgenomen, woordelijk luidend: </w:t>
      </w:r>
    </w:p>
    <w:p w14:paraId="2CB1797B" w14:textId="598DDE87" w:rsidR="005177AF" w:rsidRPr="00424CB6" w:rsidRDefault="005177AF" w:rsidP="00424CB6">
      <w:pPr>
        <w:pStyle w:val="Lijstalinea"/>
        <w:spacing w:line="293" w:lineRule="auto"/>
        <w:ind w:left="567"/>
        <w:jc w:val="both"/>
        <w:rPr>
          <w:szCs w:val="17"/>
          <w:u w:val="single"/>
          <w:lang w:val="nl-NL"/>
        </w:rPr>
      </w:pPr>
      <w:r w:rsidRPr="00424CB6">
        <w:rPr>
          <w:szCs w:val="17"/>
          <w:highlight w:val="darkGray"/>
          <w:u w:val="single"/>
          <w:lang w:val="nl-NL"/>
        </w:rPr>
        <w:t xml:space="preserve">Voor wat betreft de </w:t>
      </w:r>
      <w:r w:rsidRPr="00424CB6">
        <w:rPr>
          <w:b/>
          <w:bCs/>
          <w:szCs w:val="17"/>
          <w:highlight w:val="darkGray"/>
          <w:u w:val="single"/>
          <w:lang w:val="nl-NL"/>
        </w:rPr>
        <w:t>Percelen Gemeente</w:t>
      </w:r>
      <w:r w:rsidRPr="00424CB6">
        <w:rPr>
          <w:szCs w:val="17"/>
          <w:highlight w:val="darkGray"/>
          <w:u w:val="single"/>
          <w:lang w:val="nl-NL"/>
        </w:rPr>
        <w:t xml:space="preserve"> en de </w:t>
      </w:r>
      <w:r w:rsidRPr="00424CB6">
        <w:rPr>
          <w:b/>
          <w:bCs/>
          <w:szCs w:val="17"/>
          <w:highlight w:val="darkGray"/>
          <w:u w:val="single"/>
          <w:lang w:val="nl-NL"/>
        </w:rPr>
        <w:t>Percelen Afvalzorg</w:t>
      </w:r>
      <w:r w:rsidRPr="00424CB6">
        <w:rPr>
          <w:szCs w:val="17"/>
          <w:highlight w:val="darkGray"/>
          <w:u w:val="single"/>
          <w:lang w:val="nl-NL"/>
        </w:rPr>
        <w:t>:</w:t>
      </w:r>
    </w:p>
    <w:p w14:paraId="1AA54D2A" w14:textId="1B40996C" w:rsidR="006748B3" w:rsidRPr="00424CB6" w:rsidRDefault="00A11089" w:rsidP="00424CB6">
      <w:pPr>
        <w:autoSpaceDE w:val="0"/>
        <w:autoSpaceDN w:val="0"/>
        <w:adjustRightInd w:val="0"/>
        <w:spacing w:line="293" w:lineRule="auto"/>
        <w:ind w:left="567"/>
        <w:jc w:val="both"/>
        <w:rPr>
          <w:rFonts w:cs="TimesNewRoman,Bold"/>
          <w:b/>
          <w:bCs/>
          <w:i/>
          <w:iCs/>
          <w:szCs w:val="17"/>
          <w:lang w:val="nl-NL"/>
          <w14:ligatures w14:val="standardContextual"/>
        </w:rPr>
      </w:pPr>
      <w:r w:rsidRPr="00424CB6">
        <w:rPr>
          <w:rFonts w:cs="TimesNewRoman,Bold"/>
          <w:szCs w:val="17"/>
          <w:lang w:val="nl-NL"/>
          <w14:ligatures w14:val="standardContextual"/>
        </w:rPr>
        <w:t>“</w:t>
      </w:r>
      <w:r w:rsidR="006748B3" w:rsidRPr="00424CB6">
        <w:rPr>
          <w:rFonts w:cs="TimesNewRoman,Bold"/>
          <w:b/>
          <w:bCs/>
          <w:i/>
          <w:iCs/>
          <w:szCs w:val="17"/>
          <w:lang w:val="nl-NL"/>
          <w14:ligatures w14:val="standardContextual"/>
        </w:rPr>
        <w:t>II. Bepalingen</w:t>
      </w:r>
    </w:p>
    <w:p w14:paraId="3CFA5301" w14:textId="37CE149C" w:rsidR="006748B3" w:rsidRPr="00424CB6" w:rsidRDefault="006748B3" w:rsidP="00424CB6">
      <w:pPr>
        <w:autoSpaceDE w:val="0"/>
        <w:autoSpaceDN w:val="0"/>
        <w:adjustRightInd w:val="0"/>
        <w:spacing w:line="293" w:lineRule="auto"/>
        <w:ind w:left="567"/>
        <w:jc w:val="both"/>
        <w:rPr>
          <w:rFonts w:cs="TimesNewRoman"/>
          <w:i/>
          <w:iCs/>
          <w:szCs w:val="17"/>
          <w:lang w:val="nl-NL"/>
          <w14:ligatures w14:val="standardContextual"/>
        </w:rPr>
      </w:pPr>
      <w:r w:rsidRPr="00424CB6">
        <w:rPr>
          <w:rFonts w:cs="TimesNewRoman"/>
          <w:i/>
          <w:iCs/>
          <w:szCs w:val="17"/>
          <w:lang w:val="nl-NL"/>
          <w14:ligatures w14:val="standardContextual"/>
        </w:rPr>
        <w:t>Op het Recht van opstal zijn – voor zover daarvan in deze akte niet wordt</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afgeweken – van toepassing de volgende "</w:t>
      </w:r>
      <w:r w:rsidRPr="00424CB6">
        <w:rPr>
          <w:rFonts w:cs="TimesNewRoman,BoldItalic"/>
          <w:b/>
          <w:bCs/>
          <w:i/>
          <w:iCs/>
          <w:szCs w:val="17"/>
          <w:lang w:val="nl-NL"/>
          <w14:ligatures w14:val="standardContextual"/>
        </w:rPr>
        <w:t>Algemene voorwaarden van</w:t>
      </w:r>
      <w:r w:rsidR="00A11089" w:rsidRPr="00424CB6">
        <w:rPr>
          <w:rFonts w:cs="TimesNewRoman"/>
          <w:i/>
          <w:iCs/>
          <w:szCs w:val="17"/>
          <w:lang w:val="nl-NL"/>
          <w14:ligatures w14:val="standardContextual"/>
        </w:rPr>
        <w:t xml:space="preserve"> </w:t>
      </w:r>
      <w:r w:rsidRPr="00424CB6">
        <w:rPr>
          <w:rFonts w:cs="TimesNewRoman,BoldItalic"/>
          <w:b/>
          <w:bCs/>
          <w:i/>
          <w:iCs/>
          <w:szCs w:val="17"/>
          <w:lang w:val="nl-NL"/>
          <w14:ligatures w14:val="standardContextual"/>
        </w:rPr>
        <w:t>Alliander voor het vestigen van het zakelijk recht van opstal</w:t>
      </w:r>
      <w:r w:rsidRPr="00424CB6">
        <w:rPr>
          <w:rFonts w:cs="TimesNewRoman"/>
          <w:i/>
          <w:iCs/>
          <w:szCs w:val="17"/>
          <w:lang w:val="nl-NL"/>
          <w14:ligatures w14:val="standardContextual"/>
        </w:rPr>
        <w:t xml:space="preserve">", zoals </w:t>
      </w:r>
      <w:r w:rsidRPr="00424CB6">
        <w:rPr>
          <w:rFonts w:cs="TimesNewRoman"/>
          <w:i/>
          <w:iCs/>
          <w:szCs w:val="17"/>
          <w:lang w:val="nl-NL"/>
          <w14:ligatures w14:val="standardContextual"/>
        </w:rPr>
        <w:lastRenderedPageBreak/>
        <w:t>deze zijn</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gehecht aan de hiervoor onder I omschreven overeenkomst en zoals deze zijn</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opgenomen in een akte op twintig december tweeduizend en elf verleden voor</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mr. A.W.O. Jansen, destijds notaris te Arnhem, van welke akte een afschrift is</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ingeschreven in de daartoe bestemde openbare registers op éénentwintig</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december tweeduizend en elf in register Hypotheken 4 deel 60909 nummer 69,</w:t>
      </w:r>
      <w:r w:rsidR="00A11089"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woordelijk luidende als volgt:</w:t>
      </w:r>
    </w:p>
    <w:p w14:paraId="6A4F331D" w14:textId="77777777" w:rsidR="006748B3" w:rsidRPr="00424CB6" w:rsidRDefault="006748B3"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
          <w:i/>
          <w:iCs/>
          <w:szCs w:val="17"/>
          <w:lang w:val="nl-NL"/>
          <w14:ligatures w14:val="standardContextual"/>
        </w:rPr>
        <w:t>"</w:t>
      </w:r>
      <w:r w:rsidRPr="00424CB6">
        <w:rPr>
          <w:rFonts w:cs="TimesNewRoman,Italic"/>
          <w:i/>
          <w:iCs/>
          <w:szCs w:val="17"/>
          <w:u w:val="single"/>
          <w:lang w:val="nl-NL"/>
          <w14:ligatures w14:val="standardContextual"/>
        </w:rPr>
        <w:t>Artikel 1.</w:t>
      </w:r>
    </w:p>
    <w:p w14:paraId="7B68D2FF" w14:textId="77777777" w:rsidR="006748B3" w:rsidRPr="00424CB6" w:rsidRDefault="006748B3"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In deze voorwaarden wordt verstaan onder:</w:t>
      </w:r>
    </w:p>
    <w:p w14:paraId="0C9B6FDC" w14:textId="54DB8C91" w:rsidR="006748B3" w:rsidRPr="00424CB6" w:rsidRDefault="006748B3"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1. </w:t>
      </w:r>
      <w:r w:rsidR="00A11089"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eigenaar: de eigena(a)r(en) van of de beperkt gerechtigde(n) tot de</w:t>
      </w:r>
      <w:r w:rsidR="00A11089"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belaste ruimte en/of (strook) grond bedoeld onder 4.;</w:t>
      </w:r>
    </w:p>
    <w:p w14:paraId="5D756AF9" w14:textId="57D5B4C3" w:rsidR="006748B3" w:rsidRPr="00424CB6" w:rsidRDefault="006748B3"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2. </w:t>
      </w:r>
      <w:r w:rsidR="00A11089" w:rsidRPr="00424CB6">
        <w:rPr>
          <w:rFonts w:cs="TimesNewRoman,Italic"/>
          <w:i/>
          <w:iCs/>
          <w:szCs w:val="17"/>
          <w:lang w:val="nl-NL"/>
          <w14:ligatures w14:val="standardContextual"/>
        </w:rPr>
        <w:tab/>
      </w:r>
      <w:r w:rsidRPr="00424CB6">
        <w:rPr>
          <w:rFonts w:cs="TimesNewRoman,Italic"/>
          <w:i/>
          <w:iCs/>
          <w:szCs w:val="17"/>
          <w:lang w:val="nl-NL"/>
          <w14:ligatures w14:val="standardContextual"/>
        </w:rPr>
        <w:t>Alliander: Alliander N.V. alsmede vennootschappen behorende tot het</w:t>
      </w:r>
      <w:r w:rsidR="00A11089"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concern van Alliander N.V., waaronder Liander Infra West N.V. en</w:t>
      </w:r>
      <w:r w:rsidR="00A11089"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Liander Infra Oost N.V., alsmede de desbetreffende rechtsopvolgers</w:t>
      </w:r>
      <w:r w:rsidR="00A11089" w:rsidRPr="00424CB6">
        <w:rPr>
          <w:rFonts w:cs="TimesNewRoman,Italic"/>
          <w:i/>
          <w:iCs/>
          <w:szCs w:val="17"/>
          <w:lang w:val="nl-NL"/>
          <w14:ligatures w14:val="standardContextual"/>
        </w:rPr>
        <w:t xml:space="preserve"> o</w:t>
      </w:r>
      <w:r w:rsidRPr="00424CB6">
        <w:rPr>
          <w:rFonts w:cs="TimesNewRoman,Italic"/>
          <w:i/>
          <w:iCs/>
          <w:szCs w:val="17"/>
          <w:lang w:val="nl-NL"/>
          <w14:ligatures w14:val="standardContextual"/>
        </w:rPr>
        <w:t>nder algemene of bijzondere titel;</w:t>
      </w:r>
    </w:p>
    <w:p w14:paraId="4AF4C6CD" w14:textId="28C35D23"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3. </w:t>
      </w:r>
      <w:r w:rsidRPr="00424CB6">
        <w:rPr>
          <w:rFonts w:cs="TimesNewRoman,Italic"/>
          <w:i/>
          <w:iCs/>
          <w:szCs w:val="17"/>
          <w:lang w:val="nl-NL"/>
          <w14:ligatures w14:val="standardContextual"/>
        </w:rPr>
        <w:tab/>
        <w:t>het recht van opstal: het ten behoeve van Alliander door de eigenaar verleende zakelijke recht van opstal, zoals bedoeld in artikel 101 en volgende van Boek 5 van het Burgerlijk Wetboek;</w:t>
      </w:r>
    </w:p>
    <w:p w14:paraId="3C42D267" w14:textId="444A7936"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4. </w:t>
      </w:r>
      <w:r w:rsidRPr="00424CB6">
        <w:rPr>
          <w:rFonts w:cs="TimesNewRoman,Italic"/>
          <w:i/>
          <w:iCs/>
          <w:szCs w:val="17"/>
          <w:lang w:val="nl-NL"/>
          <w14:ligatures w14:val="standardContextual"/>
        </w:rPr>
        <w:tab/>
        <w:t>de belaste ruimte en/of (strook) grond: de ruimte en/of (strook) grond, waarop het recht van opstal wordt gevestigd, binnen het (de) in de overeenkomst daartoe omschreven kadastrale perce(e)l(en);</w:t>
      </w:r>
    </w:p>
    <w:p w14:paraId="12E73527" w14:textId="5895EB50"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5. </w:t>
      </w:r>
      <w:r w:rsidRPr="00424CB6">
        <w:rPr>
          <w:rFonts w:cs="TimesNewRoman,Italic"/>
          <w:i/>
          <w:iCs/>
          <w:szCs w:val="17"/>
          <w:lang w:val="nl-NL"/>
          <w14:ligatures w14:val="standardContextual"/>
        </w:rPr>
        <w:tab/>
        <w:t>de werken: het transformator- /gasdistrictsstation/ warmtekrachtaggregaat, dan wel installaties of machinerieën en/of werken voor de geleiding van elektriciteit en/of het transport van energiedragers, alsmede voor telecommunicatie en andere voorzieningen met toebehoren, die Alliander in, op of aan de belaste ruimte en/of (strook) grond krachtens het recht van opstal in eigendom heeft of verkrijgt;</w:t>
      </w:r>
    </w:p>
    <w:p w14:paraId="26681918" w14:textId="3CAEF7AF"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6. </w:t>
      </w:r>
      <w:r w:rsidRPr="00424CB6">
        <w:rPr>
          <w:rFonts w:cs="TimesNewRoman,Italic"/>
          <w:i/>
          <w:iCs/>
          <w:szCs w:val="17"/>
          <w:lang w:val="nl-NL"/>
          <w14:ligatures w14:val="standardContextual"/>
        </w:rPr>
        <w:tab/>
        <w:t>toebehoren: alle zaken die naar het oordeel van Alliander bij de werken behoren, zoals aansluitingen, verdeelkasten, afsluiters, controleputten, anticorrosie apparatuur, merktekens, moffen, meetapparatuur en dergelijke.</w:t>
      </w:r>
    </w:p>
    <w:p w14:paraId="029762B2"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2.</w:t>
      </w:r>
    </w:p>
    <w:p w14:paraId="0981FDAC" w14:textId="4884DED3"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1. </w:t>
      </w:r>
      <w:r w:rsidRPr="00424CB6">
        <w:rPr>
          <w:rFonts w:cs="TimesNewRoman,Italic"/>
          <w:i/>
          <w:iCs/>
          <w:szCs w:val="17"/>
          <w:lang w:val="nl-NL"/>
          <w14:ligatures w14:val="standardContextual"/>
        </w:rPr>
        <w:tab/>
        <w:t>Alliander is gerechtigd van de ruimte en/of (strook) grond te allen tijde gebruik te (doen) maken, voor zover zulks naar het oordeel van Alliander nodig is voor werkzaamheden ten behoeve van het aanleggen, hebben, in stand houden, wijzigen, uitbreiden, vervangen en wegnemen van de (in de overeenkomst bedoelde) werken.</w:t>
      </w:r>
    </w:p>
    <w:p w14:paraId="0FC8E64A" w14:textId="13DBB713"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2. </w:t>
      </w:r>
      <w:r w:rsidRPr="00424CB6">
        <w:rPr>
          <w:rFonts w:cs="TimesNewRoman,Italic"/>
          <w:i/>
          <w:iCs/>
          <w:szCs w:val="17"/>
          <w:lang w:val="nl-NL"/>
          <w14:ligatures w14:val="standardContextual"/>
        </w:rPr>
        <w:tab/>
        <w:t>Alliander is tevens gerechtigd om na overleg met de eigenaar, huurder, pachter of andere rechtmatige gebruiker van de ruimte en/of (strook) grond, tijdelijk gebruik te (doen) maken van buiten de belaste ruimte en/of (strook) grond gelegen grond van de eigenaar, indien zulks voor de uit te voeren werkzaamheden alsmede voor de toegang tot de belaste ruimte en/of (strook) grond nodig is.</w:t>
      </w:r>
    </w:p>
    <w:p w14:paraId="74A04461" w14:textId="44FF3F1A"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3. </w:t>
      </w:r>
      <w:r w:rsidRPr="00424CB6">
        <w:rPr>
          <w:rFonts w:cs="TimesNewRoman,Italic"/>
          <w:i/>
          <w:iCs/>
          <w:szCs w:val="17"/>
          <w:lang w:val="nl-NL"/>
          <w14:ligatures w14:val="standardContextual"/>
        </w:rPr>
        <w:tab/>
        <w:t>Behoudens indien de omstandigheden dit redelijkerwijs onmogelijk maken, zal Alliander de eigenaar, huurder, pachter of andere rechtmatige gebruiker, van de voorgenomen werkzaamheden in kennis stellen.</w:t>
      </w:r>
    </w:p>
    <w:p w14:paraId="1EFD441F" w14:textId="08828349"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4. </w:t>
      </w:r>
      <w:r w:rsidRPr="00424CB6">
        <w:rPr>
          <w:rFonts w:cs="TimesNewRoman,Italic"/>
          <w:i/>
          <w:iCs/>
          <w:szCs w:val="17"/>
          <w:lang w:val="nl-NL"/>
          <w14:ligatures w14:val="standardContextual"/>
        </w:rPr>
        <w:tab/>
        <w:t>Bij de uitoefening van het opstalrecht zal Alliander zoveel mogelijk rekening houden met de belangen en wensen van de eigenaar, huurder, pachter of andere rechtmatige gebruiker en in het algemeen zo min mogelijk hinder en schade veroorzaken.</w:t>
      </w:r>
    </w:p>
    <w:p w14:paraId="70C3E2CB" w14:textId="196EBCE2"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5. </w:t>
      </w:r>
      <w:r w:rsidRPr="00424CB6">
        <w:rPr>
          <w:rFonts w:cs="TimesNewRoman,Italic"/>
          <w:i/>
          <w:iCs/>
          <w:szCs w:val="17"/>
          <w:lang w:val="nl-NL"/>
          <w14:ligatures w14:val="standardContextual"/>
        </w:rPr>
        <w:tab/>
        <w:t>Alliander is verplicht na ontgravingen en andere werkzaamheden het terrein zo veel en zo spoedig mogelijk weer in de vorige toestand te brengen.</w:t>
      </w:r>
    </w:p>
    <w:p w14:paraId="32E051BE" w14:textId="6A6EAD52"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6. </w:t>
      </w:r>
      <w:r w:rsidRPr="00424CB6">
        <w:rPr>
          <w:rFonts w:cs="TimesNewRoman,Italic"/>
          <w:i/>
          <w:iCs/>
          <w:szCs w:val="17"/>
          <w:lang w:val="nl-NL"/>
          <w14:ligatures w14:val="standardContextual"/>
        </w:rPr>
        <w:tab/>
        <w:t>Alliander vergoedt voorts aan de eigenaar, huurder, pachter of andere rechtmatige gebruiker de schade, die door hen wordt geleden als gevolg van, door of vanwege Alliander uitgevoerde werkzaamheden.</w:t>
      </w:r>
    </w:p>
    <w:p w14:paraId="59EA3645" w14:textId="76A0B316"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7. </w:t>
      </w:r>
      <w:r w:rsidRPr="00424CB6">
        <w:rPr>
          <w:rFonts w:cs="TimesNewRoman,Italic"/>
          <w:i/>
          <w:iCs/>
          <w:szCs w:val="17"/>
          <w:lang w:val="nl-NL"/>
          <w14:ligatures w14:val="standardContextual"/>
        </w:rPr>
        <w:tab/>
        <w:t>Schade als in het voorgaande lid bedoeld, die naar het oordeel van Alliander ten laste van derden behoort te komen, behoeft Alliander slechts te vergoeden tegen gelijktijdige overdracht door de benadeelde van diens eventuele rechten op vergoeding daarvan door die derden.</w:t>
      </w:r>
    </w:p>
    <w:p w14:paraId="0930DBCC"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3.</w:t>
      </w:r>
    </w:p>
    <w:p w14:paraId="144F6E3A" w14:textId="007852E7"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1. </w:t>
      </w:r>
      <w:r w:rsidRPr="00424CB6">
        <w:rPr>
          <w:rFonts w:cs="TimesNewRoman,Italic"/>
          <w:i/>
          <w:iCs/>
          <w:szCs w:val="17"/>
          <w:lang w:val="nl-NL"/>
          <w14:ligatures w14:val="standardContextual"/>
        </w:rPr>
        <w:tab/>
        <w:t>De eigenaar zal geen handelingen (doen) verrichten of toestaan waardoor:</w:t>
      </w:r>
    </w:p>
    <w:p w14:paraId="46446902" w14:textId="1ABBD959"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a. </w:t>
      </w:r>
      <w:r w:rsidRPr="00424CB6">
        <w:rPr>
          <w:rFonts w:cs="TimesNewRoman,Italic"/>
          <w:i/>
          <w:iCs/>
          <w:szCs w:val="17"/>
          <w:lang w:val="nl-NL"/>
          <w14:ligatures w14:val="standardContextual"/>
        </w:rPr>
        <w:tab/>
        <w:t>de werken gevaar zouden kunnen lopen;</w:t>
      </w:r>
    </w:p>
    <w:p w14:paraId="4A2CD778" w14:textId="603A70E2"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b. </w:t>
      </w:r>
      <w:r w:rsidRPr="00424CB6">
        <w:rPr>
          <w:rFonts w:cs="TimesNewRoman,Italic"/>
          <w:i/>
          <w:iCs/>
          <w:szCs w:val="17"/>
          <w:lang w:val="nl-NL"/>
          <w14:ligatures w14:val="standardContextual"/>
        </w:rPr>
        <w:tab/>
        <w:t>het overbrengen van energie, gas, vloeistoffen en telecommunicatie door middel van de werken zou kunnen worden belet, belemmerd of geschaad;</w:t>
      </w:r>
    </w:p>
    <w:p w14:paraId="3552ED36" w14:textId="3D097428"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c. </w:t>
      </w:r>
      <w:r w:rsidRPr="00424CB6">
        <w:rPr>
          <w:rFonts w:cs="TimesNewRoman,Italic"/>
          <w:i/>
          <w:iCs/>
          <w:szCs w:val="17"/>
          <w:lang w:val="nl-NL"/>
          <w14:ligatures w14:val="standardContextual"/>
        </w:rPr>
        <w:tab/>
        <w:t>gevaar zou kunnen ontstaan voor personen of zaken;</w:t>
      </w:r>
    </w:p>
    <w:p w14:paraId="77727DB9" w14:textId="71CA9C5B"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d. </w:t>
      </w:r>
      <w:r w:rsidRPr="00424CB6">
        <w:rPr>
          <w:rFonts w:cs="TimesNewRoman,Italic"/>
          <w:i/>
          <w:iCs/>
          <w:szCs w:val="17"/>
          <w:lang w:val="nl-NL"/>
          <w14:ligatures w14:val="standardContextual"/>
        </w:rPr>
        <w:tab/>
        <w:t>een ongestoorde uitoefening van het recht van opstal zou kunnen worden belemmerd</w:t>
      </w:r>
      <w:r w:rsidRPr="00424CB6">
        <w:rPr>
          <w:rFonts w:cs="TimesNewRoman"/>
          <w:i/>
          <w:iCs/>
          <w:szCs w:val="17"/>
          <w:lang w:val="nl-NL"/>
          <w14:ligatures w14:val="standardContextual"/>
        </w:rPr>
        <w:t>.</w:t>
      </w:r>
    </w:p>
    <w:p w14:paraId="14FDB2BD" w14:textId="11B5BF28"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2.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eigenaar zal binnen de belaste ruimte en/of (strook) grond zonder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schriftelijke toestemming van Alliander, die zonder redelijke gronden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deze toestemming niet zal weigeren:</w:t>
      </w:r>
    </w:p>
    <w:p w14:paraId="1E8064B6" w14:textId="475156E4"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lastRenderedPageBreak/>
        <w:t xml:space="preserve">a.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geen onroerende zaken - gesloten bestrating/wegdek, kabels 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leidingen, waaronder mede begrepen drainage of moldrainage,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alsmede bomen en diepwortelende beplanting daaronder begrepen- (doen) aanbrengen;</w:t>
      </w:r>
    </w:p>
    <w:p w14:paraId="4166C4B3" w14:textId="7324E301"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b.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geen roerende zaken (doen) plaatsen, tenzij deze onmiddellijk</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kunnen worden verwijderd;</w:t>
      </w:r>
    </w:p>
    <w:p w14:paraId="50B17440" w14:textId="6B08B609" w:rsidR="00A11089" w:rsidRPr="00424CB6" w:rsidRDefault="00A11089" w:rsidP="00424CB6">
      <w:pPr>
        <w:autoSpaceDE w:val="0"/>
        <w:autoSpaceDN w:val="0"/>
        <w:adjustRightInd w:val="0"/>
        <w:spacing w:line="293" w:lineRule="auto"/>
        <w:ind w:left="1134"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c.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geen wijziging (doen) aanbrengen in het bodemniveau/de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gronddekking.</w:t>
      </w:r>
    </w:p>
    <w:p w14:paraId="5C63DCCE" w14:textId="22623417"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3.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Indien de eigenaar in gebreke blijft in de nakoming van de verplichtingen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omschreven in het eerste en tweede lid, is Alliander bevoegd om terstond</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en zonder dat daartoe enige ingebrekestelling nodig is, al die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maatregelen te nemen, welke naar het oordeel van Alliander om redenen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van veiligheid en continuïteit in de levering van energie, gas, vloeistoffen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en het gebruik voor telecommunicatie dan wel in het algemeen voor een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ongestoorde uitoefening van het recht van opstal noodzakelijk zijn.</w:t>
      </w:r>
    </w:p>
    <w:p w14:paraId="67606392" w14:textId="65540218"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4.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eigenaar is op gelijke wijze verantwoordelijk en aansprakelijk, indien handelen, nalaten of schade-veroorzaking als in dit artikel bedoeld,</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geschiedt door ondergeschikten of hulppersonen van de eigenaar dan wel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andere personen waarvoor hij aansprakelijk is.</w:t>
      </w:r>
    </w:p>
    <w:p w14:paraId="138F64D5" w14:textId="3DF647AE"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5.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Mits de bepalingen van artikel 3, lid 2, in acht zijn genomen zal/zullen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eigenaar en/of rechtmatige gebruiker(s) door Alliander niet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aansprakelijk worden gesteld voor schade aan deze werken, tenzij sprake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is van verwijtbaar handelen door of vanwege de eigenaar, huurder,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pachter of andere rechtmatige gebruiker.</w:t>
      </w:r>
    </w:p>
    <w:p w14:paraId="7F1BF0E7"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4.</w:t>
      </w:r>
    </w:p>
    <w:p w14:paraId="4034ECAE" w14:textId="36EC4192"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De eigenaar staat er voor in dat derden geen recht op de in de overeenkomst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omschreven ruimte en/of (strook) grond hebben, welke de uitoefening van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bij de overeenkomst door Alliander bedongen rechten kunnen belemmeren.</w:t>
      </w:r>
    </w:p>
    <w:p w14:paraId="4968B0C4"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5.</w:t>
      </w:r>
    </w:p>
    <w:p w14:paraId="7770A4C7" w14:textId="77777777" w:rsidR="00303EFE"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1.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door Alliander aangebrachte werken blijven haar eigendom en het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recht van opstal alsmede de daaruit voortvloeiende rechten 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verplichtingen zijn voor Alliander vatbaar voor overgang en overdracht.</w:t>
      </w:r>
    </w:p>
    <w:p w14:paraId="03C6D452" w14:textId="7244BE3D" w:rsidR="00A11089" w:rsidRPr="00424CB6" w:rsidRDefault="00A11089" w:rsidP="00424CB6">
      <w:pPr>
        <w:autoSpaceDE w:val="0"/>
        <w:autoSpaceDN w:val="0"/>
        <w:adjustRightInd w:val="0"/>
        <w:spacing w:line="293" w:lineRule="auto"/>
        <w:ind w:left="851"/>
        <w:jc w:val="both"/>
        <w:rPr>
          <w:rFonts w:cs="TimesNewRoman,Italic"/>
          <w:i/>
          <w:iCs/>
          <w:szCs w:val="17"/>
          <w:lang w:val="nl-NL"/>
          <w14:ligatures w14:val="standardContextual"/>
        </w:rPr>
      </w:pPr>
      <w:r w:rsidRPr="00424CB6">
        <w:rPr>
          <w:rFonts w:cs="TimesNewRoman,Italic"/>
          <w:i/>
          <w:iCs/>
          <w:szCs w:val="17"/>
          <w:lang w:val="nl-NL"/>
          <w14:ligatures w14:val="standardContextual"/>
        </w:rPr>
        <w:t>Bij (gehele of gedeeltelijke) overgang of overdracht van de werken treedt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de nieuwe eigenaar, of in geval van mede-eigendom, de nieuwe medeeigenaar,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in alle rechten en verplichtingen uit de overeenkomst.</w:t>
      </w:r>
    </w:p>
    <w:p w14:paraId="3C8067D4" w14:textId="3E64B4B5"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2.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Indien het (de) in de overeenkomst omschreven perce(e)l(en) medeeigendom</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is of wordt, is iedere mede-eigenaar ter zake van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overeenkomst hoofdelijk verbonden. Voldoening door Alliander van haar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verplichtingen bevrijdt haar jegens alle mede-eigenaren.</w:t>
      </w:r>
    </w:p>
    <w:p w14:paraId="3CC9B3CF" w14:textId="0262A726"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3.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Onverminderd het bepaalde in de volgende leden is het recht van opstal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eeuwigdurend en voor de eigenaar niet opzegbaar. Alliander is verplicht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het recht van opstal te laten beëindigen indien de werken definitief buiten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gebruik worden gesteld.</w:t>
      </w:r>
    </w:p>
    <w:p w14:paraId="574F8414" w14:textId="2A63F090"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4.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Alliander is gerechtigd te allen tijde afstand van het opstalrecht te doen.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Reeds nu voor alsdan verklaart de eigenaar zich daarmee akkoord 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machtigt hij Alliander om op haar kosten al datgene te (doen) verrichten,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wat nodig is om de inschrijving van het recht van opstal in de openbare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registers te doen royeren.</w:t>
      </w:r>
    </w:p>
    <w:p w14:paraId="6580457C" w14:textId="6EF29DE1"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5.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Indien na de vestiging van het zakelijk recht vanwege dit recht schade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ontstaat, die niet of niet geheel volgens de regelen van de overeenkomst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is vergoed, omdat die schade ten tijde van de vaststelling van de alsdan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reeds uitgekeerde vergoeding( en) niet kon worden voorzien of bepaald,</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zal Alliander de eigenaar, huurder, pachter of andere rechtmatige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gebruiker(s) alsnog een schadevergoeding toekennen.</w:t>
      </w:r>
    </w:p>
    <w:p w14:paraId="35CDDA66" w14:textId="1F62EB31"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6.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Een vergoeding als in het vorige lid bedoeld, zal voor eenzelfde soort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schade met betrekking tot hetzelfde perceel in beginsel slechts eenmaal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verschuldigd zijn, tenzij bijzondere omstandigheden een andere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beslissing rechtvaardigen.</w:t>
      </w:r>
    </w:p>
    <w:p w14:paraId="3BDFA30B" w14:textId="5819A44F"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7.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Bij tenietgaan van het recht van opstal heeft Alliander de bevoegdheid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aangebrachte of aanwezige werken binnen vier maanden weg te nemen.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Maakt zij van deze bevoegdheid geen gebruik, dan vervallen de werken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voor zover zij niet weggenomen zijn, aan de eigenaar. De eigenaar is in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dat geval gerechtigd Alliander te verzoeken de werken te verwijderen 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de aangerichte schade te vergoeden. Het verwijderen geschiedt op kosten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van Alliander, tenzij anders overeengekomen.</w:t>
      </w:r>
    </w:p>
    <w:p w14:paraId="0D7EAADA"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6.</w:t>
      </w:r>
    </w:p>
    <w:p w14:paraId="3621C9A1" w14:textId="6233E4E1"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Indien partijen in onderling overleg geen overeenstemming hebben kunnen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verkrijgen over de aanwezigheid van een schade of de grootte van een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vergoeding als in deze algemene voorwaarden bedoeld, zal het desbetreffende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geschil worden voorgelegd aan een in onderling overleg samen te stellen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commissie van drie (3) deskundigen, die uitspraak zullen doen bij wege van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 xml:space="preserve">bindend advies. De commissie zal ook bepalen hoe </w:t>
      </w:r>
      <w:r w:rsidRPr="00424CB6">
        <w:rPr>
          <w:rFonts w:cs="TimesNewRoman,Italic"/>
          <w:i/>
          <w:iCs/>
          <w:szCs w:val="17"/>
          <w:lang w:val="nl-NL"/>
          <w14:ligatures w14:val="standardContextual"/>
        </w:rPr>
        <w:lastRenderedPageBreak/>
        <w:t>de kosten, die met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beslechting van het geschil zijn gemoeid, door partijen moeten worden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gedragen. Indien partijen er niet in slagen deze commissie samen te stellen, zal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op verzoek van de meest gerede partij de samenstelling van de commissie dan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wel het geschil aan de bevoegde rechter worden voorgelegd.</w:t>
      </w:r>
    </w:p>
    <w:p w14:paraId="4940EF84"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7.</w:t>
      </w:r>
    </w:p>
    <w:p w14:paraId="3641BD75" w14:textId="2345A565"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Partijen doen voor zover de wet dat toelaat afstand van hun recht om op welke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grond dan ook ontbinding, nietigverklaring of vernietiging van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overeenkomst te vorderen.</w:t>
      </w:r>
    </w:p>
    <w:p w14:paraId="130E0B6C"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8.</w:t>
      </w:r>
    </w:p>
    <w:p w14:paraId="2B248486" w14:textId="0B28AE8A"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De kosten van de overeenkomst, de notariële akte en de inschrijving in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openbare registers komen ten laste van Alliander, tenzij anders wordt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overeengekomen.</w:t>
      </w:r>
    </w:p>
    <w:p w14:paraId="32FCD0E9"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9.</w:t>
      </w:r>
    </w:p>
    <w:p w14:paraId="27E75862" w14:textId="77777777"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De eigenaar zal:</w:t>
      </w:r>
    </w:p>
    <w:p w14:paraId="0D5CCAFE" w14:textId="5CC262CE"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a.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 de periode liggende tussen de datum, waarop de overeenkomst is</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gesloten en de datum van vestiging van het zakelijk recht van opstal,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geen rechten aan derden verlenen, welke de uitoefening van het zakelijk</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recht kunnen belemmeren;</w:t>
      </w:r>
    </w:p>
    <w:p w14:paraId="6218004D" w14:textId="21141B28"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b.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 geval van vervreemding of bezwaring van het (de) perce(e)l(en) of</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gedeelten daarvan in de sub a. bedoelde periode, er voor zorgdragen dat in de desbetreffende overeenkomst melding wordt gemaakt van het te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vestigen recht van opstal onder verbintenis van zijn wederpartij, dat deze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aan de vestiging van het opstalrecht onvoorwaardelijk zal meewerken 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geen aanspraken zal maken op vergoedingen wegens het opstalrecht.</w:t>
      </w:r>
    </w:p>
    <w:p w14:paraId="4DD07D36" w14:textId="77777777" w:rsidR="00A11089" w:rsidRPr="00424CB6" w:rsidRDefault="00A11089" w:rsidP="00424CB6">
      <w:pPr>
        <w:autoSpaceDE w:val="0"/>
        <w:autoSpaceDN w:val="0"/>
        <w:adjustRightInd w:val="0"/>
        <w:spacing w:line="293" w:lineRule="auto"/>
        <w:ind w:left="567"/>
        <w:jc w:val="both"/>
        <w:rPr>
          <w:rFonts w:cs="TimesNewRoman,Italic"/>
          <w:i/>
          <w:iCs/>
          <w:szCs w:val="17"/>
          <w:u w:val="single"/>
          <w:lang w:val="nl-NL"/>
          <w14:ligatures w14:val="standardContextual"/>
        </w:rPr>
      </w:pPr>
      <w:r w:rsidRPr="00424CB6">
        <w:rPr>
          <w:rFonts w:cs="TimesNewRoman,Italic"/>
          <w:i/>
          <w:iCs/>
          <w:szCs w:val="17"/>
          <w:u w:val="single"/>
          <w:lang w:val="nl-NL"/>
          <w14:ligatures w14:val="standardContextual"/>
        </w:rPr>
        <w:t>Artikel 10.</w:t>
      </w:r>
    </w:p>
    <w:p w14:paraId="2DD03BEC" w14:textId="59DDEED0" w:rsidR="00A11089" w:rsidRPr="00424CB6" w:rsidRDefault="00A11089" w:rsidP="00424CB6">
      <w:pPr>
        <w:autoSpaceDE w:val="0"/>
        <w:autoSpaceDN w:val="0"/>
        <w:adjustRightInd w:val="0"/>
        <w:spacing w:line="293" w:lineRule="auto"/>
        <w:ind w:left="567"/>
        <w:jc w:val="both"/>
        <w:rPr>
          <w:rFonts w:cs="TimesNewRoman,Italic"/>
          <w:i/>
          <w:iCs/>
          <w:szCs w:val="17"/>
          <w:lang w:val="nl-NL"/>
          <w14:ligatures w14:val="standardContextual"/>
        </w:rPr>
      </w:pPr>
      <w:r w:rsidRPr="00424CB6">
        <w:rPr>
          <w:rFonts w:cs="TimesNewRoman,Italic"/>
          <w:i/>
          <w:iCs/>
          <w:szCs w:val="17"/>
          <w:lang w:val="nl-NL"/>
          <w14:ligatures w14:val="standardContextual"/>
        </w:rPr>
        <w:t>De eigenaar verleent Alliander onherroepelijk toestemming om, onmiddellijk</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na het sluiten van de overeenkomst, al het nodige te verrichten of te doen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verrichten voor het tot stand brengen van de in de overeenkomst bedoelde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werken, zulks onder afstanddoening en voor zover nodig in overdracht tot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eigendom aan Alliander van alle rechten op hetgeen door Alliander ter plaatse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mocht worden gebouwd of aangebracht.</w:t>
      </w:r>
      <w:r w:rsidRPr="00424CB6">
        <w:rPr>
          <w:rFonts w:cs="TimesNewRoman"/>
          <w:i/>
          <w:iCs/>
          <w:szCs w:val="17"/>
          <w:lang w:val="nl-NL"/>
          <w14:ligatures w14:val="standardContextual"/>
        </w:rPr>
        <w:t>"</w:t>
      </w:r>
    </w:p>
    <w:p w14:paraId="28978A67" w14:textId="77777777" w:rsidR="00A11089" w:rsidRPr="00424CB6" w:rsidRDefault="00A11089" w:rsidP="00424CB6">
      <w:pPr>
        <w:autoSpaceDE w:val="0"/>
        <w:autoSpaceDN w:val="0"/>
        <w:adjustRightInd w:val="0"/>
        <w:spacing w:line="293" w:lineRule="auto"/>
        <w:ind w:left="567"/>
        <w:jc w:val="both"/>
        <w:rPr>
          <w:rFonts w:cs="TimesNewRoman"/>
          <w:i/>
          <w:iCs/>
          <w:szCs w:val="17"/>
          <w:u w:val="single"/>
          <w:lang w:val="nl-NL"/>
          <w14:ligatures w14:val="standardContextual"/>
        </w:rPr>
      </w:pPr>
      <w:r w:rsidRPr="00424CB6">
        <w:rPr>
          <w:rFonts w:cs="TimesNewRoman"/>
          <w:i/>
          <w:iCs/>
          <w:szCs w:val="17"/>
          <w:u w:val="single"/>
          <w:lang w:val="nl-NL"/>
          <w14:ligatures w14:val="standardContextual"/>
        </w:rPr>
        <w:t>Nadere afspraken</w:t>
      </w:r>
    </w:p>
    <w:p w14:paraId="5A225667" w14:textId="0148DC7E" w:rsidR="00A11089" w:rsidRPr="00424CB6" w:rsidRDefault="00A11089" w:rsidP="00424CB6">
      <w:pPr>
        <w:autoSpaceDE w:val="0"/>
        <w:autoSpaceDN w:val="0"/>
        <w:adjustRightInd w:val="0"/>
        <w:spacing w:line="293" w:lineRule="auto"/>
        <w:ind w:left="567"/>
        <w:jc w:val="both"/>
        <w:rPr>
          <w:rFonts w:cs="TimesNewRoman"/>
          <w:i/>
          <w:iCs/>
          <w:szCs w:val="17"/>
          <w:lang w:val="nl-NL"/>
          <w14:ligatures w14:val="standardContextual"/>
        </w:rPr>
      </w:pPr>
      <w:r w:rsidRPr="00424CB6">
        <w:rPr>
          <w:rFonts w:cs="TimesNewRoman"/>
          <w:i/>
          <w:iCs/>
          <w:szCs w:val="17"/>
          <w:lang w:val="nl-NL"/>
          <w14:ligatures w14:val="standardContextual"/>
        </w:rPr>
        <w:t>In de hiervoor onder I vermelde overeenkomst zijn Liander en de Eigenaar de</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navolgende nadere afspraken overeengekomen:</w:t>
      </w:r>
    </w:p>
    <w:p w14:paraId="6FCC1EF7" w14:textId="0DCBB511" w:rsidR="00A11089" w:rsidRPr="00424CB6" w:rsidRDefault="00A11089" w:rsidP="00424CB6">
      <w:pPr>
        <w:autoSpaceDE w:val="0"/>
        <w:autoSpaceDN w:val="0"/>
        <w:adjustRightInd w:val="0"/>
        <w:spacing w:line="293" w:lineRule="auto"/>
        <w:ind w:left="851" w:hanging="284"/>
        <w:jc w:val="both"/>
        <w:rPr>
          <w:rFonts w:cs="TimesNewRoman,Italic"/>
          <w:i/>
          <w:iCs/>
          <w:szCs w:val="17"/>
          <w:lang w:val="nl-NL"/>
          <w14:ligatures w14:val="standardContextual"/>
        </w:rPr>
      </w:pPr>
      <w:r w:rsidRPr="00424CB6">
        <w:rPr>
          <w:rFonts w:cs="TimesNewRoman"/>
          <w:i/>
          <w:iCs/>
          <w:szCs w:val="17"/>
          <w:lang w:val="nl-NL"/>
          <w14:ligatures w14:val="standardContextual"/>
        </w:rPr>
        <w:t>"</w:t>
      </w:r>
      <w:r w:rsidRPr="00424CB6">
        <w:rPr>
          <w:rFonts w:cs="TimesNewRoman,Italic"/>
          <w:i/>
          <w:iCs/>
          <w:szCs w:val="17"/>
          <w:lang w:val="nl-NL"/>
          <w14:ligatures w14:val="standardContextual"/>
        </w:rPr>
        <w:t xml:space="preserve">1.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eigenaar is gerechtigd Liander te vragen mee te werken aan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afstand van het opstalrecht. Liander zal aan dit verzoek voldoen indien:</w:t>
      </w:r>
    </w:p>
    <w:p w14:paraId="41E16279" w14:textId="38CC7DF7" w:rsidR="00A11089" w:rsidRPr="00424CB6" w:rsidRDefault="00A11089" w:rsidP="00424CB6">
      <w:pPr>
        <w:autoSpaceDE w:val="0"/>
        <w:autoSpaceDN w:val="0"/>
        <w:adjustRightInd w:val="0"/>
        <w:spacing w:line="293" w:lineRule="auto"/>
        <w:ind w:left="1134" w:hanging="283"/>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a.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in plaats van het te verlaten tracé een voor Liander aanvaardbaar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ander tracé kan worden gevonden;</w:t>
      </w:r>
    </w:p>
    <w:p w14:paraId="54E39D41" w14:textId="64F54552" w:rsidR="00A11089" w:rsidRPr="00424CB6" w:rsidRDefault="00A11089" w:rsidP="00424CB6">
      <w:pPr>
        <w:autoSpaceDE w:val="0"/>
        <w:autoSpaceDN w:val="0"/>
        <w:adjustRightInd w:val="0"/>
        <w:spacing w:line="293" w:lineRule="auto"/>
        <w:ind w:left="1134" w:hanging="283"/>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b.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op het nieuwe tracé ten behoeve van Liander een zakelijk recht zal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worden gevestigd, zodanig dat de door Liander daaraan te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ontlenen rechten niet minder en de daaruit voortvloeiende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verplichtingen niet meer zijn dan die van de bestaande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overeenkomst;</w:t>
      </w:r>
    </w:p>
    <w:p w14:paraId="2C9A5263" w14:textId="17E66DCB" w:rsidR="00A11089" w:rsidRPr="00424CB6" w:rsidRDefault="00A11089" w:rsidP="00424CB6">
      <w:pPr>
        <w:autoSpaceDE w:val="0"/>
        <w:autoSpaceDN w:val="0"/>
        <w:adjustRightInd w:val="0"/>
        <w:spacing w:line="293" w:lineRule="auto"/>
        <w:ind w:left="1134" w:hanging="283"/>
        <w:jc w:val="both"/>
        <w:rPr>
          <w:rFonts w:cs="TimesNewRoman,Italic"/>
          <w:i/>
          <w:iCs/>
          <w:szCs w:val="17"/>
          <w:lang w:val="nl-NL"/>
          <w14:ligatures w14:val="standardContextual"/>
        </w:rPr>
      </w:pPr>
      <w:r w:rsidRPr="00424CB6">
        <w:rPr>
          <w:rFonts w:cs="TimesNewRoman,Italic"/>
          <w:i/>
          <w:iCs/>
          <w:szCs w:val="17"/>
          <w:lang w:val="nl-NL"/>
          <w14:ligatures w14:val="standardContextual"/>
        </w:rPr>
        <w:t xml:space="preserve">c.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de eigenaar en Liander overeenstemming bereiken over het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tijdsbestek, waarin Liander de verplaatsing van het tracé zal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moeten hebben voltooid alsmede over een bijdrage door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eigenaar in de kosten van de met de eventuele verwijdering van 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oude werken en het aanleggen van de nieuwe werken gepaard</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gaande investeringen door Liander. De eigenaar zal in ieder geval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50% van de bedoelde kosten voor zijn rekening nemen.</w:t>
      </w:r>
    </w:p>
    <w:p w14:paraId="02E3CCC1" w14:textId="1676C648" w:rsidR="00A11089" w:rsidRPr="00424CB6" w:rsidRDefault="00A11089" w:rsidP="00424CB6">
      <w:pPr>
        <w:autoSpaceDE w:val="0"/>
        <w:autoSpaceDN w:val="0"/>
        <w:adjustRightInd w:val="0"/>
        <w:spacing w:line="293" w:lineRule="auto"/>
        <w:ind w:left="851"/>
        <w:jc w:val="both"/>
        <w:rPr>
          <w:rFonts w:cs="TimesNewRoman,Italic"/>
          <w:i/>
          <w:iCs/>
          <w:szCs w:val="17"/>
          <w:lang w:val="nl-NL"/>
          <w14:ligatures w14:val="standardContextual"/>
        </w:rPr>
      </w:pPr>
      <w:r w:rsidRPr="00424CB6">
        <w:rPr>
          <w:rFonts w:cs="TimesNewRoman,Italic"/>
          <w:i/>
          <w:iCs/>
          <w:szCs w:val="17"/>
          <w:lang w:val="nl-NL"/>
          <w14:ligatures w14:val="standardContextual"/>
        </w:rPr>
        <w:t>De in dit artikel onder lid 1 sub a., b. en c. gestelde voorwaarden zijn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alleen van toepassing indien het perceel of een gedeelte van het perceel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waarin zich de werken bevinden, door bestemmingswijziging ten gevolge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van een bestemmingplan een andere bestemming krijgen, welke niet door</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of vanwege degene die het opstalrecht aan Liander heeft verleend, wordt</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gerealiseerd.</w:t>
      </w:r>
    </w:p>
    <w:p w14:paraId="2A471FD1" w14:textId="6A7CF684" w:rsidR="006748B3" w:rsidRPr="00424CB6" w:rsidRDefault="00A11089" w:rsidP="00424CB6">
      <w:pPr>
        <w:autoSpaceDE w:val="0"/>
        <w:autoSpaceDN w:val="0"/>
        <w:adjustRightInd w:val="0"/>
        <w:spacing w:line="293" w:lineRule="auto"/>
        <w:ind w:left="851" w:hanging="284"/>
        <w:jc w:val="both"/>
        <w:rPr>
          <w:szCs w:val="17"/>
          <w:lang w:val="nl-NL"/>
        </w:rPr>
      </w:pPr>
      <w:r w:rsidRPr="00424CB6">
        <w:rPr>
          <w:rFonts w:cs="TimesNewRoman,Italic"/>
          <w:i/>
          <w:iCs/>
          <w:szCs w:val="17"/>
          <w:lang w:val="nl-NL"/>
          <w14:ligatures w14:val="standardContextual"/>
        </w:rPr>
        <w:t xml:space="preserve">2. </w:t>
      </w:r>
      <w:r w:rsidR="00303EFE" w:rsidRPr="00424CB6">
        <w:rPr>
          <w:rFonts w:cs="TimesNewRoman,Italic"/>
          <w:i/>
          <w:iCs/>
          <w:szCs w:val="17"/>
          <w:lang w:val="nl-NL"/>
          <w14:ligatures w14:val="standardContextual"/>
        </w:rPr>
        <w:tab/>
      </w:r>
      <w:r w:rsidRPr="00424CB6">
        <w:rPr>
          <w:rFonts w:cs="TimesNewRoman,Italic"/>
          <w:i/>
          <w:iCs/>
          <w:szCs w:val="17"/>
          <w:lang w:val="nl-NL"/>
          <w14:ligatures w14:val="standardContextual"/>
        </w:rPr>
        <w:t>Door en voor rekening van Liander zullen éénmaal de werken of een</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gedeelte daarvan worden verplaatst of anderszins daaraan voorzieningen worden getroffen, indien de verplaatsing c.q. voorzieningen noodzakelijk</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blijken als gevolg van de door de eigenaar voorgenomen bebouwing,</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wijziging in bebouwing of bestemmingswijziging van het perceel.</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Dit zakelijk recht zal alsdan betrekking hebben op zowel de gewijzigde</w:t>
      </w:r>
      <w:r w:rsidR="00303EFE" w:rsidRPr="00424CB6">
        <w:rPr>
          <w:rFonts w:cs="TimesNewRoman,Italic"/>
          <w:i/>
          <w:iCs/>
          <w:szCs w:val="17"/>
          <w:lang w:val="nl-NL"/>
          <w14:ligatures w14:val="standardContextual"/>
        </w:rPr>
        <w:t xml:space="preserve"> </w:t>
      </w:r>
      <w:r w:rsidRPr="00424CB6">
        <w:rPr>
          <w:rFonts w:cs="TimesNewRoman,Italic"/>
          <w:i/>
          <w:iCs/>
          <w:szCs w:val="17"/>
          <w:lang w:val="nl-NL"/>
          <w14:ligatures w14:val="standardContextual"/>
        </w:rPr>
        <w:t>plaats van de werken als op de getroffen voorzieningen.</w:t>
      </w:r>
      <w:r w:rsidRPr="00424CB6">
        <w:rPr>
          <w:rFonts w:cs="TimesNewRoman"/>
          <w:i/>
          <w:iCs/>
          <w:szCs w:val="17"/>
          <w:lang w:val="nl-NL"/>
          <w14:ligatures w14:val="standardContextual"/>
        </w:rPr>
        <w:t>"</w:t>
      </w:r>
    </w:p>
    <w:p w14:paraId="07A23125" w14:textId="74440565" w:rsidR="006748B3" w:rsidRPr="00424CB6" w:rsidRDefault="006748B3" w:rsidP="00424CB6">
      <w:pPr>
        <w:spacing w:line="293" w:lineRule="auto"/>
        <w:ind w:left="567"/>
        <w:jc w:val="both"/>
        <w:rPr>
          <w:i/>
          <w:iCs/>
          <w:szCs w:val="17"/>
          <w:lang w:val="nl-NL"/>
        </w:rPr>
      </w:pPr>
      <w:r w:rsidRPr="00424CB6">
        <w:rPr>
          <w:i/>
          <w:iCs/>
          <w:szCs w:val="17"/>
          <w:lang w:val="nl-NL"/>
        </w:rPr>
        <w:t>Enzovoorts.</w:t>
      </w:r>
    </w:p>
    <w:p w14:paraId="555BCED8" w14:textId="77777777" w:rsidR="006748B3" w:rsidRPr="00424CB6" w:rsidRDefault="006748B3" w:rsidP="00424CB6">
      <w:pPr>
        <w:autoSpaceDE w:val="0"/>
        <w:autoSpaceDN w:val="0"/>
        <w:adjustRightInd w:val="0"/>
        <w:spacing w:line="293" w:lineRule="auto"/>
        <w:ind w:left="567"/>
        <w:jc w:val="both"/>
        <w:rPr>
          <w:rFonts w:cs="TimesNewRoman,Bold"/>
          <w:b/>
          <w:bCs/>
          <w:i/>
          <w:iCs/>
          <w:szCs w:val="17"/>
          <w:lang w:val="nl-NL"/>
          <w14:ligatures w14:val="standardContextual"/>
        </w:rPr>
      </w:pPr>
      <w:r w:rsidRPr="00424CB6">
        <w:rPr>
          <w:rFonts w:cs="TimesNewRoman,Bold"/>
          <w:b/>
          <w:bCs/>
          <w:i/>
          <w:iCs/>
          <w:szCs w:val="17"/>
          <w:lang w:val="nl-NL"/>
          <w14:ligatures w14:val="standardContextual"/>
        </w:rPr>
        <w:t xml:space="preserve">IV. </w:t>
      </w:r>
      <w:r w:rsidRPr="00424CB6">
        <w:rPr>
          <w:rFonts w:cs="TimesNewRoman,Bold"/>
          <w:b/>
          <w:bCs/>
          <w:i/>
          <w:iCs/>
          <w:szCs w:val="17"/>
          <w:u w:val="single"/>
          <w:lang w:val="nl-NL"/>
          <w14:ligatures w14:val="standardContextual"/>
        </w:rPr>
        <w:t>Vestiging erfdienstbaarheid</w:t>
      </w:r>
    </w:p>
    <w:p w14:paraId="2CD35147" w14:textId="7F4F1CEA" w:rsidR="006748B3" w:rsidRPr="00424CB6" w:rsidRDefault="006748B3" w:rsidP="00424CB6">
      <w:pPr>
        <w:autoSpaceDE w:val="0"/>
        <w:autoSpaceDN w:val="0"/>
        <w:adjustRightInd w:val="0"/>
        <w:spacing w:line="293" w:lineRule="auto"/>
        <w:ind w:left="567"/>
        <w:jc w:val="both"/>
        <w:rPr>
          <w:rFonts w:cs="TimesNewRoman"/>
          <w:i/>
          <w:iCs/>
          <w:szCs w:val="17"/>
          <w:lang w:val="nl-NL"/>
          <w14:ligatures w14:val="standardContextual"/>
        </w:rPr>
      </w:pPr>
      <w:r w:rsidRPr="00424CB6">
        <w:rPr>
          <w:rFonts w:cs="TimesNewRoman"/>
          <w:i/>
          <w:iCs/>
          <w:szCs w:val="17"/>
          <w:lang w:val="nl-NL"/>
          <w14:ligatures w14:val="standardContextual"/>
        </w:rPr>
        <w:t>Mede ter uitvoering van de hiervoor onder I omschreven overeenkomst</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verklaarde de verschenen persoon onder 1. genoemd bij deze te verlenen en</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verklaarde de verschenen persoon onder 2. genoemd aan te nemen en door</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inschrijving van een afschrift van deze akte in de daartoe bestemde openbare</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registers te vestigen de volgende erfdienstbaarheid:</w:t>
      </w:r>
    </w:p>
    <w:p w14:paraId="61A9BD8F" w14:textId="4D0A6B09" w:rsidR="006748B3" w:rsidRPr="00424CB6" w:rsidRDefault="006748B3" w:rsidP="00424CB6">
      <w:pPr>
        <w:autoSpaceDE w:val="0"/>
        <w:autoSpaceDN w:val="0"/>
        <w:adjustRightInd w:val="0"/>
        <w:spacing w:line="293" w:lineRule="auto"/>
        <w:ind w:left="567"/>
        <w:jc w:val="both"/>
        <w:rPr>
          <w:rFonts w:cs="TimesNewRoman"/>
          <w:i/>
          <w:iCs/>
          <w:szCs w:val="17"/>
          <w:lang w:val="nl-NL"/>
          <w14:ligatures w14:val="standardContextual"/>
        </w:rPr>
      </w:pPr>
      <w:r w:rsidRPr="00424CB6">
        <w:rPr>
          <w:rFonts w:cs="TimesNewRoman"/>
          <w:i/>
          <w:iCs/>
          <w:szCs w:val="17"/>
          <w:lang w:val="nl-NL"/>
          <w14:ligatures w14:val="standardContextual"/>
        </w:rPr>
        <w:lastRenderedPageBreak/>
        <w:t>ten behoeve van het hiervoor met het Recht van opstal belaste gedeelte van</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voormeld perceel kadastraal bekend gemeente Naarden, sectie A nummer 2434</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(het heersend erf) enerzijds en ten laste van het aan de Eigenaar in volle</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eigendom verblijvende gedeelte van voormeld perceel kadastraal bekend</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gemeent</w:t>
      </w:r>
      <w:r w:rsidR="00303EFE" w:rsidRPr="00424CB6">
        <w:rPr>
          <w:rFonts w:cs="TimesNewRoman"/>
          <w:i/>
          <w:iCs/>
          <w:szCs w:val="17"/>
          <w:lang w:val="nl-NL"/>
          <w14:ligatures w14:val="standardContextual"/>
        </w:rPr>
        <w:t xml:space="preserve">e </w:t>
      </w:r>
      <w:r w:rsidRPr="00424CB6">
        <w:rPr>
          <w:rFonts w:cs="TimesNewRoman"/>
          <w:i/>
          <w:iCs/>
          <w:szCs w:val="17"/>
          <w:lang w:val="nl-NL"/>
          <w14:ligatures w14:val="standardContextual"/>
        </w:rPr>
        <w:t>Naarden, sectie A nummer 2434 (het dienend erf) anderzijds,</w:t>
      </w:r>
      <w:r w:rsidR="00303EFE" w:rsidRPr="00424CB6">
        <w:rPr>
          <w:rFonts w:cs="TimesNewRoman"/>
          <w:i/>
          <w:iCs/>
          <w:szCs w:val="17"/>
          <w:lang w:val="nl-NL"/>
          <w14:ligatures w14:val="standardContextual"/>
        </w:rPr>
        <w:t xml:space="preserve"> </w:t>
      </w:r>
      <w:r w:rsidRPr="00424CB6">
        <w:rPr>
          <w:rFonts w:cs="TimesNewRoman"/>
          <w:i/>
          <w:iCs/>
          <w:szCs w:val="17"/>
          <w:u w:val="single"/>
          <w:lang w:val="nl-NL"/>
          <w14:ligatures w14:val="standardContextual"/>
        </w:rPr>
        <w:t>de erfdienstbaarheid van weg</w:t>
      </w:r>
      <w:r w:rsidRPr="00424CB6">
        <w:rPr>
          <w:rFonts w:cs="TimesNewRoman"/>
          <w:i/>
          <w:iCs/>
          <w:szCs w:val="17"/>
          <w:lang w:val="nl-NL"/>
          <w14:ligatures w14:val="standardContextual"/>
        </w:rPr>
        <w:t xml:space="preserve"> ten behoeve van door de gerechtigde tot het</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heersend erf aan te wijzen personen om vanaf het heersende erf te voet en/of</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met al dan niet gemotoriseerde voertuigen de openbare weg, en vanaf deze</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openbare weg het heersende erf te kunnen bereiken, op de voor de eigenaar van het dienend erf minst bezwarende wijze.</w:t>
      </w:r>
    </w:p>
    <w:p w14:paraId="4278B6DC" w14:textId="6663E7F6" w:rsidR="00345CE4" w:rsidRPr="00E71F89" w:rsidRDefault="006748B3" w:rsidP="00E71F89">
      <w:pPr>
        <w:autoSpaceDE w:val="0"/>
        <w:autoSpaceDN w:val="0"/>
        <w:adjustRightInd w:val="0"/>
        <w:spacing w:line="293" w:lineRule="auto"/>
        <w:ind w:left="567"/>
        <w:jc w:val="both"/>
        <w:rPr>
          <w:rFonts w:cs="TimesNewRoman"/>
          <w:szCs w:val="17"/>
          <w:lang w:val="nl-NL"/>
          <w14:ligatures w14:val="standardContextual"/>
        </w:rPr>
      </w:pPr>
      <w:r w:rsidRPr="00424CB6">
        <w:rPr>
          <w:rFonts w:cs="TimesNewRoman"/>
          <w:i/>
          <w:iCs/>
          <w:szCs w:val="17"/>
          <w:lang w:val="nl-NL"/>
          <w14:ligatures w14:val="standardContextual"/>
        </w:rPr>
        <w:t>In verband met de kwetsbare ondergrond zal de gerechtigde tot deze</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erfdienstbaarheid hiervan slechts met voortuigen gebruik mogen maken na</w:t>
      </w:r>
      <w:r w:rsidR="00303EFE" w:rsidRPr="00424CB6">
        <w:rPr>
          <w:rFonts w:cs="TimesNewRoman"/>
          <w:i/>
          <w:iCs/>
          <w:szCs w:val="17"/>
          <w:lang w:val="nl-NL"/>
          <w14:ligatures w14:val="standardContextual"/>
        </w:rPr>
        <w:t xml:space="preserve"> </w:t>
      </w:r>
      <w:r w:rsidRPr="00424CB6">
        <w:rPr>
          <w:rFonts w:cs="TimesNewRoman"/>
          <w:i/>
          <w:iCs/>
          <w:szCs w:val="17"/>
          <w:lang w:val="nl-NL"/>
          <w14:ligatures w14:val="standardContextual"/>
        </w:rPr>
        <w:t>overleg met de eigenaar van het dienend erf.</w:t>
      </w:r>
      <w:r w:rsidR="00303EFE" w:rsidRPr="00424CB6">
        <w:rPr>
          <w:rFonts w:cs="TimesNewRoman"/>
          <w:szCs w:val="17"/>
          <w:lang w:val="nl-NL"/>
          <w14:ligatures w14:val="standardContextual"/>
        </w:rPr>
        <w:t>”</w:t>
      </w:r>
      <w:r w:rsidR="00E71F89">
        <w:rPr>
          <w:rFonts w:cs="TimesNewRoman"/>
          <w:szCs w:val="17"/>
          <w:lang w:val="nl-NL"/>
          <w14:ligatures w14:val="standardContextual"/>
        </w:rPr>
        <w:t>.</w:t>
      </w:r>
    </w:p>
    <w:sectPr w:rsidR="00345CE4" w:rsidRPr="00E71F89" w:rsidSect="00C6382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489CC" w14:textId="77777777" w:rsidR="00D0601C" w:rsidRDefault="00D0601C" w:rsidP="00D0601C">
      <w:pPr>
        <w:spacing w:line="240" w:lineRule="auto"/>
      </w:pPr>
      <w:r>
        <w:separator/>
      </w:r>
    </w:p>
  </w:endnote>
  <w:endnote w:type="continuationSeparator" w:id="0">
    <w:p w14:paraId="21A0CE07" w14:textId="77777777" w:rsidR="00D0601C" w:rsidRDefault="00D0601C" w:rsidP="00D060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rriweather">
    <w:panose1 w:val="00000500000000000000"/>
    <w:charset w:val="00"/>
    <w:family w:val="auto"/>
    <w:pitch w:val="variable"/>
    <w:sig w:usb0="20000207" w:usb1="00000002"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Arial-BoldItalicMT">
    <w:altName w:val="Arial"/>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imesNewRoman">
    <w:altName w:val="Yu Gothic"/>
    <w:panose1 w:val="00000000000000000000"/>
    <w:charset w:val="00"/>
    <w:family w:val="auto"/>
    <w:notTrueType/>
    <w:pitch w:val="default"/>
    <w:sig w:usb0="00000003" w:usb1="00000000" w:usb2="00000000" w:usb3="00000000" w:csb0="00000001" w:csb1="00000000"/>
  </w:font>
  <w:font w:name="TimesNewRoman,BoldItalic">
    <w:altName w:val="Times New Roman"/>
    <w:panose1 w:val="00000000000000000000"/>
    <w:charset w:val="00"/>
    <w:family w:val="auto"/>
    <w:notTrueType/>
    <w:pitch w:val="default"/>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F3F40" w14:textId="77777777" w:rsidR="00C63824" w:rsidRDefault="00C638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626771"/>
      <w:docPartObj>
        <w:docPartGallery w:val="Page Numbers (Bottom of Page)"/>
        <w:docPartUnique/>
      </w:docPartObj>
    </w:sdtPr>
    <w:sdtEndPr>
      <w:rPr>
        <w:sz w:val="15"/>
        <w:szCs w:val="15"/>
      </w:rPr>
    </w:sdtEndPr>
    <w:sdtContent>
      <w:p w14:paraId="0468C713" w14:textId="77777777" w:rsidR="00903313" w:rsidRPr="00607950" w:rsidRDefault="00903313" w:rsidP="00903313">
        <w:pPr>
          <w:pStyle w:val="Voettekst"/>
          <w:rPr>
            <w:sz w:val="15"/>
            <w:szCs w:val="15"/>
          </w:rPr>
        </w:pPr>
        <w:r w:rsidRPr="00607950">
          <w:rPr>
            <w:sz w:val="15"/>
            <w:szCs w:val="15"/>
          </w:rPr>
          <w:t>202918151/30343069</w:t>
        </w:r>
      </w:p>
      <w:p w14:paraId="126C6D9F" w14:textId="42A9E8D6" w:rsidR="00903313" w:rsidRPr="00903313" w:rsidRDefault="00903313">
        <w:pPr>
          <w:pStyle w:val="Voettekst"/>
          <w:jc w:val="right"/>
          <w:rPr>
            <w:sz w:val="15"/>
            <w:szCs w:val="15"/>
          </w:rPr>
        </w:pPr>
        <w:r w:rsidRPr="00903313">
          <w:rPr>
            <w:sz w:val="15"/>
            <w:szCs w:val="15"/>
          </w:rPr>
          <w:fldChar w:fldCharType="begin"/>
        </w:r>
        <w:r w:rsidRPr="00903313">
          <w:rPr>
            <w:sz w:val="15"/>
            <w:szCs w:val="15"/>
          </w:rPr>
          <w:instrText>PAGE   \* MERGEFORMAT</w:instrText>
        </w:r>
        <w:r w:rsidRPr="00903313">
          <w:rPr>
            <w:sz w:val="15"/>
            <w:szCs w:val="15"/>
          </w:rPr>
          <w:fldChar w:fldCharType="separate"/>
        </w:r>
        <w:r w:rsidRPr="00903313">
          <w:rPr>
            <w:sz w:val="15"/>
            <w:szCs w:val="15"/>
            <w:lang w:val="nl-NL"/>
          </w:rPr>
          <w:t>2</w:t>
        </w:r>
        <w:r w:rsidRPr="00903313">
          <w:rPr>
            <w:sz w:val="15"/>
            <w:szCs w:val="15"/>
          </w:rPr>
          <w:fldChar w:fldCharType="end"/>
        </w:r>
      </w:p>
    </w:sdtContent>
  </w:sdt>
  <w:p w14:paraId="1A83060D" w14:textId="0F66B1B2" w:rsidR="00607950" w:rsidRPr="00903313" w:rsidRDefault="00607950" w:rsidP="009033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D1956" w14:textId="77777777" w:rsidR="00C63824" w:rsidRDefault="00C63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8359" w14:textId="77777777" w:rsidR="00D0601C" w:rsidRDefault="00D0601C" w:rsidP="00D0601C">
      <w:pPr>
        <w:spacing w:line="240" w:lineRule="auto"/>
      </w:pPr>
      <w:r>
        <w:separator/>
      </w:r>
    </w:p>
  </w:footnote>
  <w:footnote w:type="continuationSeparator" w:id="0">
    <w:p w14:paraId="49751A10" w14:textId="77777777" w:rsidR="00D0601C" w:rsidRDefault="00D0601C" w:rsidP="00D060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5BFC" w14:textId="77777777" w:rsidR="00C63824" w:rsidRDefault="00C638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43B7" w14:textId="77777777" w:rsidR="00C63824" w:rsidRDefault="00C6382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6FDD" w14:textId="77777777" w:rsidR="00C63824" w:rsidRDefault="00C638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D451F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9789E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50C496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E16052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203E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08D6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D81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243AF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E9CE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CE8B8A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396E8E"/>
    <w:multiLevelType w:val="multilevel"/>
    <w:tmpl w:val="0396D198"/>
    <w:lvl w:ilvl="0">
      <w:start w:val="1"/>
      <w:numFmt w:val="decimal"/>
      <w:pStyle w:val="Alineanummering1"/>
      <w:lvlText w:val="%1"/>
      <w:lvlJc w:val="left"/>
      <w:pPr>
        <w:tabs>
          <w:tab w:val="num" w:pos="1021"/>
        </w:tabs>
        <w:ind w:left="1021" w:hanging="1021"/>
      </w:pPr>
      <w:rPr>
        <w:rFonts w:hint="default"/>
      </w:rPr>
    </w:lvl>
    <w:lvl w:ilvl="1">
      <w:start w:val="1"/>
      <w:numFmt w:val="decimal"/>
      <w:pStyle w:val="Alineanummering2"/>
      <w:lvlText w:val="%1.%2"/>
      <w:lvlJc w:val="left"/>
      <w:pPr>
        <w:tabs>
          <w:tab w:val="num" w:pos="1021"/>
        </w:tabs>
        <w:ind w:left="1021" w:hanging="1021"/>
      </w:pPr>
      <w:rPr>
        <w:rFonts w:hint="default"/>
      </w:rPr>
    </w:lvl>
    <w:lvl w:ilvl="2">
      <w:start w:val="1"/>
      <w:numFmt w:val="decimal"/>
      <w:pStyle w:val="Alineanummering3"/>
      <w:lvlText w:val="%1.%2.%3"/>
      <w:lvlJc w:val="left"/>
      <w:pPr>
        <w:tabs>
          <w:tab w:val="num" w:pos="2041"/>
        </w:tabs>
        <w:ind w:left="2041" w:hanging="1020"/>
      </w:pPr>
      <w:rPr>
        <w:rFonts w:hint="default"/>
      </w:rPr>
    </w:lvl>
    <w:lvl w:ilvl="3">
      <w:start w:val="1"/>
      <w:numFmt w:val="lowerLetter"/>
      <w:pStyle w:val="Alineanummering4"/>
      <w:lvlText w:val="%4)"/>
      <w:lvlJc w:val="left"/>
      <w:pPr>
        <w:tabs>
          <w:tab w:val="num" w:pos="2552"/>
        </w:tabs>
        <w:ind w:left="2552" w:hanging="51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0300577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84F6908"/>
    <w:multiLevelType w:val="hybridMultilevel"/>
    <w:tmpl w:val="E1E0F9F2"/>
    <w:lvl w:ilvl="0" w:tplc="AB2ADDEA">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3" w15:restartNumberingAfterBreak="0">
    <w:nsid w:val="102B6E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07D50F3"/>
    <w:multiLevelType w:val="hybridMultilevel"/>
    <w:tmpl w:val="06C8912E"/>
    <w:lvl w:ilvl="0" w:tplc="344A6CDE">
      <w:numFmt w:val="bullet"/>
      <w:lvlText w:val="-"/>
      <w:lvlJc w:val="left"/>
      <w:pPr>
        <w:ind w:left="360" w:hanging="360"/>
      </w:pPr>
      <w:rPr>
        <w:rFonts w:ascii="Merriweather" w:eastAsiaTheme="minorHAnsi" w:hAnsi="Merriweather"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1E93C34"/>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6" w15:restartNumberingAfterBreak="0">
    <w:nsid w:val="13F542B7"/>
    <w:multiLevelType w:val="singleLevel"/>
    <w:tmpl w:val="89B427B6"/>
    <w:lvl w:ilvl="0">
      <w:numFmt w:val="bullet"/>
      <w:pStyle w:val="Opsommingsteken2"/>
      <w:lvlText w:val="-"/>
      <w:lvlJc w:val="left"/>
      <w:pPr>
        <w:tabs>
          <w:tab w:val="num" w:pos="425"/>
        </w:tabs>
        <w:ind w:left="425" w:hanging="425"/>
      </w:pPr>
      <w:rPr>
        <w:rFonts w:ascii="Merriweather" w:hAnsi="Merriweather" w:hint="default"/>
        <w:b w:val="0"/>
        <w:i w:val="0"/>
        <w:sz w:val="17"/>
        <w:szCs w:val="17"/>
      </w:rPr>
    </w:lvl>
  </w:abstractNum>
  <w:abstractNum w:abstractNumId="17" w15:restartNumberingAfterBreak="0">
    <w:nsid w:val="1A031FF8"/>
    <w:multiLevelType w:val="hybridMultilevel"/>
    <w:tmpl w:val="87B2264E"/>
    <w:lvl w:ilvl="0" w:tplc="89EE1B16">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8" w15:restartNumberingAfterBreak="0">
    <w:nsid w:val="1FFD5315"/>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ED55E5"/>
    <w:multiLevelType w:val="multilevel"/>
    <w:tmpl w:val="BB6EDEEE"/>
    <w:lvl w:ilvl="0">
      <w:start w:val="1"/>
      <w:numFmt w:val="decimal"/>
      <w:pStyle w:val="Kop1"/>
      <w:lvlText w:val="%1"/>
      <w:lvlJc w:val="left"/>
      <w:pPr>
        <w:tabs>
          <w:tab w:val="num" w:pos="1021"/>
        </w:tabs>
        <w:ind w:left="1021" w:hanging="1021"/>
      </w:pPr>
      <w:rPr>
        <w:rFonts w:hint="default"/>
      </w:rPr>
    </w:lvl>
    <w:lvl w:ilvl="1">
      <w:start w:val="1"/>
      <w:numFmt w:val="decimal"/>
      <w:pStyle w:val="Kop2"/>
      <w:lvlText w:val="%1.%2"/>
      <w:lvlJc w:val="left"/>
      <w:pPr>
        <w:tabs>
          <w:tab w:val="num" w:pos="1021"/>
        </w:tabs>
        <w:ind w:left="1021" w:hanging="1021"/>
      </w:pPr>
      <w:rPr>
        <w:rFonts w:hint="default"/>
      </w:rPr>
    </w:lvl>
    <w:lvl w:ilvl="2">
      <w:start w:val="1"/>
      <w:numFmt w:val="decimal"/>
      <w:pStyle w:val="Kop3"/>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E942625"/>
    <w:multiLevelType w:val="singleLevel"/>
    <w:tmpl w:val="5D480AA8"/>
    <w:lvl w:ilvl="0">
      <w:start w:val="1"/>
      <w:numFmt w:val="decimal"/>
      <w:pStyle w:val="Nummering"/>
      <w:lvlText w:val="%1"/>
      <w:lvlJc w:val="left"/>
      <w:pPr>
        <w:tabs>
          <w:tab w:val="num" w:pos="425"/>
        </w:tabs>
        <w:ind w:left="425" w:hanging="425"/>
      </w:pPr>
      <w:rPr>
        <w:rFonts w:ascii="Merriweather" w:hAnsi="Merriweather" w:hint="default"/>
        <w:b w:val="0"/>
        <w:i w:val="0"/>
        <w:sz w:val="17"/>
        <w:szCs w:val="17"/>
      </w:rPr>
    </w:lvl>
  </w:abstractNum>
  <w:abstractNum w:abstractNumId="21" w15:restartNumberingAfterBreak="0">
    <w:nsid w:val="39D602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8D7A3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016514"/>
    <w:multiLevelType w:val="hybridMultilevel"/>
    <w:tmpl w:val="F416781A"/>
    <w:lvl w:ilvl="0" w:tplc="F0220152">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24" w15:restartNumberingAfterBreak="0">
    <w:nsid w:val="4B454F7C"/>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 w15:restartNumberingAfterBreak="0">
    <w:nsid w:val="50081072"/>
    <w:multiLevelType w:val="hybridMultilevel"/>
    <w:tmpl w:val="B4CC888C"/>
    <w:lvl w:ilvl="0" w:tplc="38C8999E">
      <w:numFmt w:val="bullet"/>
      <w:lvlText w:val="-"/>
      <w:lvlJc w:val="left"/>
      <w:pPr>
        <w:ind w:left="720" w:hanging="360"/>
      </w:pPr>
      <w:rPr>
        <w:rFonts w:ascii="Merriweather" w:eastAsiaTheme="minorHAnsi" w:hAnsi="Merriweath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F029A"/>
    <w:multiLevelType w:val="singleLevel"/>
    <w:tmpl w:val="311C75A8"/>
    <w:lvl w:ilvl="0">
      <w:start w:val="1"/>
      <w:numFmt w:val="lowerLetter"/>
      <w:pStyle w:val="Nummering2"/>
      <w:lvlText w:val="%1)"/>
      <w:lvlJc w:val="left"/>
      <w:pPr>
        <w:tabs>
          <w:tab w:val="num" w:pos="425"/>
        </w:tabs>
        <w:ind w:left="425" w:hanging="425"/>
      </w:pPr>
      <w:rPr>
        <w:rFonts w:ascii="Merriweather" w:hAnsi="Merriweather" w:hint="default"/>
        <w:b w:val="0"/>
        <w:i w:val="0"/>
        <w:sz w:val="17"/>
        <w:szCs w:val="17"/>
      </w:rPr>
    </w:lvl>
  </w:abstractNum>
  <w:abstractNum w:abstractNumId="27" w15:restartNumberingAfterBreak="0">
    <w:nsid w:val="552117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1920ED"/>
    <w:multiLevelType w:val="multilevel"/>
    <w:tmpl w:val="1E08A266"/>
    <w:lvl w:ilvl="0">
      <w:start w:val="1"/>
      <w:numFmt w:val="decimal"/>
      <w:lvlText w:val="%1"/>
      <w:lvlJc w:val="left"/>
      <w:pPr>
        <w:tabs>
          <w:tab w:val="num" w:pos="5416"/>
        </w:tabs>
        <w:ind w:left="5416" w:hanging="1021"/>
      </w:pPr>
      <w:rPr>
        <w:rFonts w:ascii="Merriweather" w:hAnsi="Merriweather" w:cs="Arial" w:hint="default"/>
        <w:b/>
        <w:i w:val="0"/>
        <w:spacing w:val="22"/>
        <w:sz w:val="16"/>
        <w:szCs w:val="16"/>
        <w:u w:val="none"/>
      </w:rPr>
    </w:lvl>
    <w:lvl w:ilvl="1">
      <w:start w:val="1"/>
      <w:numFmt w:val="decimal"/>
      <w:lvlText w:val="%1.%2"/>
      <w:lvlJc w:val="left"/>
      <w:pPr>
        <w:tabs>
          <w:tab w:val="num" w:pos="1021"/>
        </w:tabs>
        <w:ind w:left="1021" w:hanging="1021"/>
      </w:pPr>
      <w:rPr>
        <w:rFonts w:ascii="Merriweather" w:hAnsi="Merriweather" w:cs="Arial" w:hint="default"/>
        <w:b w:val="0"/>
        <w:i w:val="0"/>
        <w:spacing w:val="34"/>
        <w:sz w:val="17"/>
        <w:szCs w:val="17"/>
        <w:u w:val="none"/>
      </w:rPr>
    </w:lvl>
    <w:lvl w:ilvl="2">
      <w:start w:val="1"/>
      <w:numFmt w:val="decimal"/>
      <w:lvlText w:val="%1.%2.%3"/>
      <w:lvlJc w:val="left"/>
      <w:pPr>
        <w:tabs>
          <w:tab w:val="num" w:pos="2041"/>
        </w:tabs>
        <w:ind w:left="2041" w:hanging="1020"/>
      </w:pPr>
      <w:rPr>
        <w:rFonts w:ascii="Arial" w:hAnsi="Arial" w:cs="Arial" w:hint="default"/>
        <w:b w:val="0"/>
        <w:i w:val="0"/>
        <w:spacing w:val="34"/>
        <w:sz w:val="20"/>
        <w:szCs w:val="20"/>
        <w:u w:val="none"/>
      </w:rPr>
    </w:lvl>
    <w:lvl w:ilvl="3">
      <w:start w:val="1"/>
      <w:numFmt w:val="lowerLetter"/>
      <w:lvlText w:val="%4)"/>
      <w:lvlJc w:val="left"/>
      <w:pPr>
        <w:tabs>
          <w:tab w:val="num" w:pos="2552"/>
        </w:tabs>
        <w:ind w:left="2552" w:hanging="511"/>
      </w:pPr>
      <w:rPr>
        <w:rFonts w:ascii="Merriweather" w:hAnsi="Merriweather" w:cs="Arial" w:hint="default"/>
        <w:b w:val="0"/>
        <w:i w:val="0"/>
        <w:spacing w:val="26"/>
        <w:sz w:val="17"/>
        <w:szCs w:val="17"/>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9" w15:restartNumberingAfterBreak="0">
    <w:nsid w:val="5B296C6B"/>
    <w:multiLevelType w:val="multilevel"/>
    <w:tmpl w:val="03648B7E"/>
    <w:lvl w:ilvl="0">
      <w:start w:val="1"/>
      <w:numFmt w:val="decimal"/>
      <w:suff w:val="space"/>
      <w:lvlText w:val="%1."/>
      <w:lvlJc w:val="left"/>
      <w:pPr>
        <w:ind w:left="454" w:hanging="454"/>
      </w:pPr>
      <w:rPr>
        <w:rFonts w:hint="default"/>
      </w:rPr>
    </w:lvl>
    <w:lvl w:ilvl="1">
      <w:start w:val="1"/>
      <w:numFmt w:val="decimal"/>
      <w:suff w:val="space"/>
      <w:lvlText w:val="%1.%2"/>
      <w:lvlJc w:val="left"/>
      <w:pPr>
        <w:ind w:left="680" w:hanging="680"/>
      </w:pPr>
      <w:rPr>
        <w:rFonts w:hint="default"/>
      </w:rPr>
    </w:lvl>
    <w:lvl w:ilvl="2">
      <w:start w:val="1"/>
      <w:numFmt w:val="decimal"/>
      <w:suff w:val="space"/>
      <w:lvlText w:val="%1.%2.%3"/>
      <w:lvlJc w:val="left"/>
      <w:pPr>
        <w:ind w:left="0" w:firstLine="0"/>
      </w:pPr>
      <w:rPr>
        <w:rFonts w:ascii="Trebuchet MS" w:hAnsi="Trebuchet MS" w:hint="default"/>
        <w:b/>
        <w:i w:val="0"/>
        <w:sz w:val="19"/>
      </w:rPr>
    </w:lvl>
    <w:lvl w:ilvl="3">
      <w:start w:val="1"/>
      <w:numFmt w:val="decimal"/>
      <w:lvlRestart w:val="0"/>
      <w:suff w:val="space"/>
      <w:lvlText w:val="%1.%2.%3.%4"/>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76A0C79"/>
    <w:multiLevelType w:val="singleLevel"/>
    <w:tmpl w:val="FBA46F14"/>
    <w:lvl w:ilvl="0">
      <w:start w:val="1"/>
      <w:numFmt w:val="bullet"/>
      <w:pStyle w:val="Opsommingsteken"/>
      <w:lvlText w:val=""/>
      <w:lvlJc w:val="left"/>
      <w:pPr>
        <w:tabs>
          <w:tab w:val="num" w:pos="425"/>
        </w:tabs>
        <w:ind w:left="425" w:hanging="425"/>
      </w:pPr>
      <w:rPr>
        <w:rFonts w:ascii="Symbol" w:hAnsi="Symbol" w:hint="default"/>
      </w:rPr>
    </w:lvl>
  </w:abstractNum>
  <w:abstractNum w:abstractNumId="31" w15:restartNumberingAfterBreak="0">
    <w:nsid w:val="72783467"/>
    <w:multiLevelType w:val="multilevel"/>
    <w:tmpl w:val="470E6ECC"/>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16cid:durableId="2130857381">
    <w:abstractNumId w:val="28"/>
  </w:num>
  <w:num w:numId="2" w16cid:durableId="38476007">
    <w:abstractNumId w:val="28"/>
  </w:num>
  <w:num w:numId="3" w16cid:durableId="368383533">
    <w:abstractNumId w:val="28"/>
  </w:num>
  <w:num w:numId="4" w16cid:durableId="1738435435">
    <w:abstractNumId w:val="28"/>
  </w:num>
  <w:num w:numId="5" w16cid:durableId="697127821">
    <w:abstractNumId w:val="28"/>
  </w:num>
  <w:num w:numId="6" w16cid:durableId="297492649">
    <w:abstractNumId w:val="28"/>
  </w:num>
  <w:num w:numId="7" w16cid:durableId="60100436">
    <w:abstractNumId w:val="28"/>
  </w:num>
  <w:num w:numId="8" w16cid:durableId="100759268">
    <w:abstractNumId w:val="24"/>
  </w:num>
  <w:num w:numId="9" w16cid:durableId="23677049">
    <w:abstractNumId w:val="27"/>
  </w:num>
  <w:num w:numId="10" w16cid:durableId="1773209672">
    <w:abstractNumId w:val="13"/>
  </w:num>
  <w:num w:numId="11" w16cid:durableId="1172136387">
    <w:abstractNumId w:val="21"/>
  </w:num>
  <w:num w:numId="12" w16cid:durableId="1520923362">
    <w:abstractNumId w:val="19"/>
  </w:num>
  <w:num w:numId="13" w16cid:durableId="576280899">
    <w:abstractNumId w:val="15"/>
  </w:num>
  <w:num w:numId="14" w16cid:durableId="7698618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9003424">
    <w:abstractNumId w:val="10"/>
  </w:num>
  <w:num w:numId="16" w16cid:durableId="70931576">
    <w:abstractNumId w:val="31"/>
  </w:num>
  <w:num w:numId="17" w16cid:durableId="1507017271">
    <w:abstractNumId w:val="20"/>
  </w:num>
  <w:num w:numId="18" w16cid:durableId="1796018204">
    <w:abstractNumId w:val="26"/>
  </w:num>
  <w:num w:numId="19" w16cid:durableId="148714935">
    <w:abstractNumId w:val="30"/>
  </w:num>
  <w:num w:numId="20" w16cid:durableId="731122788">
    <w:abstractNumId w:val="16"/>
  </w:num>
  <w:num w:numId="21" w16cid:durableId="273094420">
    <w:abstractNumId w:val="29"/>
  </w:num>
  <w:num w:numId="22" w16cid:durableId="110247199">
    <w:abstractNumId w:val="22"/>
  </w:num>
  <w:num w:numId="23" w16cid:durableId="1292134698">
    <w:abstractNumId w:val="18"/>
  </w:num>
  <w:num w:numId="24" w16cid:durableId="1807047087">
    <w:abstractNumId w:val="11"/>
  </w:num>
  <w:num w:numId="25" w16cid:durableId="477574727">
    <w:abstractNumId w:val="9"/>
  </w:num>
  <w:num w:numId="26" w16cid:durableId="465465255">
    <w:abstractNumId w:val="7"/>
  </w:num>
  <w:num w:numId="27" w16cid:durableId="762651723">
    <w:abstractNumId w:val="6"/>
  </w:num>
  <w:num w:numId="28" w16cid:durableId="538056713">
    <w:abstractNumId w:val="5"/>
  </w:num>
  <w:num w:numId="29" w16cid:durableId="62878557">
    <w:abstractNumId w:val="4"/>
  </w:num>
  <w:num w:numId="30" w16cid:durableId="279453583">
    <w:abstractNumId w:val="8"/>
  </w:num>
  <w:num w:numId="31" w16cid:durableId="1471092770">
    <w:abstractNumId w:val="3"/>
  </w:num>
  <w:num w:numId="32" w16cid:durableId="1865822770">
    <w:abstractNumId w:val="2"/>
  </w:num>
  <w:num w:numId="33" w16cid:durableId="1669097849">
    <w:abstractNumId w:val="1"/>
  </w:num>
  <w:num w:numId="34" w16cid:durableId="751705961">
    <w:abstractNumId w:val="0"/>
  </w:num>
  <w:num w:numId="35" w16cid:durableId="1941133573">
    <w:abstractNumId w:val="16"/>
  </w:num>
  <w:num w:numId="36" w16cid:durableId="559054700">
    <w:abstractNumId w:val="25"/>
  </w:num>
  <w:num w:numId="37" w16cid:durableId="1309748507">
    <w:abstractNumId w:val="14"/>
  </w:num>
  <w:num w:numId="38" w16cid:durableId="1019089052">
    <w:abstractNumId w:val="12"/>
  </w:num>
  <w:num w:numId="39" w16cid:durableId="392197286">
    <w:abstractNumId w:val="17"/>
  </w:num>
  <w:num w:numId="40" w16cid:durableId="13725303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144"/>
    <w:rsid w:val="00000D51"/>
    <w:rsid w:val="0001391A"/>
    <w:rsid w:val="00013F2D"/>
    <w:rsid w:val="00026A82"/>
    <w:rsid w:val="0003365A"/>
    <w:rsid w:val="00037DB1"/>
    <w:rsid w:val="000404A6"/>
    <w:rsid w:val="0004564A"/>
    <w:rsid w:val="00047079"/>
    <w:rsid w:val="000501A3"/>
    <w:rsid w:val="00051610"/>
    <w:rsid w:val="000612E7"/>
    <w:rsid w:val="00066A6C"/>
    <w:rsid w:val="0007045D"/>
    <w:rsid w:val="00083F65"/>
    <w:rsid w:val="00094478"/>
    <w:rsid w:val="00094CF4"/>
    <w:rsid w:val="0009644E"/>
    <w:rsid w:val="000A2927"/>
    <w:rsid w:val="000A3878"/>
    <w:rsid w:val="000A5748"/>
    <w:rsid w:val="000A5944"/>
    <w:rsid w:val="000C0EB8"/>
    <w:rsid w:val="000C5EDC"/>
    <w:rsid w:val="000C7459"/>
    <w:rsid w:val="000D3A3B"/>
    <w:rsid w:val="000E2860"/>
    <w:rsid w:val="000F1DAA"/>
    <w:rsid w:val="000F41B1"/>
    <w:rsid w:val="00100C21"/>
    <w:rsid w:val="00113CCD"/>
    <w:rsid w:val="00127626"/>
    <w:rsid w:val="001516C8"/>
    <w:rsid w:val="0015185D"/>
    <w:rsid w:val="00151F62"/>
    <w:rsid w:val="001714B9"/>
    <w:rsid w:val="00175B47"/>
    <w:rsid w:val="00184D2D"/>
    <w:rsid w:val="001864EF"/>
    <w:rsid w:val="001A22AF"/>
    <w:rsid w:val="001A3F5A"/>
    <w:rsid w:val="001A78EF"/>
    <w:rsid w:val="001B2C70"/>
    <w:rsid w:val="001B3A48"/>
    <w:rsid w:val="001B5EA9"/>
    <w:rsid w:val="001C26DB"/>
    <w:rsid w:val="001C4EEE"/>
    <w:rsid w:val="001F0D04"/>
    <w:rsid w:val="001F4ABD"/>
    <w:rsid w:val="001F4D13"/>
    <w:rsid w:val="00200CF4"/>
    <w:rsid w:val="00204BC2"/>
    <w:rsid w:val="00205F97"/>
    <w:rsid w:val="00213E1C"/>
    <w:rsid w:val="00215661"/>
    <w:rsid w:val="00217CB3"/>
    <w:rsid w:val="00225195"/>
    <w:rsid w:val="00227BAC"/>
    <w:rsid w:val="00240214"/>
    <w:rsid w:val="00240EA3"/>
    <w:rsid w:val="00247357"/>
    <w:rsid w:val="00252344"/>
    <w:rsid w:val="00252C9A"/>
    <w:rsid w:val="00255F03"/>
    <w:rsid w:val="0025713F"/>
    <w:rsid w:val="0026041C"/>
    <w:rsid w:val="00263661"/>
    <w:rsid w:val="00265E10"/>
    <w:rsid w:val="002737C6"/>
    <w:rsid w:val="0027573A"/>
    <w:rsid w:val="00282210"/>
    <w:rsid w:val="00292820"/>
    <w:rsid w:val="002A171D"/>
    <w:rsid w:val="002A5EA5"/>
    <w:rsid w:val="002A774F"/>
    <w:rsid w:val="002B1410"/>
    <w:rsid w:val="002B5418"/>
    <w:rsid w:val="002C1DF7"/>
    <w:rsid w:val="002C5674"/>
    <w:rsid w:val="002C5BCC"/>
    <w:rsid w:val="002C5CE7"/>
    <w:rsid w:val="002C79DC"/>
    <w:rsid w:val="002D57CF"/>
    <w:rsid w:val="002D596B"/>
    <w:rsid w:val="002D5DDA"/>
    <w:rsid w:val="002E420A"/>
    <w:rsid w:val="002E5EAA"/>
    <w:rsid w:val="002F41C5"/>
    <w:rsid w:val="00303D6F"/>
    <w:rsid w:val="00303EFE"/>
    <w:rsid w:val="00334817"/>
    <w:rsid w:val="003427C8"/>
    <w:rsid w:val="0034508A"/>
    <w:rsid w:val="00345CE4"/>
    <w:rsid w:val="00347D88"/>
    <w:rsid w:val="003500AA"/>
    <w:rsid w:val="00355430"/>
    <w:rsid w:val="003630DC"/>
    <w:rsid w:val="00367D7D"/>
    <w:rsid w:val="00375D74"/>
    <w:rsid w:val="003818A6"/>
    <w:rsid w:val="00382E31"/>
    <w:rsid w:val="003845A9"/>
    <w:rsid w:val="0038531D"/>
    <w:rsid w:val="003A2ACA"/>
    <w:rsid w:val="003A686E"/>
    <w:rsid w:val="003B50C4"/>
    <w:rsid w:val="003C0F6E"/>
    <w:rsid w:val="003C1F52"/>
    <w:rsid w:val="003C4ADA"/>
    <w:rsid w:val="003D0E94"/>
    <w:rsid w:val="003D3541"/>
    <w:rsid w:val="003F4E14"/>
    <w:rsid w:val="003F6EE6"/>
    <w:rsid w:val="00401C26"/>
    <w:rsid w:val="00404A45"/>
    <w:rsid w:val="00410991"/>
    <w:rsid w:val="004117B9"/>
    <w:rsid w:val="004158A1"/>
    <w:rsid w:val="004238E5"/>
    <w:rsid w:val="00424CB6"/>
    <w:rsid w:val="00425AC8"/>
    <w:rsid w:val="00442C27"/>
    <w:rsid w:val="00447024"/>
    <w:rsid w:val="004472D1"/>
    <w:rsid w:val="00466132"/>
    <w:rsid w:val="0046778E"/>
    <w:rsid w:val="00480DBD"/>
    <w:rsid w:val="00481B71"/>
    <w:rsid w:val="004924BB"/>
    <w:rsid w:val="004A5BB1"/>
    <w:rsid w:val="004A7C1C"/>
    <w:rsid w:val="004D32A4"/>
    <w:rsid w:val="004D7160"/>
    <w:rsid w:val="004D736E"/>
    <w:rsid w:val="004D7529"/>
    <w:rsid w:val="004D7CA6"/>
    <w:rsid w:val="004E0B44"/>
    <w:rsid w:val="004F226B"/>
    <w:rsid w:val="00502DBA"/>
    <w:rsid w:val="00506A2B"/>
    <w:rsid w:val="005170EA"/>
    <w:rsid w:val="005177AF"/>
    <w:rsid w:val="00517AA9"/>
    <w:rsid w:val="0053577F"/>
    <w:rsid w:val="00536491"/>
    <w:rsid w:val="00536A32"/>
    <w:rsid w:val="00551101"/>
    <w:rsid w:val="00564857"/>
    <w:rsid w:val="0056527A"/>
    <w:rsid w:val="00565A81"/>
    <w:rsid w:val="00567117"/>
    <w:rsid w:val="00573BC6"/>
    <w:rsid w:val="00574EF9"/>
    <w:rsid w:val="00576408"/>
    <w:rsid w:val="00577AF0"/>
    <w:rsid w:val="005813E2"/>
    <w:rsid w:val="00583B3D"/>
    <w:rsid w:val="00585AC1"/>
    <w:rsid w:val="00586B90"/>
    <w:rsid w:val="005909C1"/>
    <w:rsid w:val="00595E97"/>
    <w:rsid w:val="0059693B"/>
    <w:rsid w:val="00597CBD"/>
    <w:rsid w:val="005A1DDB"/>
    <w:rsid w:val="005A2DE9"/>
    <w:rsid w:val="005A4A5B"/>
    <w:rsid w:val="005A5F5E"/>
    <w:rsid w:val="005B2DB6"/>
    <w:rsid w:val="005B3568"/>
    <w:rsid w:val="005B60BC"/>
    <w:rsid w:val="005C016B"/>
    <w:rsid w:val="005C0871"/>
    <w:rsid w:val="005C10E0"/>
    <w:rsid w:val="005C655E"/>
    <w:rsid w:val="005C6F69"/>
    <w:rsid w:val="005E5452"/>
    <w:rsid w:val="005E7B3B"/>
    <w:rsid w:val="00601E64"/>
    <w:rsid w:val="006058FB"/>
    <w:rsid w:val="00607950"/>
    <w:rsid w:val="00613FE1"/>
    <w:rsid w:val="00626F92"/>
    <w:rsid w:val="00627F4A"/>
    <w:rsid w:val="00631AB1"/>
    <w:rsid w:val="0064176A"/>
    <w:rsid w:val="00642800"/>
    <w:rsid w:val="0065016E"/>
    <w:rsid w:val="006515DA"/>
    <w:rsid w:val="006669C9"/>
    <w:rsid w:val="006748B3"/>
    <w:rsid w:val="006846D6"/>
    <w:rsid w:val="00691E0D"/>
    <w:rsid w:val="006A3355"/>
    <w:rsid w:val="006A4271"/>
    <w:rsid w:val="006B5A9F"/>
    <w:rsid w:val="006C26D5"/>
    <w:rsid w:val="006D2EB3"/>
    <w:rsid w:val="006E0A17"/>
    <w:rsid w:val="006E4D89"/>
    <w:rsid w:val="00704849"/>
    <w:rsid w:val="007068DF"/>
    <w:rsid w:val="00707CB5"/>
    <w:rsid w:val="00710DF0"/>
    <w:rsid w:val="007133AC"/>
    <w:rsid w:val="007264BC"/>
    <w:rsid w:val="00727095"/>
    <w:rsid w:val="007428C4"/>
    <w:rsid w:val="00755792"/>
    <w:rsid w:val="00765D4C"/>
    <w:rsid w:val="007704BA"/>
    <w:rsid w:val="00780DCE"/>
    <w:rsid w:val="007810D1"/>
    <w:rsid w:val="007922FB"/>
    <w:rsid w:val="007B13F4"/>
    <w:rsid w:val="007D03C3"/>
    <w:rsid w:val="007D30D6"/>
    <w:rsid w:val="007D671F"/>
    <w:rsid w:val="007F3593"/>
    <w:rsid w:val="007F3842"/>
    <w:rsid w:val="00802144"/>
    <w:rsid w:val="00803990"/>
    <w:rsid w:val="0080679F"/>
    <w:rsid w:val="00810EE2"/>
    <w:rsid w:val="0081622C"/>
    <w:rsid w:val="008216A2"/>
    <w:rsid w:val="00832A49"/>
    <w:rsid w:val="00840C51"/>
    <w:rsid w:val="00844D95"/>
    <w:rsid w:val="00852A99"/>
    <w:rsid w:val="00855869"/>
    <w:rsid w:val="008602A5"/>
    <w:rsid w:val="00867A86"/>
    <w:rsid w:val="00870425"/>
    <w:rsid w:val="00876755"/>
    <w:rsid w:val="0089116D"/>
    <w:rsid w:val="008928C1"/>
    <w:rsid w:val="00892A1C"/>
    <w:rsid w:val="00893C11"/>
    <w:rsid w:val="008A3206"/>
    <w:rsid w:val="008A4E1A"/>
    <w:rsid w:val="008A4FD0"/>
    <w:rsid w:val="008B2D08"/>
    <w:rsid w:val="008C1ADD"/>
    <w:rsid w:val="008D476F"/>
    <w:rsid w:val="008D6EAE"/>
    <w:rsid w:val="008E0C16"/>
    <w:rsid w:val="008E75D0"/>
    <w:rsid w:val="008F3194"/>
    <w:rsid w:val="008F5332"/>
    <w:rsid w:val="00903313"/>
    <w:rsid w:val="00907411"/>
    <w:rsid w:val="009142D1"/>
    <w:rsid w:val="0092222A"/>
    <w:rsid w:val="00927135"/>
    <w:rsid w:val="009276B3"/>
    <w:rsid w:val="00933F12"/>
    <w:rsid w:val="009363C0"/>
    <w:rsid w:val="0093656B"/>
    <w:rsid w:val="009372E5"/>
    <w:rsid w:val="0094796E"/>
    <w:rsid w:val="00956C50"/>
    <w:rsid w:val="00961432"/>
    <w:rsid w:val="0096580C"/>
    <w:rsid w:val="00980B47"/>
    <w:rsid w:val="009910D8"/>
    <w:rsid w:val="009920A1"/>
    <w:rsid w:val="009A0D82"/>
    <w:rsid w:val="009A3D90"/>
    <w:rsid w:val="009A5937"/>
    <w:rsid w:val="009A6366"/>
    <w:rsid w:val="009B10EB"/>
    <w:rsid w:val="009B67DE"/>
    <w:rsid w:val="009C1C49"/>
    <w:rsid w:val="009C36B0"/>
    <w:rsid w:val="009D0878"/>
    <w:rsid w:val="009E2FC1"/>
    <w:rsid w:val="009E450A"/>
    <w:rsid w:val="009F1F12"/>
    <w:rsid w:val="009F5C53"/>
    <w:rsid w:val="009F61A3"/>
    <w:rsid w:val="00A00DD4"/>
    <w:rsid w:val="00A0169E"/>
    <w:rsid w:val="00A044E9"/>
    <w:rsid w:val="00A066CA"/>
    <w:rsid w:val="00A11089"/>
    <w:rsid w:val="00A11E90"/>
    <w:rsid w:val="00A132C7"/>
    <w:rsid w:val="00A1790A"/>
    <w:rsid w:val="00A23997"/>
    <w:rsid w:val="00A23E61"/>
    <w:rsid w:val="00A2530A"/>
    <w:rsid w:val="00A268AB"/>
    <w:rsid w:val="00A30976"/>
    <w:rsid w:val="00A3691F"/>
    <w:rsid w:val="00A47D10"/>
    <w:rsid w:val="00A501A3"/>
    <w:rsid w:val="00A613F0"/>
    <w:rsid w:val="00A639AC"/>
    <w:rsid w:val="00A672E3"/>
    <w:rsid w:val="00A721F2"/>
    <w:rsid w:val="00A74D22"/>
    <w:rsid w:val="00A77105"/>
    <w:rsid w:val="00A77FCA"/>
    <w:rsid w:val="00AA3127"/>
    <w:rsid w:val="00AB51F0"/>
    <w:rsid w:val="00AB7A32"/>
    <w:rsid w:val="00AD550C"/>
    <w:rsid w:val="00AE5C47"/>
    <w:rsid w:val="00AE77A5"/>
    <w:rsid w:val="00AF690C"/>
    <w:rsid w:val="00B00D9F"/>
    <w:rsid w:val="00B0216A"/>
    <w:rsid w:val="00B03D42"/>
    <w:rsid w:val="00B16621"/>
    <w:rsid w:val="00B25C12"/>
    <w:rsid w:val="00B26E94"/>
    <w:rsid w:val="00B33F16"/>
    <w:rsid w:val="00B35410"/>
    <w:rsid w:val="00B36000"/>
    <w:rsid w:val="00B42B69"/>
    <w:rsid w:val="00B437E9"/>
    <w:rsid w:val="00B53CB4"/>
    <w:rsid w:val="00B629FE"/>
    <w:rsid w:val="00B724BF"/>
    <w:rsid w:val="00B72FBF"/>
    <w:rsid w:val="00B74975"/>
    <w:rsid w:val="00B8093D"/>
    <w:rsid w:val="00B81E68"/>
    <w:rsid w:val="00B84008"/>
    <w:rsid w:val="00B85DD5"/>
    <w:rsid w:val="00B91BDE"/>
    <w:rsid w:val="00B9348C"/>
    <w:rsid w:val="00B970EC"/>
    <w:rsid w:val="00BA2197"/>
    <w:rsid w:val="00BA28C5"/>
    <w:rsid w:val="00BA4CCA"/>
    <w:rsid w:val="00BC0C66"/>
    <w:rsid w:val="00BD282D"/>
    <w:rsid w:val="00BD29F1"/>
    <w:rsid w:val="00BD5A04"/>
    <w:rsid w:val="00BD5CF6"/>
    <w:rsid w:val="00BE4A91"/>
    <w:rsid w:val="00BE4D34"/>
    <w:rsid w:val="00BE7BC0"/>
    <w:rsid w:val="00BE7F43"/>
    <w:rsid w:val="00C03230"/>
    <w:rsid w:val="00C0355E"/>
    <w:rsid w:val="00C0450C"/>
    <w:rsid w:val="00C07131"/>
    <w:rsid w:val="00C20B8C"/>
    <w:rsid w:val="00C22D7C"/>
    <w:rsid w:val="00C2311C"/>
    <w:rsid w:val="00C23C3D"/>
    <w:rsid w:val="00C24792"/>
    <w:rsid w:val="00C2578A"/>
    <w:rsid w:val="00C269BE"/>
    <w:rsid w:val="00C35E07"/>
    <w:rsid w:val="00C4681A"/>
    <w:rsid w:val="00C574C4"/>
    <w:rsid w:val="00C63824"/>
    <w:rsid w:val="00C648B4"/>
    <w:rsid w:val="00C64918"/>
    <w:rsid w:val="00C72151"/>
    <w:rsid w:val="00C724F5"/>
    <w:rsid w:val="00C8016B"/>
    <w:rsid w:val="00C8070E"/>
    <w:rsid w:val="00C80E64"/>
    <w:rsid w:val="00C81D34"/>
    <w:rsid w:val="00C91032"/>
    <w:rsid w:val="00C92128"/>
    <w:rsid w:val="00C9580B"/>
    <w:rsid w:val="00C97F56"/>
    <w:rsid w:val="00CA1B26"/>
    <w:rsid w:val="00CA2A7C"/>
    <w:rsid w:val="00CA5061"/>
    <w:rsid w:val="00CC5907"/>
    <w:rsid w:val="00CD165A"/>
    <w:rsid w:val="00CD33BD"/>
    <w:rsid w:val="00CE534F"/>
    <w:rsid w:val="00CE797C"/>
    <w:rsid w:val="00CF405D"/>
    <w:rsid w:val="00D0601C"/>
    <w:rsid w:val="00D2049F"/>
    <w:rsid w:val="00D35F76"/>
    <w:rsid w:val="00D557D5"/>
    <w:rsid w:val="00D62762"/>
    <w:rsid w:val="00D700D1"/>
    <w:rsid w:val="00D71B0A"/>
    <w:rsid w:val="00D825E0"/>
    <w:rsid w:val="00D82C40"/>
    <w:rsid w:val="00D87F05"/>
    <w:rsid w:val="00D93653"/>
    <w:rsid w:val="00D95C2B"/>
    <w:rsid w:val="00DA030A"/>
    <w:rsid w:val="00DB345C"/>
    <w:rsid w:val="00DB6B59"/>
    <w:rsid w:val="00DC0E1F"/>
    <w:rsid w:val="00DC7FB2"/>
    <w:rsid w:val="00DD4C20"/>
    <w:rsid w:val="00DE3F0E"/>
    <w:rsid w:val="00E00071"/>
    <w:rsid w:val="00E074AF"/>
    <w:rsid w:val="00E10DC5"/>
    <w:rsid w:val="00E2733F"/>
    <w:rsid w:val="00E407C4"/>
    <w:rsid w:val="00E4327E"/>
    <w:rsid w:val="00E45B97"/>
    <w:rsid w:val="00E61C16"/>
    <w:rsid w:val="00E648A5"/>
    <w:rsid w:val="00E66117"/>
    <w:rsid w:val="00E71F89"/>
    <w:rsid w:val="00E720BA"/>
    <w:rsid w:val="00E72E8D"/>
    <w:rsid w:val="00E74BC1"/>
    <w:rsid w:val="00E801FB"/>
    <w:rsid w:val="00E939D0"/>
    <w:rsid w:val="00EA1D7E"/>
    <w:rsid w:val="00EA5D69"/>
    <w:rsid w:val="00EB7B29"/>
    <w:rsid w:val="00ED106C"/>
    <w:rsid w:val="00ED1536"/>
    <w:rsid w:val="00ED4FF7"/>
    <w:rsid w:val="00EF08B6"/>
    <w:rsid w:val="00EF1191"/>
    <w:rsid w:val="00F05C30"/>
    <w:rsid w:val="00F0626B"/>
    <w:rsid w:val="00F0749B"/>
    <w:rsid w:val="00F11395"/>
    <w:rsid w:val="00F1217C"/>
    <w:rsid w:val="00F1238B"/>
    <w:rsid w:val="00F13F57"/>
    <w:rsid w:val="00F158EA"/>
    <w:rsid w:val="00F17A18"/>
    <w:rsid w:val="00F330D3"/>
    <w:rsid w:val="00F3408E"/>
    <w:rsid w:val="00F41123"/>
    <w:rsid w:val="00F42B93"/>
    <w:rsid w:val="00F61BDC"/>
    <w:rsid w:val="00F65567"/>
    <w:rsid w:val="00F6597B"/>
    <w:rsid w:val="00F65ACB"/>
    <w:rsid w:val="00F66361"/>
    <w:rsid w:val="00F75207"/>
    <w:rsid w:val="00FA01BF"/>
    <w:rsid w:val="00FA04C5"/>
    <w:rsid w:val="00FA1AAB"/>
    <w:rsid w:val="00FA73A2"/>
    <w:rsid w:val="00FA7C1D"/>
    <w:rsid w:val="00FB0623"/>
    <w:rsid w:val="00FB6658"/>
    <w:rsid w:val="00FC5508"/>
    <w:rsid w:val="00FE2554"/>
    <w:rsid w:val="00FF4E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08CB"/>
  <w15:chartTrackingRefBased/>
  <w15:docId w15:val="{069C45AC-FA4D-429F-8862-B5F5CEEE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59" w:defSemiHidden="0" w:defUnhideWhenUsed="0" w:defQFormat="0" w:count="376">
    <w:lsdException w:name="Normal" w:uiPriority="0" w:qFormat="1"/>
    <w:lsdException w:name="heading 1" w:uiPriority="12" w:qFormat="1"/>
    <w:lsdException w:name="heading 2" w:semiHidden="1" w:uiPriority="13" w:unhideWhenUsed="1" w:qFormat="1"/>
    <w:lsdException w:name="heading 3" w:semiHidden="1" w:uiPriority="14"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1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uiPriority="25"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qFormat/>
    <w:rsid w:val="00802144"/>
    <w:pPr>
      <w:spacing w:after="0" w:line="280" w:lineRule="atLeast"/>
    </w:pPr>
    <w:rPr>
      <w:rFonts w:ascii="Merriweather" w:hAnsi="Merriweather"/>
      <w:kern w:val="0"/>
      <w:sz w:val="17"/>
      <w:szCs w:val="20"/>
      <w:lang w:val="en-US"/>
      <w14:ligatures w14:val="none"/>
    </w:rPr>
  </w:style>
  <w:style w:type="paragraph" w:styleId="Kop1">
    <w:name w:val="heading 1"/>
    <w:aliases w:val="h1,Hoofdstukkop,1,Aktenaam,Ch,Chapter,Clause,E3D Heading 1,FIASTS,FIASTS ITN,H1,Header1,Heading 1 (NN),Heading 1 A,Hoofdstukk,Lev 1,Main Body Part No,No numbers,Numbered - 1,Outline1,Prophead 1,Prophead level 1,Section,Section Heading,h11,lev1"/>
    <w:basedOn w:val="Standaard"/>
    <w:next w:val="Standaard"/>
    <w:link w:val="Kop1Char"/>
    <w:uiPriority w:val="12"/>
    <w:unhideWhenUsed/>
    <w:qFormat/>
    <w:rsid w:val="00802144"/>
    <w:pPr>
      <w:keepNext/>
      <w:keepLines/>
      <w:numPr>
        <w:numId w:val="12"/>
      </w:numPr>
      <w:tabs>
        <w:tab w:val="clear" w:pos="1021"/>
        <w:tab w:val="num" w:pos="5416"/>
      </w:tabs>
      <w:spacing w:after="260"/>
      <w:ind w:left="5416"/>
      <w:outlineLvl w:val="0"/>
    </w:pPr>
    <w:rPr>
      <w:rFonts w:eastAsiaTheme="majorEastAsia" w:cstheme="majorBidi"/>
      <w:b/>
      <w:caps/>
      <w:szCs w:val="32"/>
      <w:lang w:val="nl-NL"/>
    </w:rPr>
  </w:style>
  <w:style w:type="paragraph" w:styleId="Kop2">
    <w:name w:val="heading 2"/>
    <w:aliases w:val="Paragraafkop,h2,Kop 2a,Heading 2 Char"/>
    <w:basedOn w:val="Standaard"/>
    <w:next w:val="Standaard"/>
    <w:link w:val="Kop2Char"/>
    <w:uiPriority w:val="13"/>
    <w:unhideWhenUsed/>
    <w:qFormat/>
    <w:rsid w:val="00802144"/>
    <w:pPr>
      <w:keepNext/>
      <w:keepLines/>
      <w:numPr>
        <w:ilvl w:val="1"/>
        <w:numId w:val="12"/>
      </w:numPr>
      <w:tabs>
        <w:tab w:val="clear" w:pos="1021"/>
      </w:tabs>
      <w:ind w:left="0" w:firstLine="0"/>
      <w:outlineLvl w:val="1"/>
    </w:pPr>
    <w:rPr>
      <w:rFonts w:eastAsiaTheme="majorEastAsia" w:cstheme="majorBidi"/>
      <w:b/>
      <w:szCs w:val="26"/>
      <w:lang w:val="nl-NL"/>
    </w:rPr>
  </w:style>
  <w:style w:type="paragraph" w:styleId="Kop3">
    <w:name w:val="heading 3"/>
    <w:aliases w:val="h3,Subparagraafkop"/>
    <w:basedOn w:val="Standaard"/>
    <w:next w:val="Standaard"/>
    <w:link w:val="Kop3Char"/>
    <w:uiPriority w:val="14"/>
    <w:unhideWhenUsed/>
    <w:qFormat/>
    <w:rsid w:val="00802144"/>
    <w:pPr>
      <w:keepNext/>
      <w:keepLines/>
      <w:numPr>
        <w:ilvl w:val="2"/>
        <w:numId w:val="12"/>
      </w:numPr>
      <w:tabs>
        <w:tab w:val="clear" w:pos="1021"/>
      </w:tabs>
      <w:spacing w:before="40"/>
      <w:ind w:left="0" w:firstLine="0"/>
      <w:outlineLvl w:val="2"/>
    </w:pPr>
    <w:rPr>
      <w:rFonts w:eastAsiaTheme="majorEastAsia" w:cstheme="majorBidi"/>
      <w:szCs w:val="24"/>
      <w:lang w:val="nl-NL"/>
    </w:rPr>
  </w:style>
  <w:style w:type="paragraph" w:styleId="Kop4">
    <w:name w:val="heading 4"/>
    <w:aliases w:val="h4"/>
    <w:basedOn w:val="Kop3"/>
    <w:next w:val="Standaard"/>
    <w:link w:val="Kop4Char"/>
    <w:uiPriority w:val="59"/>
    <w:unhideWhenUsed/>
    <w:qFormat/>
    <w:rsid w:val="00802144"/>
    <w:pPr>
      <w:outlineLvl w:val="3"/>
    </w:pPr>
  </w:style>
  <w:style w:type="paragraph" w:styleId="Kop5">
    <w:name w:val="heading 5"/>
    <w:aliases w:val="h5"/>
    <w:basedOn w:val="Standaard"/>
    <w:next w:val="Standaard"/>
    <w:link w:val="Kop5Char"/>
    <w:uiPriority w:val="59"/>
    <w:unhideWhenUsed/>
    <w:qFormat/>
    <w:rsid w:val="00802144"/>
    <w:pPr>
      <w:keepNext/>
      <w:keepLines/>
      <w:spacing w:before="280" w:after="280"/>
      <w:outlineLvl w:val="4"/>
    </w:pPr>
    <w:rPr>
      <w:rFonts w:eastAsiaTheme="majorEastAsia" w:cstheme="majorBidi"/>
      <w:b/>
      <w:color w:val="091B14" w:themeColor="accent1" w:themeShade="BF"/>
    </w:rPr>
  </w:style>
  <w:style w:type="paragraph" w:styleId="Kop6">
    <w:name w:val="heading 6"/>
    <w:basedOn w:val="Standaard"/>
    <w:next w:val="Standaard"/>
    <w:link w:val="Kop6Char"/>
    <w:uiPriority w:val="59"/>
    <w:unhideWhenUsed/>
    <w:qFormat/>
    <w:rsid w:val="00802144"/>
    <w:pPr>
      <w:keepNext/>
      <w:keepLines/>
      <w:spacing w:before="40"/>
      <w:outlineLvl w:val="5"/>
    </w:pPr>
    <w:rPr>
      <w:rFonts w:asciiTheme="majorHAnsi" w:eastAsiaTheme="majorEastAsia" w:hAnsiTheme="majorHAnsi" w:cstheme="majorBidi"/>
      <w:color w:val="06120D" w:themeColor="accent1" w:themeShade="7F"/>
    </w:rPr>
  </w:style>
  <w:style w:type="paragraph" w:styleId="Kop7">
    <w:name w:val="heading 7"/>
    <w:aliases w:val="(1),7,Appendix 2,Appendix Major,Contract 6th level,H7,Heading 7(unused),Heading 71,ITT t7,L2 PIP,L7,Legal Level 1.1.,Lev 7,PA Appendix Major,Simple Arabic Numbers,Simple arabic numbers,a2,h7"/>
    <w:basedOn w:val="Standaard"/>
    <w:next w:val="Standaard"/>
    <w:link w:val="Kop7Char"/>
    <w:uiPriority w:val="59"/>
    <w:unhideWhenUsed/>
    <w:qFormat/>
    <w:rsid w:val="00802144"/>
    <w:pPr>
      <w:keepNext/>
      <w:keepLines/>
      <w:spacing w:before="40"/>
      <w:outlineLvl w:val="6"/>
    </w:pPr>
    <w:rPr>
      <w:rFonts w:asciiTheme="majorHAnsi" w:eastAsiaTheme="majorEastAsia" w:hAnsiTheme="majorHAnsi" w:cstheme="majorBidi"/>
      <w:i/>
      <w:iCs/>
      <w:color w:val="06120D" w:themeColor="accent1" w:themeShade="7F"/>
    </w:rPr>
  </w:style>
  <w:style w:type="paragraph" w:styleId="Kop8">
    <w:name w:val="heading 8"/>
    <w:basedOn w:val="Standaard"/>
    <w:next w:val="Standaard"/>
    <w:link w:val="Kop8Char"/>
    <w:uiPriority w:val="59"/>
    <w:semiHidden/>
    <w:unhideWhenUsed/>
    <w:qFormat/>
    <w:rsid w:val="0080214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59"/>
    <w:semiHidden/>
    <w:unhideWhenUsed/>
    <w:qFormat/>
    <w:rsid w:val="0080214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neanummering2">
    <w:name w:val="Alineanummering 2"/>
    <w:basedOn w:val="Standaard"/>
    <w:link w:val="Alineanummering2Char"/>
    <w:uiPriority w:val="17"/>
    <w:unhideWhenUsed/>
    <w:qFormat/>
    <w:rsid w:val="00802144"/>
    <w:pPr>
      <w:numPr>
        <w:ilvl w:val="1"/>
        <w:numId w:val="15"/>
      </w:numPr>
      <w:spacing w:after="260"/>
    </w:pPr>
  </w:style>
  <w:style w:type="character" w:customStyle="1" w:styleId="Alineanummering2Char">
    <w:name w:val="Alineanummering 2 Char"/>
    <w:link w:val="Alineanummering2"/>
    <w:uiPriority w:val="17"/>
    <w:rsid w:val="00BE7F43"/>
    <w:rPr>
      <w:rFonts w:ascii="Merriweather" w:hAnsi="Merriweather"/>
      <w:kern w:val="0"/>
      <w:sz w:val="17"/>
      <w:szCs w:val="20"/>
      <w:lang w:val="en-US"/>
      <w14:ligatures w14:val="none"/>
    </w:rPr>
  </w:style>
  <w:style w:type="paragraph" w:customStyle="1" w:styleId="Alineanummering3">
    <w:name w:val="Alineanummering 3"/>
    <w:basedOn w:val="Standaard"/>
    <w:link w:val="Alineanummering3Char"/>
    <w:uiPriority w:val="18"/>
    <w:unhideWhenUsed/>
    <w:qFormat/>
    <w:rsid w:val="00802144"/>
    <w:pPr>
      <w:numPr>
        <w:ilvl w:val="2"/>
        <w:numId w:val="15"/>
      </w:numPr>
      <w:spacing w:after="260"/>
    </w:pPr>
  </w:style>
  <w:style w:type="character" w:customStyle="1" w:styleId="Alineanummering3Char">
    <w:name w:val="Alineanummering 3 Char"/>
    <w:link w:val="Alineanummering3"/>
    <w:uiPriority w:val="18"/>
    <w:rsid w:val="00BE7F43"/>
    <w:rPr>
      <w:rFonts w:ascii="Merriweather" w:hAnsi="Merriweather"/>
      <w:kern w:val="0"/>
      <w:sz w:val="17"/>
      <w:szCs w:val="20"/>
      <w:lang w:val="en-US"/>
      <w14:ligatures w14:val="none"/>
    </w:rPr>
  </w:style>
  <w:style w:type="paragraph" w:customStyle="1" w:styleId="Alineanummering4">
    <w:name w:val="Alineanummering 4"/>
    <w:basedOn w:val="Standaard"/>
    <w:uiPriority w:val="19"/>
    <w:unhideWhenUsed/>
    <w:qFormat/>
    <w:rsid w:val="00802144"/>
    <w:pPr>
      <w:numPr>
        <w:ilvl w:val="3"/>
        <w:numId w:val="15"/>
      </w:numPr>
      <w:spacing w:after="260"/>
    </w:pPr>
  </w:style>
  <w:style w:type="paragraph" w:customStyle="1" w:styleId="Alineanummering1">
    <w:name w:val="Alineanummering 1"/>
    <w:basedOn w:val="Standaard"/>
    <w:uiPriority w:val="16"/>
    <w:unhideWhenUsed/>
    <w:qFormat/>
    <w:rsid w:val="00802144"/>
    <w:pPr>
      <w:numPr>
        <w:numId w:val="15"/>
      </w:numPr>
      <w:tabs>
        <w:tab w:val="clear" w:pos="1021"/>
      </w:tabs>
      <w:spacing w:after="260"/>
      <w:ind w:left="0" w:firstLine="0"/>
    </w:pPr>
    <w:rPr>
      <w:b/>
    </w:rPr>
  </w:style>
  <w:style w:type="character" w:customStyle="1" w:styleId="Kop1Char">
    <w:name w:val="Kop 1 Char"/>
    <w:aliases w:val="h1 Char,Hoofdstukkop Char,1 Char,Aktenaam Char,Ch Char,Chapter Char,Clause Char,E3D Heading 1 Char,FIASTS Char,FIASTS ITN Char,H1 Char,Header1 Char,Heading 1 (NN) Char,Heading 1 A Char,Hoofdstukk Char,Lev 1 Char,Main Body Part No Char"/>
    <w:basedOn w:val="Standaardalinea-lettertype"/>
    <w:link w:val="Kop1"/>
    <w:uiPriority w:val="12"/>
    <w:rsid w:val="00802144"/>
    <w:rPr>
      <w:rFonts w:ascii="Merriweather" w:eastAsiaTheme="majorEastAsia" w:hAnsi="Merriweather" w:cstheme="majorBidi"/>
      <w:b/>
      <w:caps/>
      <w:kern w:val="0"/>
      <w:sz w:val="17"/>
      <w:szCs w:val="32"/>
      <w14:ligatures w14:val="none"/>
    </w:rPr>
  </w:style>
  <w:style w:type="character" w:customStyle="1" w:styleId="Kop2Char">
    <w:name w:val="Kop 2 Char"/>
    <w:aliases w:val="Paragraafkop Char,h2 Char,Kop 2a Char,Heading 2 Char Char"/>
    <w:basedOn w:val="Standaardalinea-lettertype"/>
    <w:link w:val="Kop2"/>
    <w:uiPriority w:val="13"/>
    <w:rsid w:val="00802144"/>
    <w:rPr>
      <w:rFonts w:ascii="Merriweather" w:eastAsiaTheme="majorEastAsia" w:hAnsi="Merriweather" w:cstheme="majorBidi"/>
      <w:b/>
      <w:kern w:val="0"/>
      <w:sz w:val="17"/>
      <w:szCs w:val="26"/>
      <w14:ligatures w14:val="none"/>
    </w:rPr>
  </w:style>
  <w:style w:type="character" w:customStyle="1" w:styleId="Kop3Char">
    <w:name w:val="Kop 3 Char"/>
    <w:aliases w:val="h3 Char,Subparagraafkop Char"/>
    <w:basedOn w:val="Standaardalinea-lettertype"/>
    <w:link w:val="Kop3"/>
    <w:uiPriority w:val="14"/>
    <w:rsid w:val="00802144"/>
    <w:rPr>
      <w:rFonts w:ascii="Merriweather" w:eastAsiaTheme="majorEastAsia" w:hAnsi="Merriweather" w:cstheme="majorBidi"/>
      <w:kern w:val="0"/>
      <w:sz w:val="17"/>
      <w:szCs w:val="24"/>
      <w14:ligatures w14:val="none"/>
    </w:rPr>
  </w:style>
  <w:style w:type="character" w:customStyle="1" w:styleId="Kop4Char">
    <w:name w:val="Kop 4 Char"/>
    <w:aliases w:val="h4 Char"/>
    <w:basedOn w:val="Standaardalinea-lettertype"/>
    <w:link w:val="Kop4"/>
    <w:uiPriority w:val="59"/>
    <w:rsid w:val="00802144"/>
    <w:rPr>
      <w:rFonts w:ascii="Merriweather" w:eastAsiaTheme="majorEastAsia" w:hAnsi="Merriweather" w:cstheme="majorBidi"/>
      <w:kern w:val="0"/>
      <w:sz w:val="17"/>
      <w:szCs w:val="24"/>
      <w14:ligatures w14:val="none"/>
    </w:rPr>
  </w:style>
  <w:style w:type="character" w:customStyle="1" w:styleId="Kop5Char">
    <w:name w:val="Kop 5 Char"/>
    <w:aliases w:val="h5 Char"/>
    <w:basedOn w:val="Standaardalinea-lettertype"/>
    <w:link w:val="Kop5"/>
    <w:uiPriority w:val="59"/>
    <w:rsid w:val="00802144"/>
    <w:rPr>
      <w:rFonts w:ascii="Merriweather" w:eastAsiaTheme="majorEastAsia" w:hAnsi="Merriweather" w:cstheme="majorBidi"/>
      <w:b/>
      <w:color w:val="091B14" w:themeColor="accent1" w:themeShade="BF"/>
      <w:kern w:val="0"/>
      <w:sz w:val="17"/>
      <w:szCs w:val="20"/>
      <w:lang w:val="en-US"/>
      <w14:ligatures w14:val="none"/>
    </w:rPr>
  </w:style>
  <w:style w:type="character" w:customStyle="1" w:styleId="Kop6Char">
    <w:name w:val="Kop 6 Char"/>
    <w:basedOn w:val="Standaardalinea-lettertype"/>
    <w:link w:val="Kop6"/>
    <w:uiPriority w:val="59"/>
    <w:rsid w:val="00802144"/>
    <w:rPr>
      <w:rFonts w:asciiTheme="majorHAnsi" w:eastAsiaTheme="majorEastAsia" w:hAnsiTheme="majorHAnsi" w:cstheme="majorBidi"/>
      <w:color w:val="06120D" w:themeColor="accent1" w:themeShade="7F"/>
      <w:kern w:val="0"/>
      <w:sz w:val="17"/>
      <w:szCs w:val="20"/>
      <w:lang w:val="en-US"/>
      <w14:ligatures w14:val="none"/>
    </w:rPr>
  </w:style>
  <w:style w:type="character" w:customStyle="1" w:styleId="Kop7Char">
    <w:name w:val="Kop 7 Char"/>
    <w:aliases w:val="(1) Char,7 Char,Appendix 2 Char,Appendix Major Char,Contract 6th level Char,H7 Char,Heading 7(unused) Char,Heading 71 Char,ITT t7 Char,L2 PIP Char,L7 Char,Legal Level 1.1. Char,Lev 7 Char,PA Appendix Major Char,Simple Arabic Numbers Char"/>
    <w:basedOn w:val="Standaardalinea-lettertype"/>
    <w:link w:val="Kop7"/>
    <w:uiPriority w:val="59"/>
    <w:rsid w:val="00802144"/>
    <w:rPr>
      <w:rFonts w:asciiTheme="majorHAnsi" w:eastAsiaTheme="majorEastAsia" w:hAnsiTheme="majorHAnsi" w:cstheme="majorBidi"/>
      <w:i/>
      <w:iCs/>
      <w:color w:val="06120D" w:themeColor="accent1" w:themeShade="7F"/>
      <w:kern w:val="0"/>
      <w:sz w:val="17"/>
      <w:szCs w:val="20"/>
      <w:lang w:val="en-US"/>
      <w14:ligatures w14:val="none"/>
    </w:rPr>
  </w:style>
  <w:style w:type="paragraph" w:styleId="Geenafstand">
    <w:name w:val="No Spacing"/>
    <w:uiPriority w:val="59"/>
    <w:qFormat/>
    <w:rsid w:val="00802144"/>
    <w:pPr>
      <w:spacing w:after="0" w:line="240" w:lineRule="auto"/>
    </w:pPr>
    <w:rPr>
      <w:kern w:val="0"/>
      <w:sz w:val="20"/>
      <w:szCs w:val="20"/>
      <w:lang w:val="en-US"/>
      <w14:ligatures w14:val="none"/>
    </w:rPr>
  </w:style>
  <w:style w:type="paragraph" w:styleId="Lijstalinea">
    <w:name w:val="List Paragraph"/>
    <w:basedOn w:val="Standaard"/>
    <w:uiPriority w:val="59"/>
    <w:qFormat/>
    <w:rsid w:val="00802144"/>
    <w:pPr>
      <w:ind w:left="720"/>
      <w:contextualSpacing/>
    </w:pPr>
  </w:style>
  <w:style w:type="paragraph" w:styleId="Kopvaninhoudsopgave">
    <w:name w:val="TOC Heading"/>
    <w:basedOn w:val="Kop1"/>
    <w:next w:val="Standaard"/>
    <w:uiPriority w:val="59"/>
    <w:semiHidden/>
    <w:unhideWhenUsed/>
    <w:qFormat/>
    <w:rsid w:val="00802144"/>
    <w:pPr>
      <w:numPr>
        <w:numId w:val="0"/>
      </w:numPr>
      <w:spacing w:before="240" w:after="0"/>
      <w:outlineLvl w:val="9"/>
    </w:pPr>
    <w:rPr>
      <w:b w:val="0"/>
      <w:caps w:val="0"/>
      <w:color w:val="091B14" w:themeColor="accent1" w:themeShade="BF"/>
      <w:sz w:val="32"/>
      <w:lang w:val="en-US"/>
    </w:rPr>
  </w:style>
  <w:style w:type="character" w:customStyle="1" w:styleId="Kop8Char">
    <w:name w:val="Kop 8 Char"/>
    <w:basedOn w:val="Standaardalinea-lettertype"/>
    <w:link w:val="Kop8"/>
    <w:uiPriority w:val="59"/>
    <w:semiHidden/>
    <w:rsid w:val="00802144"/>
    <w:rPr>
      <w:rFonts w:asciiTheme="majorHAnsi" w:eastAsiaTheme="majorEastAsia" w:hAnsiTheme="majorHAnsi" w:cstheme="majorBidi"/>
      <w:color w:val="272727" w:themeColor="text1" w:themeTint="D8"/>
      <w:kern w:val="0"/>
      <w:sz w:val="21"/>
      <w:szCs w:val="21"/>
      <w:lang w:val="en-US"/>
      <w14:ligatures w14:val="none"/>
    </w:rPr>
  </w:style>
  <w:style w:type="character" w:customStyle="1" w:styleId="Kop9Char">
    <w:name w:val="Kop 9 Char"/>
    <w:basedOn w:val="Standaardalinea-lettertype"/>
    <w:link w:val="Kop9"/>
    <w:uiPriority w:val="59"/>
    <w:semiHidden/>
    <w:rsid w:val="00802144"/>
    <w:rPr>
      <w:rFonts w:asciiTheme="majorHAnsi" w:eastAsiaTheme="majorEastAsia" w:hAnsiTheme="majorHAnsi" w:cstheme="majorBidi"/>
      <w:i/>
      <w:iCs/>
      <w:color w:val="272727" w:themeColor="text1" w:themeTint="D8"/>
      <w:kern w:val="0"/>
      <w:sz w:val="21"/>
      <w:szCs w:val="21"/>
      <w:lang w:val="en-US"/>
      <w14:ligatures w14:val="none"/>
    </w:rPr>
  </w:style>
  <w:style w:type="paragraph" w:styleId="Titel">
    <w:name w:val="Title"/>
    <w:basedOn w:val="Standaard"/>
    <w:next w:val="Standaard"/>
    <w:link w:val="TitelChar"/>
    <w:uiPriority w:val="59"/>
    <w:qFormat/>
    <w:rsid w:val="0080214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59"/>
    <w:rsid w:val="00802144"/>
    <w:rPr>
      <w:rFonts w:asciiTheme="majorHAnsi" w:eastAsiaTheme="majorEastAsia" w:hAnsiTheme="majorHAnsi" w:cstheme="majorBidi"/>
      <w:spacing w:val="-10"/>
      <w:kern w:val="28"/>
      <w:sz w:val="56"/>
      <w:szCs w:val="56"/>
      <w:lang w:val="en-US"/>
      <w14:ligatures w14:val="none"/>
    </w:rPr>
  </w:style>
  <w:style w:type="paragraph" w:styleId="Ondertitel">
    <w:name w:val="Subtitle"/>
    <w:basedOn w:val="Standaard"/>
    <w:next w:val="Standaard"/>
    <w:link w:val="OndertitelChar"/>
    <w:uiPriority w:val="59"/>
    <w:qFormat/>
    <w:rsid w:val="00802144"/>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59"/>
    <w:rsid w:val="00802144"/>
    <w:rPr>
      <w:rFonts w:ascii="Merriweather" w:eastAsiaTheme="minorEastAsia" w:hAnsi="Merriweather"/>
      <w:color w:val="5A5A5A" w:themeColor="text1" w:themeTint="A5"/>
      <w:spacing w:val="15"/>
      <w:kern w:val="0"/>
      <w:lang w:val="en-US"/>
      <w14:ligatures w14:val="none"/>
    </w:rPr>
  </w:style>
  <w:style w:type="paragraph" w:styleId="Citaat">
    <w:name w:val="Quote"/>
    <w:basedOn w:val="Standaard"/>
    <w:next w:val="Standaard"/>
    <w:link w:val="CitaatChar"/>
    <w:uiPriority w:val="25"/>
    <w:unhideWhenUsed/>
    <w:qFormat/>
    <w:rsid w:val="00802144"/>
    <w:pPr>
      <w:spacing w:after="260"/>
      <w:ind w:left="1418" w:right="1418"/>
    </w:pPr>
    <w:rPr>
      <w:i/>
      <w:iCs/>
    </w:rPr>
  </w:style>
  <w:style w:type="character" w:customStyle="1" w:styleId="CitaatChar">
    <w:name w:val="Citaat Char"/>
    <w:basedOn w:val="Standaardalinea-lettertype"/>
    <w:link w:val="Citaat"/>
    <w:uiPriority w:val="25"/>
    <w:rsid w:val="00802144"/>
    <w:rPr>
      <w:rFonts w:ascii="Merriweather" w:hAnsi="Merriweather"/>
      <w:i/>
      <w:iCs/>
      <w:kern w:val="0"/>
      <w:sz w:val="17"/>
      <w:szCs w:val="20"/>
      <w:lang w:val="en-US"/>
      <w14:ligatures w14:val="none"/>
    </w:rPr>
  </w:style>
  <w:style w:type="character" w:styleId="Intensievebenadrukking">
    <w:name w:val="Intense Emphasis"/>
    <w:basedOn w:val="Standaardalinea-lettertype"/>
    <w:uiPriority w:val="59"/>
    <w:qFormat/>
    <w:rsid w:val="00802144"/>
    <w:rPr>
      <w:i/>
      <w:iCs/>
      <w:color w:val="0C251B" w:themeColor="accent1"/>
    </w:rPr>
  </w:style>
  <w:style w:type="paragraph" w:styleId="Duidelijkcitaat">
    <w:name w:val="Intense Quote"/>
    <w:basedOn w:val="Standaard"/>
    <w:next w:val="Standaard"/>
    <w:link w:val="DuidelijkcitaatChar"/>
    <w:uiPriority w:val="59"/>
    <w:qFormat/>
    <w:rsid w:val="00802144"/>
    <w:pPr>
      <w:pBdr>
        <w:top w:val="single" w:sz="4" w:space="10" w:color="0C251B" w:themeColor="accent1"/>
        <w:bottom w:val="single" w:sz="4" w:space="10" w:color="0C251B" w:themeColor="accent1"/>
      </w:pBdr>
      <w:spacing w:before="360" w:after="360"/>
      <w:ind w:left="864" w:right="864"/>
      <w:jc w:val="center"/>
    </w:pPr>
    <w:rPr>
      <w:i/>
      <w:iCs/>
      <w:color w:val="0C251B" w:themeColor="accent1"/>
    </w:rPr>
  </w:style>
  <w:style w:type="character" w:customStyle="1" w:styleId="DuidelijkcitaatChar">
    <w:name w:val="Duidelijk citaat Char"/>
    <w:basedOn w:val="Standaardalinea-lettertype"/>
    <w:link w:val="Duidelijkcitaat"/>
    <w:uiPriority w:val="59"/>
    <w:rsid w:val="00802144"/>
    <w:rPr>
      <w:rFonts w:ascii="Merriweather" w:hAnsi="Merriweather"/>
      <w:i/>
      <w:iCs/>
      <w:color w:val="0C251B" w:themeColor="accent1"/>
      <w:kern w:val="0"/>
      <w:sz w:val="17"/>
      <w:szCs w:val="20"/>
      <w:lang w:val="en-US"/>
      <w14:ligatures w14:val="none"/>
    </w:rPr>
  </w:style>
  <w:style w:type="character" w:styleId="Intensieveverwijzing">
    <w:name w:val="Intense Reference"/>
    <w:basedOn w:val="Standaardalinea-lettertype"/>
    <w:uiPriority w:val="59"/>
    <w:qFormat/>
    <w:rsid w:val="00802144"/>
    <w:rPr>
      <w:b/>
      <w:bCs/>
      <w:smallCaps/>
      <w:color w:val="0C251B" w:themeColor="accent1"/>
      <w:spacing w:val="5"/>
    </w:rPr>
  </w:style>
  <w:style w:type="paragraph" w:styleId="Macrotekst">
    <w:name w:val="macro"/>
    <w:link w:val="MacrotekstChar"/>
    <w:uiPriority w:val="59"/>
    <w:semiHidden/>
    <w:rsid w:val="00802144"/>
    <w:pPr>
      <w:tabs>
        <w:tab w:val="left" w:pos="480"/>
        <w:tab w:val="left" w:pos="960"/>
        <w:tab w:val="left" w:pos="1440"/>
        <w:tab w:val="left" w:pos="1920"/>
        <w:tab w:val="left" w:pos="2400"/>
        <w:tab w:val="left" w:pos="2880"/>
        <w:tab w:val="left" w:pos="3360"/>
        <w:tab w:val="left" w:pos="3840"/>
        <w:tab w:val="left" w:pos="4320"/>
      </w:tabs>
      <w:spacing w:after="0" w:line="284" w:lineRule="atLeast"/>
    </w:pPr>
    <w:rPr>
      <w:rFonts w:ascii="Consolas" w:eastAsia="Times New Roman" w:hAnsi="Consolas" w:cs="Times New Roman"/>
      <w:kern w:val="0"/>
      <w:sz w:val="20"/>
      <w:szCs w:val="20"/>
      <w:lang w:eastAsia="nl-NL"/>
      <w14:ligatures w14:val="none"/>
    </w:rPr>
  </w:style>
  <w:style w:type="character" w:customStyle="1" w:styleId="MacrotekstChar">
    <w:name w:val="Macrotekst Char"/>
    <w:basedOn w:val="Standaardalinea-lettertype"/>
    <w:link w:val="Macrotekst"/>
    <w:uiPriority w:val="59"/>
    <w:semiHidden/>
    <w:rsid w:val="00802144"/>
    <w:rPr>
      <w:rFonts w:ascii="Consolas" w:eastAsia="Times New Roman" w:hAnsi="Consolas" w:cs="Times New Roman"/>
      <w:kern w:val="0"/>
      <w:sz w:val="20"/>
      <w:szCs w:val="20"/>
      <w:lang w:eastAsia="nl-NL"/>
      <w14:ligatures w14:val="none"/>
    </w:rPr>
  </w:style>
  <w:style w:type="paragraph" w:customStyle="1" w:styleId="doColofon">
    <w:name w:val="doColofon"/>
    <w:basedOn w:val="Standaard"/>
    <w:uiPriority w:val="59"/>
    <w:semiHidden/>
    <w:qFormat/>
    <w:rsid w:val="00802144"/>
    <w:pPr>
      <w:jc w:val="right"/>
    </w:pPr>
    <w:rPr>
      <w:color w:val="4D4D4D"/>
      <w:spacing w:val="6"/>
    </w:rPr>
  </w:style>
  <w:style w:type="table" w:styleId="Tabelraster">
    <w:name w:val="Table Grid"/>
    <w:basedOn w:val="Standaardtabel"/>
    <w:uiPriority w:val="59"/>
    <w:rsid w:val="00802144"/>
    <w:pPr>
      <w:spacing w:after="0" w:line="240"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oTable">
    <w:name w:val="doTable"/>
    <w:basedOn w:val="Standaardtabel"/>
    <w:uiPriority w:val="59"/>
    <w:rsid w:val="00802144"/>
    <w:pPr>
      <w:spacing w:after="0" w:line="252" w:lineRule="auto"/>
    </w:pPr>
    <w:rPr>
      <w:rFonts w:ascii="Merriweather" w:hAnsi="Merriweather"/>
      <w:kern w:val="0"/>
      <w:sz w:val="17"/>
      <w:szCs w:val="20"/>
      <w:lang w:val="en-US"/>
      <w14:ligatures w14:val="none"/>
    </w:rPr>
    <w:tblPr>
      <w:tblCellMar>
        <w:left w:w="0" w:type="dxa"/>
        <w:right w:w="0" w:type="dxa"/>
      </w:tblCellMar>
    </w:tblPr>
  </w:style>
  <w:style w:type="paragraph" w:customStyle="1" w:styleId="doVerzendoptie">
    <w:name w:val="doVerzendoptie"/>
    <w:basedOn w:val="Standaard"/>
    <w:next w:val="Standaard"/>
    <w:uiPriority w:val="59"/>
    <w:semiHidden/>
    <w:qFormat/>
    <w:rsid w:val="00802144"/>
    <w:pPr>
      <w:spacing w:after="260"/>
    </w:pPr>
    <w:rPr>
      <w:b/>
      <w:caps/>
    </w:rPr>
  </w:style>
  <w:style w:type="paragraph" w:styleId="Koptekst">
    <w:name w:val="header"/>
    <w:basedOn w:val="Standaard"/>
    <w:link w:val="KoptekstChar"/>
    <w:uiPriority w:val="59"/>
    <w:unhideWhenUsed/>
    <w:rsid w:val="00802144"/>
    <w:pPr>
      <w:tabs>
        <w:tab w:val="center" w:pos="4680"/>
        <w:tab w:val="right" w:pos="9360"/>
      </w:tabs>
      <w:spacing w:line="240" w:lineRule="auto"/>
    </w:pPr>
    <w:rPr>
      <w:sz w:val="16"/>
    </w:rPr>
  </w:style>
  <w:style w:type="character" w:customStyle="1" w:styleId="KoptekstChar">
    <w:name w:val="Koptekst Char"/>
    <w:basedOn w:val="Standaardalinea-lettertype"/>
    <w:link w:val="Koptekst"/>
    <w:uiPriority w:val="59"/>
    <w:rsid w:val="00802144"/>
    <w:rPr>
      <w:rFonts w:ascii="Merriweather" w:hAnsi="Merriweather"/>
      <w:kern w:val="0"/>
      <w:sz w:val="16"/>
      <w:szCs w:val="20"/>
      <w:lang w:val="en-US"/>
      <w14:ligatures w14:val="none"/>
    </w:rPr>
  </w:style>
  <w:style w:type="paragraph" w:styleId="Voettekst">
    <w:name w:val="footer"/>
    <w:basedOn w:val="Standaard"/>
    <w:link w:val="VoettekstChar"/>
    <w:uiPriority w:val="99"/>
    <w:unhideWhenUsed/>
    <w:rsid w:val="00802144"/>
    <w:pPr>
      <w:tabs>
        <w:tab w:val="center" w:pos="4680"/>
        <w:tab w:val="right" w:pos="9360"/>
      </w:tabs>
      <w:spacing w:line="240" w:lineRule="auto"/>
    </w:pPr>
    <w:rPr>
      <w:sz w:val="11"/>
    </w:rPr>
  </w:style>
  <w:style w:type="character" w:customStyle="1" w:styleId="VoettekstChar">
    <w:name w:val="Voettekst Char"/>
    <w:basedOn w:val="Standaardalinea-lettertype"/>
    <w:link w:val="Voettekst"/>
    <w:uiPriority w:val="99"/>
    <w:rsid w:val="00802144"/>
    <w:rPr>
      <w:rFonts w:ascii="Merriweather" w:hAnsi="Merriweather"/>
      <w:kern w:val="0"/>
      <w:sz w:val="11"/>
      <w:szCs w:val="20"/>
      <w:lang w:val="en-US"/>
      <w14:ligatures w14:val="none"/>
    </w:rPr>
  </w:style>
  <w:style w:type="paragraph" w:customStyle="1" w:styleId="doFooter">
    <w:name w:val="doFooter"/>
    <w:basedOn w:val="Standaard"/>
    <w:uiPriority w:val="59"/>
    <w:semiHidden/>
    <w:qFormat/>
    <w:rsid w:val="00802144"/>
    <w:pPr>
      <w:spacing w:line="240" w:lineRule="auto"/>
      <w:jc w:val="both"/>
    </w:pPr>
    <w:rPr>
      <w:spacing w:val="6"/>
      <w:sz w:val="14"/>
    </w:rPr>
  </w:style>
  <w:style w:type="paragraph" w:customStyle="1" w:styleId="NB">
    <w:name w:val="NB"/>
    <w:basedOn w:val="Standaard"/>
    <w:next w:val="Standaard"/>
    <w:uiPriority w:val="27"/>
    <w:unhideWhenUsed/>
    <w:qFormat/>
    <w:rsid w:val="00802144"/>
    <w:pPr>
      <w:spacing w:after="260"/>
      <w:ind w:left="709" w:hanging="709"/>
    </w:pPr>
  </w:style>
  <w:style w:type="paragraph" w:styleId="Standaardinspringing">
    <w:name w:val="Normal Indent"/>
    <w:basedOn w:val="Standaard"/>
    <w:uiPriority w:val="11"/>
    <w:unhideWhenUsed/>
    <w:rsid w:val="00802144"/>
    <w:pPr>
      <w:spacing w:after="260"/>
      <w:ind w:left="1021"/>
    </w:pPr>
  </w:style>
  <w:style w:type="paragraph" w:customStyle="1" w:styleId="Nummering">
    <w:name w:val="Nummering"/>
    <w:basedOn w:val="Standaard"/>
    <w:uiPriority w:val="21"/>
    <w:unhideWhenUsed/>
    <w:rsid w:val="00802144"/>
    <w:pPr>
      <w:numPr>
        <w:numId w:val="17"/>
      </w:numPr>
      <w:tabs>
        <w:tab w:val="clear" w:pos="425"/>
      </w:tabs>
      <w:ind w:left="0" w:firstLine="0"/>
    </w:pPr>
    <w:rPr>
      <w:rFonts w:eastAsia="Times New Roman" w:cs="Times New Roman"/>
      <w:lang w:val="nl-NL" w:eastAsia="nl-NL"/>
    </w:rPr>
  </w:style>
  <w:style w:type="paragraph" w:customStyle="1" w:styleId="Nummering2">
    <w:name w:val="Nummering2"/>
    <w:basedOn w:val="Standaard"/>
    <w:uiPriority w:val="22"/>
    <w:unhideWhenUsed/>
    <w:rsid w:val="00802144"/>
    <w:pPr>
      <w:numPr>
        <w:numId w:val="18"/>
      </w:numPr>
      <w:tabs>
        <w:tab w:val="clear" w:pos="425"/>
      </w:tabs>
      <w:ind w:left="0" w:firstLine="0"/>
    </w:pPr>
    <w:rPr>
      <w:rFonts w:eastAsia="Times New Roman" w:cs="Times New Roman"/>
      <w:lang w:val="nl-NL" w:eastAsia="nl-NL"/>
    </w:rPr>
  </w:style>
  <w:style w:type="paragraph" w:customStyle="1" w:styleId="Opsommingsteken">
    <w:name w:val="Opsommingsteken"/>
    <w:basedOn w:val="Standaard"/>
    <w:uiPriority w:val="23"/>
    <w:unhideWhenUsed/>
    <w:rsid w:val="00802144"/>
    <w:pPr>
      <w:numPr>
        <w:numId w:val="19"/>
      </w:numPr>
      <w:tabs>
        <w:tab w:val="clear" w:pos="425"/>
      </w:tabs>
      <w:ind w:left="0" w:firstLine="0"/>
    </w:pPr>
    <w:rPr>
      <w:rFonts w:eastAsia="Times New Roman" w:cs="Times New Roman"/>
      <w:lang w:val="nl-NL" w:eastAsia="nl-NL"/>
    </w:rPr>
  </w:style>
  <w:style w:type="paragraph" w:customStyle="1" w:styleId="Opsommingsteken2">
    <w:name w:val="Opsommingsteken2"/>
    <w:basedOn w:val="Standaard"/>
    <w:uiPriority w:val="24"/>
    <w:unhideWhenUsed/>
    <w:rsid w:val="00802144"/>
    <w:pPr>
      <w:numPr>
        <w:numId w:val="35"/>
      </w:numPr>
      <w:tabs>
        <w:tab w:val="clear" w:pos="425"/>
      </w:tabs>
    </w:pPr>
    <w:rPr>
      <w:rFonts w:eastAsia="Times New Roman" w:cs="Times New Roman"/>
      <w:lang w:val="nl-NL" w:eastAsia="nl-NL"/>
    </w:rPr>
  </w:style>
  <w:style w:type="character" w:styleId="Paginanummer">
    <w:name w:val="page number"/>
    <w:basedOn w:val="Standaardalinea-lettertype"/>
    <w:uiPriority w:val="59"/>
    <w:semiHidden/>
    <w:unhideWhenUsed/>
    <w:rsid w:val="00802144"/>
    <w:rPr>
      <w:sz w:val="16"/>
    </w:rPr>
  </w:style>
  <w:style w:type="numbering" w:styleId="111111">
    <w:name w:val="Outline List 2"/>
    <w:basedOn w:val="Geenlijst"/>
    <w:uiPriority w:val="59"/>
    <w:semiHidden/>
    <w:unhideWhenUsed/>
    <w:rsid w:val="00802144"/>
    <w:pPr>
      <w:numPr>
        <w:numId w:val="22"/>
      </w:numPr>
    </w:pPr>
  </w:style>
  <w:style w:type="numbering" w:styleId="1ai">
    <w:name w:val="Outline List 1"/>
    <w:basedOn w:val="Geenlijst"/>
    <w:uiPriority w:val="59"/>
    <w:semiHidden/>
    <w:unhideWhenUsed/>
    <w:rsid w:val="00802144"/>
    <w:pPr>
      <w:numPr>
        <w:numId w:val="23"/>
      </w:numPr>
    </w:pPr>
  </w:style>
  <w:style w:type="table" w:styleId="3D-effectenvoortabel1">
    <w:name w:val="Table 3D effects 1"/>
    <w:basedOn w:val="Standaardtabel"/>
    <w:uiPriority w:val="59"/>
    <w:semiHidden/>
    <w:unhideWhenUsed/>
    <w:rsid w:val="00802144"/>
    <w:pPr>
      <w:spacing w:after="0" w:line="252" w:lineRule="auto"/>
    </w:pPr>
    <w:rPr>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59"/>
    <w:semiHidden/>
    <w:unhideWhenUsed/>
    <w:rsid w:val="00802144"/>
    <w:pPr>
      <w:spacing w:after="0" w:line="252" w:lineRule="auto"/>
    </w:pPr>
    <w:rPr>
      <w:kern w:val="0"/>
      <w:sz w:val="20"/>
      <w:szCs w:val="20"/>
      <w:lang w:val="en-US"/>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59"/>
    <w:semiHidden/>
    <w:unhideWhenUsed/>
    <w:rsid w:val="00802144"/>
    <w:pPr>
      <w:spacing w:after="0" w:line="252" w:lineRule="auto"/>
    </w:pPr>
    <w:rPr>
      <w:kern w:val="0"/>
      <w:sz w:val="20"/>
      <w:szCs w:val="20"/>
      <w:lang w:val="en-US"/>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59"/>
    <w:semiHidden/>
    <w:unhideWhenUsed/>
    <w:rsid w:val="00802144"/>
  </w:style>
  <w:style w:type="character" w:customStyle="1" w:styleId="AanhefChar">
    <w:name w:val="Aanhef Char"/>
    <w:basedOn w:val="Standaardalinea-lettertype"/>
    <w:link w:val="Aanhef"/>
    <w:uiPriority w:val="59"/>
    <w:semiHidden/>
    <w:rsid w:val="00802144"/>
    <w:rPr>
      <w:rFonts w:ascii="Merriweather" w:hAnsi="Merriweather"/>
      <w:kern w:val="0"/>
      <w:sz w:val="17"/>
      <w:szCs w:val="20"/>
      <w:lang w:val="en-US"/>
      <w14:ligatures w14:val="none"/>
    </w:rPr>
  </w:style>
  <w:style w:type="paragraph" w:styleId="Adresenvelop">
    <w:name w:val="envelope address"/>
    <w:basedOn w:val="Standaard"/>
    <w:uiPriority w:val="59"/>
    <w:semiHidden/>
    <w:unhideWhenUsed/>
    <w:rsid w:val="0080214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59"/>
    <w:semiHidden/>
    <w:unhideWhenUsed/>
    <w:rsid w:val="00802144"/>
    <w:pPr>
      <w:spacing w:line="240" w:lineRule="auto"/>
      <w:ind w:left="4252"/>
    </w:pPr>
  </w:style>
  <w:style w:type="character" w:customStyle="1" w:styleId="AfsluitingChar">
    <w:name w:val="Afsluiting Char"/>
    <w:basedOn w:val="Standaardalinea-lettertype"/>
    <w:link w:val="Afsluiting"/>
    <w:uiPriority w:val="59"/>
    <w:semiHidden/>
    <w:rsid w:val="00802144"/>
    <w:rPr>
      <w:rFonts w:ascii="Merriweather" w:hAnsi="Merriweather"/>
      <w:kern w:val="0"/>
      <w:sz w:val="17"/>
      <w:szCs w:val="20"/>
      <w:lang w:val="en-US"/>
      <w14:ligatures w14:val="none"/>
    </w:rPr>
  </w:style>
  <w:style w:type="paragraph" w:styleId="Afzender">
    <w:name w:val="envelope return"/>
    <w:basedOn w:val="Standaard"/>
    <w:uiPriority w:val="59"/>
    <w:semiHidden/>
    <w:unhideWhenUsed/>
    <w:rsid w:val="00802144"/>
    <w:pPr>
      <w:spacing w:line="240" w:lineRule="auto"/>
    </w:pPr>
    <w:rPr>
      <w:rFonts w:asciiTheme="majorHAnsi" w:eastAsiaTheme="majorEastAsia" w:hAnsiTheme="majorHAnsi" w:cstheme="majorBidi"/>
    </w:rPr>
  </w:style>
  <w:style w:type="numbering" w:styleId="Artikelsectie">
    <w:name w:val="Outline List 3"/>
    <w:basedOn w:val="Geenlijst"/>
    <w:uiPriority w:val="59"/>
    <w:semiHidden/>
    <w:unhideWhenUsed/>
    <w:rsid w:val="00802144"/>
    <w:pPr>
      <w:numPr>
        <w:numId w:val="24"/>
      </w:numPr>
    </w:pPr>
  </w:style>
  <w:style w:type="paragraph" w:styleId="Ballontekst">
    <w:name w:val="Balloon Text"/>
    <w:basedOn w:val="Standaard"/>
    <w:link w:val="BallontekstChar"/>
    <w:uiPriority w:val="59"/>
    <w:semiHidden/>
    <w:unhideWhenUsed/>
    <w:rsid w:val="0080214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59"/>
    <w:semiHidden/>
    <w:rsid w:val="00802144"/>
    <w:rPr>
      <w:rFonts w:ascii="Segoe UI" w:hAnsi="Segoe UI" w:cs="Segoe UI"/>
      <w:kern w:val="0"/>
      <w:sz w:val="18"/>
      <w:szCs w:val="18"/>
      <w:lang w:val="en-US"/>
      <w14:ligatures w14:val="none"/>
    </w:rPr>
  </w:style>
  <w:style w:type="paragraph" w:styleId="Berichtkop">
    <w:name w:val="Message Header"/>
    <w:basedOn w:val="Standaard"/>
    <w:link w:val="BerichtkopChar"/>
    <w:uiPriority w:val="59"/>
    <w:semiHidden/>
    <w:unhideWhenUsed/>
    <w:rsid w:val="0080214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59"/>
    <w:semiHidden/>
    <w:rsid w:val="00802144"/>
    <w:rPr>
      <w:rFonts w:asciiTheme="majorHAnsi" w:eastAsiaTheme="majorEastAsia" w:hAnsiTheme="majorHAnsi" w:cstheme="majorBidi"/>
      <w:kern w:val="0"/>
      <w:sz w:val="24"/>
      <w:szCs w:val="24"/>
      <w:shd w:val="pct20" w:color="auto" w:fill="auto"/>
      <w:lang w:val="en-US"/>
      <w14:ligatures w14:val="none"/>
    </w:rPr>
  </w:style>
  <w:style w:type="paragraph" w:styleId="Bibliografie">
    <w:name w:val="Bibliography"/>
    <w:basedOn w:val="Standaard"/>
    <w:next w:val="Standaard"/>
    <w:uiPriority w:val="59"/>
    <w:semiHidden/>
    <w:unhideWhenUsed/>
    <w:rsid w:val="00802144"/>
  </w:style>
  <w:style w:type="paragraph" w:styleId="Bijschrift">
    <w:name w:val="caption"/>
    <w:basedOn w:val="Standaard"/>
    <w:next w:val="Standaard"/>
    <w:uiPriority w:val="59"/>
    <w:semiHidden/>
    <w:unhideWhenUsed/>
    <w:qFormat/>
    <w:rsid w:val="00802144"/>
    <w:pPr>
      <w:spacing w:after="200" w:line="240" w:lineRule="auto"/>
    </w:pPr>
    <w:rPr>
      <w:i/>
      <w:iCs/>
      <w:color w:val="0C251B" w:themeColor="text2"/>
      <w:sz w:val="18"/>
      <w:szCs w:val="18"/>
    </w:rPr>
  </w:style>
  <w:style w:type="paragraph" w:styleId="Bloktekst">
    <w:name w:val="Block Text"/>
    <w:basedOn w:val="Standaard"/>
    <w:uiPriority w:val="59"/>
    <w:semiHidden/>
    <w:unhideWhenUsed/>
    <w:rsid w:val="00802144"/>
    <w:pPr>
      <w:pBdr>
        <w:top w:val="single" w:sz="2" w:space="10" w:color="0C251B" w:themeColor="accent1" w:shadow="1"/>
        <w:left w:val="single" w:sz="2" w:space="10" w:color="0C251B" w:themeColor="accent1" w:shadow="1"/>
        <w:bottom w:val="single" w:sz="2" w:space="10" w:color="0C251B" w:themeColor="accent1" w:shadow="1"/>
        <w:right w:val="single" w:sz="2" w:space="10" w:color="0C251B" w:themeColor="accent1" w:shadow="1"/>
      </w:pBdr>
      <w:ind w:left="1152" w:right="1152"/>
    </w:pPr>
    <w:rPr>
      <w:rFonts w:eastAsiaTheme="minorEastAsia"/>
      <w:i/>
      <w:iCs/>
      <w:color w:val="0C251B" w:themeColor="accent1"/>
    </w:rPr>
  </w:style>
  <w:style w:type="paragraph" w:styleId="Bronvermelding">
    <w:name w:val="table of authorities"/>
    <w:basedOn w:val="Standaard"/>
    <w:next w:val="Standaard"/>
    <w:uiPriority w:val="59"/>
    <w:semiHidden/>
    <w:unhideWhenUsed/>
    <w:rsid w:val="00802144"/>
    <w:pPr>
      <w:ind w:left="200" w:hanging="200"/>
    </w:pPr>
  </w:style>
  <w:style w:type="paragraph" w:styleId="Datum">
    <w:name w:val="Date"/>
    <w:basedOn w:val="Standaard"/>
    <w:next w:val="Standaard"/>
    <w:link w:val="DatumChar"/>
    <w:uiPriority w:val="59"/>
    <w:semiHidden/>
    <w:unhideWhenUsed/>
    <w:rsid w:val="00802144"/>
  </w:style>
  <w:style w:type="character" w:customStyle="1" w:styleId="DatumChar">
    <w:name w:val="Datum Char"/>
    <w:basedOn w:val="Standaardalinea-lettertype"/>
    <w:link w:val="Datum"/>
    <w:uiPriority w:val="59"/>
    <w:semiHidden/>
    <w:rsid w:val="00802144"/>
    <w:rPr>
      <w:rFonts w:ascii="Merriweather" w:hAnsi="Merriweather"/>
      <w:kern w:val="0"/>
      <w:sz w:val="17"/>
      <w:szCs w:val="20"/>
      <w:lang w:val="en-US"/>
      <w14:ligatures w14:val="none"/>
    </w:rPr>
  </w:style>
  <w:style w:type="paragraph" w:styleId="Documentstructuur">
    <w:name w:val="Document Map"/>
    <w:basedOn w:val="Standaard"/>
    <w:link w:val="DocumentstructuurChar"/>
    <w:uiPriority w:val="59"/>
    <w:semiHidden/>
    <w:unhideWhenUsed/>
    <w:rsid w:val="00802144"/>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59"/>
    <w:semiHidden/>
    <w:rsid w:val="00802144"/>
    <w:rPr>
      <w:rFonts w:ascii="Segoe UI" w:hAnsi="Segoe UI" w:cs="Segoe UI"/>
      <w:kern w:val="0"/>
      <w:sz w:val="16"/>
      <w:szCs w:val="16"/>
      <w:lang w:val="en-US"/>
      <w14:ligatures w14:val="none"/>
    </w:rPr>
  </w:style>
  <w:style w:type="table" w:styleId="Donkerelijst">
    <w:name w:val="Dark List"/>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C251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12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91B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91B14" w:themeFill="accent1" w:themeFillShade="BF"/>
      </w:tcPr>
    </w:tblStylePr>
    <w:tblStylePr w:type="band1Vert">
      <w:tblPr/>
      <w:tcPr>
        <w:tcBorders>
          <w:top w:val="nil"/>
          <w:left w:val="nil"/>
          <w:bottom w:val="nil"/>
          <w:right w:val="nil"/>
          <w:insideH w:val="nil"/>
          <w:insideV w:val="nil"/>
        </w:tcBorders>
        <w:shd w:val="clear" w:color="auto" w:fill="091B14" w:themeFill="accent1" w:themeFillShade="BF"/>
      </w:tcPr>
    </w:tblStylePr>
    <w:tblStylePr w:type="band1Horz">
      <w:tblPr/>
      <w:tcPr>
        <w:tcBorders>
          <w:top w:val="nil"/>
          <w:left w:val="nil"/>
          <w:bottom w:val="nil"/>
          <w:right w:val="nil"/>
          <w:insideH w:val="nil"/>
          <w:insideV w:val="nil"/>
        </w:tcBorders>
        <w:shd w:val="clear" w:color="auto" w:fill="091B14" w:themeFill="accent1" w:themeFillShade="BF"/>
      </w:tcPr>
    </w:tblStylePr>
  </w:style>
  <w:style w:type="table" w:styleId="Donkerelijst-accent2">
    <w:name w:val="Dark List Accent 2"/>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00402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F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F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F1D" w:themeFill="accent2" w:themeFillShade="BF"/>
      </w:tcPr>
    </w:tblStylePr>
    <w:tblStylePr w:type="band1Vert">
      <w:tblPr/>
      <w:tcPr>
        <w:tcBorders>
          <w:top w:val="nil"/>
          <w:left w:val="nil"/>
          <w:bottom w:val="nil"/>
          <w:right w:val="nil"/>
          <w:insideH w:val="nil"/>
          <w:insideV w:val="nil"/>
        </w:tcBorders>
        <w:shd w:val="clear" w:color="auto" w:fill="002F1D" w:themeFill="accent2" w:themeFillShade="BF"/>
      </w:tcPr>
    </w:tblStylePr>
    <w:tblStylePr w:type="band1Horz">
      <w:tblPr/>
      <w:tcPr>
        <w:tcBorders>
          <w:top w:val="nil"/>
          <w:left w:val="nil"/>
          <w:bottom w:val="nil"/>
          <w:right w:val="nil"/>
          <w:insideH w:val="nil"/>
          <w:insideV w:val="nil"/>
        </w:tcBorders>
        <w:shd w:val="clear" w:color="auto" w:fill="002F1D" w:themeFill="accent2" w:themeFillShade="BF"/>
      </w:tcPr>
    </w:tblStylePr>
  </w:style>
  <w:style w:type="table" w:styleId="Donkerelijst-accent3">
    <w:name w:val="Dark List Accent 3"/>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7F7E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4A4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0D09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0D09B" w:themeFill="accent3" w:themeFillShade="BF"/>
      </w:tcPr>
    </w:tblStylePr>
    <w:tblStylePr w:type="band1Vert">
      <w:tblPr/>
      <w:tcPr>
        <w:tcBorders>
          <w:top w:val="nil"/>
          <w:left w:val="nil"/>
          <w:bottom w:val="nil"/>
          <w:right w:val="nil"/>
          <w:insideH w:val="nil"/>
          <w:insideV w:val="nil"/>
        </w:tcBorders>
        <w:shd w:val="clear" w:color="auto" w:fill="D0D09B" w:themeFill="accent3" w:themeFillShade="BF"/>
      </w:tcPr>
    </w:tblStylePr>
    <w:tblStylePr w:type="band1Horz">
      <w:tblPr/>
      <w:tcPr>
        <w:tcBorders>
          <w:top w:val="nil"/>
          <w:left w:val="nil"/>
          <w:bottom w:val="nil"/>
          <w:right w:val="nil"/>
          <w:insideH w:val="nil"/>
          <w:insideV w:val="nil"/>
        </w:tcBorders>
        <w:shd w:val="clear" w:color="auto" w:fill="D0D09B" w:themeFill="accent3" w:themeFillShade="BF"/>
      </w:tcPr>
    </w:tblStylePr>
  </w:style>
  <w:style w:type="table" w:styleId="Donkerelijst-accent4">
    <w:name w:val="Dark List Accent 4"/>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3EAE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674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AF8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AF8C" w:themeFill="accent4" w:themeFillShade="BF"/>
      </w:tcPr>
    </w:tblStylePr>
    <w:tblStylePr w:type="band1Vert">
      <w:tblPr/>
      <w:tcPr>
        <w:tcBorders>
          <w:top w:val="nil"/>
          <w:left w:val="nil"/>
          <w:bottom w:val="nil"/>
          <w:right w:val="nil"/>
          <w:insideH w:val="nil"/>
          <w:insideV w:val="nil"/>
        </w:tcBorders>
        <w:shd w:val="clear" w:color="auto" w:fill="D1AF8C" w:themeFill="accent4" w:themeFillShade="BF"/>
      </w:tcPr>
    </w:tblStylePr>
    <w:tblStylePr w:type="band1Horz">
      <w:tblPr/>
      <w:tcPr>
        <w:tcBorders>
          <w:top w:val="nil"/>
          <w:left w:val="nil"/>
          <w:bottom w:val="nil"/>
          <w:right w:val="nil"/>
          <w:insideH w:val="nil"/>
          <w:insideV w:val="nil"/>
        </w:tcBorders>
        <w:shd w:val="clear" w:color="auto" w:fill="D1AF8C" w:themeFill="accent4" w:themeFillShade="BF"/>
      </w:tcPr>
    </w:tblStylePr>
  </w:style>
  <w:style w:type="table" w:styleId="Donkerelijst-accent5">
    <w:name w:val="Dark List Accent 5"/>
    <w:basedOn w:val="Standaardtabel"/>
    <w:uiPriority w:val="59"/>
    <w:semiHidden/>
    <w:unhideWhenUsed/>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C52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28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C3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C3C00" w:themeFill="accent5" w:themeFillShade="BF"/>
      </w:tcPr>
    </w:tblStylePr>
    <w:tblStylePr w:type="band1Vert">
      <w:tblPr/>
      <w:tcPr>
        <w:tcBorders>
          <w:top w:val="nil"/>
          <w:left w:val="nil"/>
          <w:bottom w:val="nil"/>
          <w:right w:val="nil"/>
          <w:insideH w:val="nil"/>
          <w:insideV w:val="nil"/>
        </w:tcBorders>
        <w:shd w:val="clear" w:color="auto" w:fill="BC3C00" w:themeFill="accent5" w:themeFillShade="BF"/>
      </w:tcPr>
    </w:tblStylePr>
    <w:tblStylePr w:type="band1Horz">
      <w:tblPr/>
      <w:tcPr>
        <w:tcBorders>
          <w:top w:val="nil"/>
          <w:left w:val="nil"/>
          <w:bottom w:val="nil"/>
          <w:right w:val="nil"/>
          <w:insideH w:val="nil"/>
          <w:insideV w:val="nil"/>
        </w:tcBorders>
        <w:shd w:val="clear" w:color="auto" w:fill="BC3C00" w:themeFill="accent5" w:themeFillShade="BF"/>
      </w:tcPr>
    </w:tblStylePr>
  </w:style>
  <w:style w:type="table" w:styleId="Donkerelijst-accent6">
    <w:name w:val="Dark List Accent 6"/>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Pr>
    <w:tcPr>
      <w:shd w:val="clear" w:color="auto" w:fill="FFF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7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B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BF" w:themeFill="accent6" w:themeFillShade="BF"/>
      </w:tcPr>
    </w:tblStylePr>
    <w:tblStylePr w:type="band1Vert">
      <w:tblPr/>
      <w:tcPr>
        <w:tcBorders>
          <w:top w:val="nil"/>
          <w:left w:val="nil"/>
          <w:bottom w:val="nil"/>
          <w:right w:val="nil"/>
          <w:insideH w:val="nil"/>
          <w:insideV w:val="nil"/>
        </w:tcBorders>
        <w:shd w:val="clear" w:color="auto" w:fill="BFBFBF" w:themeFill="accent6" w:themeFillShade="BF"/>
      </w:tcPr>
    </w:tblStylePr>
    <w:tblStylePr w:type="band1Horz">
      <w:tblPr/>
      <w:tcPr>
        <w:tcBorders>
          <w:top w:val="nil"/>
          <w:left w:val="nil"/>
          <w:bottom w:val="nil"/>
          <w:right w:val="nil"/>
          <w:insideH w:val="nil"/>
          <w:insideV w:val="nil"/>
        </w:tcBorders>
        <w:shd w:val="clear" w:color="auto" w:fill="BFBFBF" w:themeFill="accent6" w:themeFillShade="BF"/>
      </w:tcPr>
    </w:tblStylePr>
  </w:style>
  <w:style w:type="table" w:styleId="Eenvoudigetabel1">
    <w:name w:val="Table Simple 1"/>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59"/>
    <w:semiHidden/>
    <w:unhideWhenUsed/>
    <w:rsid w:val="00802144"/>
    <w:pPr>
      <w:spacing w:after="0" w:line="252" w:lineRule="auto"/>
    </w:pPr>
    <w:rPr>
      <w:kern w:val="0"/>
      <w:sz w:val="20"/>
      <w:szCs w:val="20"/>
      <w:lang w:val="en-US"/>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59"/>
    <w:semiHidden/>
    <w:unhideWhenUsed/>
    <w:rsid w:val="00802144"/>
    <w:pPr>
      <w:spacing w:after="0" w:line="252" w:lineRule="auto"/>
    </w:pPr>
    <w:rPr>
      <w:kern w:val="0"/>
      <w:sz w:val="20"/>
      <w:szCs w:val="20"/>
      <w:lang w:val="en-US"/>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59"/>
    <w:semiHidden/>
    <w:unhideWhenUsed/>
    <w:rsid w:val="00802144"/>
    <w:rPr>
      <w:vertAlign w:val="superscript"/>
    </w:rPr>
  </w:style>
  <w:style w:type="paragraph" w:styleId="Eindnoottekst">
    <w:name w:val="endnote text"/>
    <w:basedOn w:val="Standaard"/>
    <w:link w:val="EindnoottekstChar"/>
    <w:uiPriority w:val="59"/>
    <w:semiHidden/>
    <w:unhideWhenUsed/>
    <w:rsid w:val="00802144"/>
    <w:pPr>
      <w:spacing w:line="240" w:lineRule="auto"/>
    </w:pPr>
  </w:style>
  <w:style w:type="character" w:customStyle="1" w:styleId="EindnoottekstChar">
    <w:name w:val="Eindnoottekst Char"/>
    <w:basedOn w:val="Standaardalinea-lettertype"/>
    <w:link w:val="Eindnoottekst"/>
    <w:uiPriority w:val="59"/>
    <w:semiHidden/>
    <w:rsid w:val="00802144"/>
    <w:rPr>
      <w:rFonts w:ascii="Merriweather" w:hAnsi="Merriweather"/>
      <w:kern w:val="0"/>
      <w:sz w:val="17"/>
      <w:szCs w:val="20"/>
      <w:lang w:val="en-US"/>
      <w14:ligatures w14:val="none"/>
    </w:rPr>
  </w:style>
  <w:style w:type="table" w:styleId="Elegantetabel">
    <w:name w:val="Table Elegant"/>
    <w:basedOn w:val="Standaardtabel"/>
    <w:uiPriority w:val="59"/>
    <w:semiHidden/>
    <w:unhideWhenUsed/>
    <w:rsid w:val="00802144"/>
    <w:pPr>
      <w:spacing w:after="0" w:line="252" w:lineRule="auto"/>
    </w:pPr>
    <w:rPr>
      <w:kern w:val="0"/>
      <w:sz w:val="20"/>
      <w:szCs w:val="20"/>
      <w:lang w:val="en-US"/>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59"/>
    <w:semiHidden/>
    <w:unhideWhenUsed/>
    <w:rsid w:val="00802144"/>
    <w:pPr>
      <w:spacing w:line="240" w:lineRule="auto"/>
    </w:pPr>
  </w:style>
  <w:style w:type="character" w:customStyle="1" w:styleId="E-mailhandtekeningChar">
    <w:name w:val="E-mailhandtekening Char"/>
    <w:basedOn w:val="Standaardalinea-lettertype"/>
    <w:link w:val="E-mailhandtekening"/>
    <w:uiPriority w:val="59"/>
    <w:semiHidden/>
    <w:rsid w:val="00802144"/>
    <w:rPr>
      <w:rFonts w:ascii="Merriweather" w:hAnsi="Merriweather"/>
      <w:kern w:val="0"/>
      <w:sz w:val="17"/>
      <w:szCs w:val="20"/>
      <w:lang w:val="en-US"/>
      <w14:ligatures w14:val="none"/>
    </w:rPr>
  </w:style>
  <w:style w:type="table" w:styleId="Gemiddeldraster1">
    <w:name w:val="Medium Grid 1"/>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insideV w:val="single" w:sz="8" w:space="0" w:color="287C5A" w:themeColor="accent1" w:themeTint="BF"/>
      </w:tblBorders>
    </w:tblPr>
    <w:tcPr>
      <w:shd w:val="clear" w:color="auto" w:fill="A8E3CB" w:themeFill="accent1" w:themeFillTint="3F"/>
    </w:tcPr>
    <w:tblStylePr w:type="firstRow">
      <w:rPr>
        <w:b/>
        <w:bCs/>
      </w:rPr>
    </w:tblStylePr>
    <w:tblStylePr w:type="lastRow">
      <w:rPr>
        <w:b/>
        <w:bCs/>
      </w:rPr>
      <w:tblPr/>
      <w:tcPr>
        <w:tcBorders>
          <w:top w:val="single" w:sz="18" w:space="0" w:color="287C5A" w:themeColor="accent1" w:themeTint="BF"/>
        </w:tcBorders>
      </w:tcPr>
    </w:tblStylePr>
    <w:tblStylePr w:type="firstCol">
      <w:rPr>
        <w:b/>
        <w:bCs/>
      </w:rPr>
    </w:tblStylePr>
    <w:tblStylePr w:type="lastCol">
      <w:rPr>
        <w:b/>
        <w:bCs/>
      </w:r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Gemiddeldraster1-accent2">
    <w:name w:val="Medium Grid 1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insideV w:val="single" w:sz="8" w:space="0" w:color="00AF6D" w:themeColor="accent2" w:themeTint="BF"/>
      </w:tblBorders>
    </w:tblPr>
    <w:tcPr>
      <w:shd w:val="clear" w:color="auto" w:fill="90FFD5" w:themeFill="accent2" w:themeFillTint="3F"/>
    </w:tcPr>
    <w:tblStylePr w:type="firstRow">
      <w:rPr>
        <w:b/>
        <w:bCs/>
      </w:rPr>
    </w:tblStylePr>
    <w:tblStylePr w:type="lastRow">
      <w:rPr>
        <w:b/>
        <w:bCs/>
      </w:rPr>
      <w:tblPr/>
      <w:tcPr>
        <w:tcBorders>
          <w:top w:val="single" w:sz="18" w:space="0" w:color="00AF6D" w:themeColor="accent2" w:themeTint="BF"/>
        </w:tcBorders>
      </w:tcPr>
    </w:tblStylePr>
    <w:tblStylePr w:type="firstCol">
      <w:rPr>
        <w:b/>
        <w:bCs/>
      </w:rPr>
    </w:tblStylePr>
    <w:tblStylePr w:type="lastCol">
      <w:rPr>
        <w:b/>
        <w:bCs/>
      </w:r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Gemiddeldraster1-accent3">
    <w:name w:val="Medium Grid 1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insideV w:val="single" w:sz="8" w:space="0" w:color="F9F9F2" w:themeColor="accent3" w:themeTint="BF"/>
      </w:tblBorders>
    </w:tblPr>
    <w:tcPr>
      <w:shd w:val="clear" w:color="auto" w:fill="FDFDFA" w:themeFill="accent3" w:themeFillTint="3F"/>
    </w:tcPr>
    <w:tblStylePr w:type="firstRow">
      <w:rPr>
        <w:b/>
        <w:bCs/>
      </w:rPr>
    </w:tblStylePr>
    <w:tblStylePr w:type="lastRow">
      <w:rPr>
        <w:b/>
        <w:bCs/>
      </w:rPr>
      <w:tblPr/>
      <w:tcPr>
        <w:tcBorders>
          <w:top w:val="single" w:sz="18" w:space="0" w:color="F9F9F2" w:themeColor="accent3" w:themeTint="BF"/>
        </w:tcBorders>
      </w:tcPr>
    </w:tblStylePr>
    <w:tblStylePr w:type="firstCol">
      <w:rPr>
        <w:b/>
        <w:bCs/>
      </w:rPr>
    </w:tblStylePr>
    <w:tblStylePr w:type="lastCol">
      <w:rPr>
        <w:b/>
        <w:bCs/>
      </w:r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Gemiddeldraster1-accent4">
    <w:name w:val="Medium Grid 1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insideV w:val="single" w:sz="8" w:space="0" w:color="F6EFE8" w:themeColor="accent4" w:themeTint="BF"/>
      </w:tblBorders>
    </w:tblPr>
    <w:tcPr>
      <w:shd w:val="clear" w:color="auto" w:fill="FCF9F7" w:themeFill="accent4" w:themeFillTint="3F"/>
    </w:tcPr>
    <w:tblStylePr w:type="firstRow">
      <w:rPr>
        <w:b/>
        <w:bCs/>
      </w:rPr>
    </w:tblStylePr>
    <w:tblStylePr w:type="lastRow">
      <w:rPr>
        <w:b/>
        <w:bCs/>
      </w:rPr>
      <w:tblPr/>
      <w:tcPr>
        <w:tcBorders>
          <w:top w:val="single" w:sz="18" w:space="0" w:color="F6EFE8" w:themeColor="accent4" w:themeTint="BF"/>
        </w:tcBorders>
      </w:tcPr>
    </w:tblStylePr>
    <w:tblStylePr w:type="firstCol">
      <w:rPr>
        <w:b/>
        <w:bCs/>
      </w:rPr>
    </w:tblStylePr>
    <w:tblStylePr w:type="lastCol">
      <w:rPr>
        <w:b/>
        <w:bCs/>
      </w:r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Gemiddeldraster1-accent5">
    <w:name w:val="Medium Grid 1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insideV w:val="single" w:sz="8" w:space="0" w:color="FF7B3D" w:themeColor="accent5" w:themeTint="BF"/>
      </w:tblBorders>
    </w:tblPr>
    <w:tcPr>
      <w:shd w:val="clear" w:color="auto" w:fill="FFD3BF" w:themeFill="accent5" w:themeFillTint="3F"/>
    </w:tcPr>
    <w:tblStylePr w:type="firstRow">
      <w:rPr>
        <w:b/>
        <w:bCs/>
      </w:rPr>
    </w:tblStylePr>
    <w:tblStylePr w:type="lastRow">
      <w:rPr>
        <w:b/>
        <w:bCs/>
      </w:rPr>
      <w:tblPr/>
      <w:tcPr>
        <w:tcBorders>
          <w:top w:val="single" w:sz="18" w:space="0" w:color="FF7B3D" w:themeColor="accent5" w:themeTint="BF"/>
        </w:tcBorders>
      </w:tcPr>
    </w:tblStylePr>
    <w:tblStylePr w:type="firstCol">
      <w:rPr>
        <w:b/>
        <w:bCs/>
      </w:rPr>
    </w:tblStylePr>
    <w:tblStylePr w:type="lastCol">
      <w:rPr>
        <w:b/>
        <w:bCs/>
      </w:r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Gemiddeldraster1-accent6">
    <w:name w:val="Medium Grid 1 Accent 6"/>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insideV w:val="single" w:sz="8" w:space="0" w:color="FFFFFF" w:themeColor="accent6" w:themeTint="BF"/>
      </w:tblBorders>
    </w:tblPr>
    <w:tcPr>
      <w:shd w:val="clear" w:color="auto" w:fill="FFFFFF" w:themeFill="accent6" w:themeFillTint="3F"/>
    </w:tcPr>
    <w:tblStylePr w:type="firstRow">
      <w:rPr>
        <w:b/>
        <w:bCs/>
      </w:rPr>
    </w:tblStylePr>
    <w:tblStylePr w:type="lastRow">
      <w:rPr>
        <w:b/>
        <w:bCs/>
      </w:rPr>
      <w:tblPr/>
      <w:tcPr>
        <w:tcBorders>
          <w:top w:val="single" w:sz="18" w:space="0" w:color="FFFFFF" w:themeColor="accent6" w:themeTint="BF"/>
        </w:tcBorders>
      </w:tcPr>
    </w:tblStylePr>
    <w:tblStylePr w:type="firstCol">
      <w:rPr>
        <w:b/>
        <w:bCs/>
      </w:rPr>
    </w:tblStylePr>
    <w:tblStylePr w:type="lastCol">
      <w:rPr>
        <w:b/>
        <w:bCs/>
      </w:r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Gemiddeldraster2">
    <w:name w:val="Medium Grid 2"/>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cPr>
      <w:shd w:val="clear" w:color="auto" w:fill="A8E3CB" w:themeFill="accent1" w:themeFillTint="3F"/>
    </w:tcPr>
    <w:tblStylePr w:type="firstRow">
      <w:rPr>
        <w:b/>
        <w:bCs/>
        <w:color w:val="000000" w:themeColor="text1"/>
      </w:rPr>
      <w:tblPr/>
      <w:tcPr>
        <w:shd w:val="clear" w:color="auto" w:fill="DCF4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8D5" w:themeFill="accent1" w:themeFillTint="33"/>
      </w:tcPr>
    </w:tblStylePr>
    <w:tblStylePr w:type="band1Vert">
      <w:tblPr/>
      <w:tcPr>
        <w:shd w:val="clear" w:color="auto" w:fill="51C697" w:themeFill="accent1" w:themeFillTint="7F"/>
      </w:tcPr>
    </w:tblStylePr>
    <w:tblStylePr w:type="band1Horz">
      <w:tblPr/>
      <w:tcPr>
        <w:tcBorders>
          <w:insideH w:val="single" w:sz="6" w:space="0" w:color="0C251B" w:themeColor="accent1"/>
          <w:insideV w:val="single" w:sz="6" w:space="0" w:color="0C251B" w:themeColor="accent1"/>
        </w:tcBorders>
        <w:shd w:val="clear" w:color="auto" w:fill="51C69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cPr>
      <w:shd w:val="clear" w:color="auto" w:fill="90FFD5" w:themeFill="accent2" w:themeFillTint="3F"/>
    </w:tcPr>
    <w:tblStylePr w:type="firstRow">
      <w:rPr>
        <w:b/>
        <w:bCs/>
        <w:color w:val="000000" w:themeColor="text1"/>
      </w:rPr>
      <w:tblPr/>
      <w:tcPr>
        <w:shd w:val="clear" w:color="auto" w:fill="D3F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FFDD" w:themeFill="accent2" w:themeFillTint="33"/>
      </w:tcPr>
    </w:tblStylePr>
    <w:tblStylePr w:type="band1Vert">
      <w:tblPr/>
      <w:tcPr>
        <w:shd w:val="clear" w:color="auto" w:fill="20FFAB" w:themeFill="accent2" w:themeFillTint="7F"/>
      </w:tcPr>
    </w:tblStylePr>
    <w:tblStylePr w:type="band1Horz">
      <w:tblPr/>
      <w:tcPr>
        <w:tcBorders>
          <w:insideH w:val="single" w:sz="6" w:space="0" w:color="004028" w:themeColor="accent2"/>
          <w:insideV w:val="single" w:sz="6" w:space="0" w:color="004028" w:themeColor="accent2"/>
        </w:tcBorders>
        <w:shd w:val="clear" w:color="auto" w:fill="20FFAB"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cPr>
      <w:shd w:val="clear" w:color="auto" w:fill="FDFDFA" w:themeFill="accent3" w:themeFillTint="3F"/>
    </w:tcPr>
    <w:tblStylePr w:type="firstRow">
      <w:rPr>
        <w:b/>
        <w:bCs/>
        <w:color w:val="000000" w:themeColor="text1"/>
      </w:rPr>
      <w:tblPr/>
      <w:tcPr>
        <w:shd w:val="clear" w:color="auto" w:fill="FEFEF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B" w:themeFill="accent3" w:themeFillTint="33"/>
      </w:tcPr>
    </w:tblStylePr>
    <w:tblStylePr w:type="band1Vert">
      <w:tblPr/>
      <w:tcPr>
        <w:shd w:val="clear" w:color="auto" w:fill="FBFBF6" w:themeFill="accent3" w:themeFillTint="7F"/>
      </w:tcPr>
    </w:tblStylePr>
    <w:tblStylePr w:type="band1Horz">
      <w:tblPr/>
      <w:tcPr>
        <w:tcBorders>
          <w:insideH w:val="single" w:sz="6" w:space="0" w:color="F7F7EE" w:themeColor="accent3"/>
          <w:insideV w:val="single" w:sz="6" w:space="0" w:color="F7F7EE" w:themeColor="accent3"/>
        </w:tcBorders>
        <w:shd w:val="clear" w:color="auto" w:fill="FBFBF6"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cPr>
      <w:shd w:val="clear" w:color="auto" w:fill="FCF9F7" w:themeFill="accent4" w:themeFillTint="3F"/>
    </w:tcPr>
    <w:tblStylePr w:type="firstRow">
      <w:rPr>
        <w:b/>
        <w:bCs/>
        <w:color w:val="000000" w:themeColor="text1"/>
      </w:rPr>
      <w:tblPr/>
      <w:tcPr>
        <w:shd w:val="clear" w:color="auto" w:fill="FDFC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AF8" w:themeFill="accent4" w:themeFillTint="33"/>
      </w:tcPr>
    </w:tblStylePr>
    <w:tblStylePr w:type="band1Vert">
      <w:tblPr/>
      <w:tcPr>
        <w:shd w:val="clear" w:color="auto" w:fill="F9F4F0" w:themeFill="accent4" w:themeFillTint="7F"/>
      </w:tcPr>
    </w:tblStylePr>
    <w:tblStylePr w:type="band1Horz">
      <w:tblPr/>
      <w:tcPr>
        <w:tcBorders>
          <w:insideH w:val="single" w:sz="6" w:space="0" w:color="F3EAE1" w:themeColor="accent4"/>
          <w:insideV w:val="single" w:sz="6" w:space="0" w:color="F3EAE1" w:themeColor="accent4"/>
        </w:tcBorders>
        <w:shd w:val="clear" w:color="auto" w:fill="F9F4F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cPr>
      <w:shd w:val="clear" w:color="auto" w:fill="FFD3BF" w:themeFill="accent5" w:themeFillTint="3F"/>
    </w:tcPr>
    <w:tblStylePr w:type="firstRow">
      <w:rPr>
        <w:b/>
        <w:bCs/>
        <w:color w:val="000000" w:themeColor="text1"/>
      </w:rPr>
      <w:tblPr/>
      <w:tcPr>
        <w:shd w:val="clear" w:color="auto" w:fill="FFED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BCB" w:themeFill="accent5" w:themeFillTint="33"/>
      </w:tcPr>
    </w:tblStylePr>
    <w:tblStylePr w:type="band1Vert">
      <w:tblPr/>
      <w:tcPr>
        <w:shd w:val="clear" w:color="auto" w:fill="FFA77E" w:themeFill="accent5" w:themeFillTint="7F"/>
      </w:tcPr>
    </w:tblStylePr>
    <w:tblStylePr w:type="band1Horz">
      <w:tblPr/>
      <w:tcPr>
        <w:tcBorders>
          <w:insideH w:val="single" w:sz="6" w:space="0" w:color="FC5200" w:themeColor="accent5"/>
          <w:insideV w:val="single" w:sz="6" w:space="0" w:color="FC5200" w:themeColor="accent5"/>
        </w:tcBorders>
        <w:shd w:val="clear" w:color="auto" w:fill="FFA77E"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cPr>
      <w:shd w:val="clear" w:color="auto" w:fill="FFFFFF" w:themeFill="accent6" w:themeFillTint="3F"/>
    </w:tcPr>
    <w:tblStylePr w:type="firstRow">
      <w:rPr>
        <w:b/>
        <w:bCs/>
        <w:color w:val="000000" w:themeColor="text1"/>
      </w:rPr>
      <w:tblPr/>
      <w:tcPr>
        <w:shd w:val="clear" w:color="auto" w:fill="FFFF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FF" w:themeFill="accent6" w:themeFillTint="33"/>
      </w:tcPr>
    </w:tblStylePr>
    <w:tblStylePr w:type="band1Vert">
      <w:tblPr/>
      <w:tcPr>
        <w:shd w:val="clear" w:color="auto" w:fill="FFFFFF" w:themeFill="accent6" w:themeFillTint="7F"/>
      </w:tcPr>
    </w:tblStylePr>
    <w:tblStylePr w:type="band1Horz">
      <w:tblPr/>
      <w:tcPr>
        <w:tcBorders>
          <w:insideH w:val="single" w:sz="6" w:space="0" w:color="FFFFFF" w:themeColor="accent6"/>
          <w:insideV w:val="single" w:sz="6" w:space="0" w:color="FFFFFF" w:themeColor="accent6"/>
        </w:tcBorders>
        <w:shd w:val="clear" w:color="auto" w:fill="FFFF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3C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51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51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51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C69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C697" w:themeFill="accent1" w:themeFillTint="7F"/>
      </w:tcPr>
    </w:tblStylePr>
  </w:style>
  <w:style w:type="table" w:styleId="Gemiddeldraster3-accent2">
    <w:name w:val="Medium Grid 3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FFD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02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02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02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FFA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FFAB" w:themeFill="accent2" w:themeFillTint="7F"/>
      </w:tcPr>
    </w:tblStylePr>
  </w:style>
  <w:style w:type="table" w:styleId="Gemiddeldraster3-accent3">
    <w:name w:val="Medium Grid 3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D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F7E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F7E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F7E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FB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FBF6" w:themeFill="accent3" w:themeFillTint="7F"/>
      </w:tcPr>
    </w:tblStylePr>
  </w:style>
  <w:style w:type="table" w:styleId="Gemiddeldraster3-accent4">
    <w:name w:val="Medium Grid 3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9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3EAE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3EAE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3EAE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4F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4F0" w:themeFill="accent4" w:themeFillTint="7F"/>
      </w:tcPr>
    </w:tblStylePr>
  </w:style>
  <w:style w:type="table" w:styleId="Gemiddeldraster3-accent5">
    <w:name w:val="Medium Grid 3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3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C52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C52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C52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77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77E" w:themeFill="accent5" w:themeFillTint="7F"/>
      </w:tcPr>
    </w:tblStylePr>
  </w:style>
  <w:style w:type="table" w:styleId="Gemiddeldraster3-accent6">
    <w:name w:val="Medium Grid 3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FF" w:themeFill="accent6" w:themeFillTint="7F"/>
      </w:tcPr>
    </w:tblStylePr>
  </w:style>
  <w:style w:type="table" w:styleId="Gemiddeldearcering1">
    <w:name w:val="Medium Shading 1"/>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single" w:sz="8" w:space="0" w:color="287C5A" w:themeColor="accent1" w:themeTint="BF"/>
      </w:tblBorders>
    </w:tblPr>
    <w:tblStylePr w:type="firstRow">
      <w:pPr>
        <w:spacing w:before="0" w:after="0" w:line="240" w:lineRule="auto"/>
      </w:pPr>
      <w:rPr>
        <w:b/>
        <w:bCs/>
        <w:color w:val="FFFFFF" w:themeColor="background1"/>
      </w:rPr>
      <w:tblPr/>
      <w:tcPr>
        <w:tcBorders>
          <w:top w:val="single" w:sz="8"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shd w:val="clear" w:color="auto" w:fill="0C251B" w:themeFill="accent1"/>
      </w:tcPr>
    </w:tblStylePr>
    <w:tblStylePr w:type="lastRow">
      <w:pPr>
        <w:spacing w:before="0" w:after="0" w:line="240" w:lineRule="auto"/>
      </w:pPr>
      <w:rPr>
        <w:b/>
        <w:bCs/>
      </w:rPr>
      <w:tblPr/>
      <w:tcPr>
        <w:tcBorders>
          <w:top w:val="double" w:sz="6" w:space="0" w:color="287C5A" w:themeColor="accent1" w:themeTint="BF"/>
          <w:left w:val="single" w:sz="8" w:space="0" w:color="287C5A" w:themeColor="accent1" w:themeTint="BF"/>
          <w:bottom w:val="single" w:sz="8" w:space="0" w:color="287C5A" w:themeColor="accent1" w:themeTint="BF"/>
          <w:right w:val="single" w:sz="8" w:space="0" w:color="287C5A"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E3CB" w:themeFill="accent1" w:themeFillTint="3F"/>
      </w:tcPr>
    </w:tblStylePr>
    <w:tblStylePr w:type="band1Horz">
      <w:tblPr/>
      <w:tcPr>
        <w:tcBorders>
          <w:insideH w:val="nil"/>
          <w:insideV w:val="nil"/>
        </w:tcBorders>
        <w:shd w:val="clear" w:color="auto" w:fill="A8E3C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single" w:sz="8" w:space="0" w:color="00AF6D" w:themeColor="accent2" w:themeTint="BF"/>
      </w:tblBorders>
    </w:tblPr>
    <w:tblStylePr w:type="firstRow">
      <w:pPr>
        <w:spacing w:before="0" w:after="0" w:line="240" w:lineRule="auto"/>
      </w:pPr>
      <w:rPr>
        <w:b/>
        <w:bCs/>
        <w:color w:val="FFFFFF" w:themeColor="background1"/>
      </w:rPr>
      <w:tblPr/>
      <w:tcPr>
        <w:tcBorders>
          <w:top w:val="single" w:sz="8"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shd w:val="clear" w:color="auto" w:fill="004028" w:themeFill="accent2"/>
      </w:tcPr>
    </w:tblStylePr>
    <w:tblStylePr w:type="lastRow">
      <w:pPr>
        <w:spacing w:before="0" w:after="0" w:line="240" w:lineRule="auto"/>
      </w:pPr>
      <w:rPr>
        <w:b/>
        <w:bCs/>
      </w:rPr>
      <w:tblPr/>
      <w:tcPr>
        <w:tcBorders>
          <w:top w:val="double" w:sz="6" w:space="0" w:color="00AF6D" w:themeColor="accent2" w:themeTint="BF"/>
          <w:left w:val="single" w:sz="8" w:space="0" w:color="00AF6D" w:themeColor="accent2" w:themeTint="BF"/>
          <w:bottom w:val="single" w:sz="8" w:space="0" w:color="00AF6D" w:themeColor="accent2" w:themeTint="BF"/>
          <w:right w:val="single" w:sz="8" w:space="0" w:color="00AF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90FFD5" w:themeFill="accent2" w:themeFillTint="3F"/>
      </w:tcPr>
    </w:tblStylePr>
    <w:tblStylePr w:type="band1Horz">
      <w:tblPr/>
      <w:tcPr>
        <w:tcBorders>
          <w:insideH w:val="nil"/>
          <w:insideV w:val="nil"/>
        </w:tcBorders>
        <w:shd w:val="clear" w:color="auto" w:fill="90FFD5"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single" w:sz="8" w:space="0" w:color="F9F9F2" w:themeColor="accent3" w:themeTint="BF"/>
      </w:tblBorders>
    </w:tblPr>
    <w:tblStylePr w:type="firstRow">
      <w:pPr>
        <w:spacing w:before="0" w:after="0" w:line="240" w:lineRule="auto"/>
      </w:pPr>
      <w:rPr>
        <w:b/>
        <w:bCs/>
        <w:color w:val="FFFFFF" w:themeColor="background1"/>
      </w:rPr>
      <w:tblPr/>
      <w:tcPr>
        <w:tcBorders>
          <w:top w:val="single" w:sz="8"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shd w:val="clear" w:color="auto" w:fill="F7F7EE" w:themeFill="accent3"/>
      </w:tcPr>
    </w:tblStylePr>
    <w:tblStylePr w:type="lastRow">
      <w:pPr>
        <w:spacing w:before="0" w:after="0" w:line="240" w:lineRule="auto"/>
      </w:pPr>
      <w:rPr>
        <w:b/>
        <w:bCs/>
      </w:rPr>
      <w:tblPr/>
      <w:tcPr>
        <w:tcBorders>
          <w:top w:val="double" w:sz="6" w:space="0" w:color="F9F9F2" w:themeColor="accent3" w:themeTint="BF"/>
          <w:left w:val="single" w:sz="8" w:space="0" w:color="F9F9F2" w:themeColor="accent3" w:themeTint="BF"/>
          <w:bottom w:val="single" w:sz="8" w:space="0" w:color="F9F9F2" w:themeColor="accent3" w:themeTint="BF"/>
          <w:right w:val="single" w:sz="8" w:space="0" w:color="F9F9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DFDFA" w:themeFill="accent3" w:themeFillTint="3F"/>
      </w:tcPr>
    </w:tblStylePr>
    <w:tblStylePr w:type="band1Horz">
      <w:tblPr/>
      <w:tcPr>
        <w:tcBorders>
          <w:insideH w:val="nil"/>
          <w:insideV w:val="nil"/>
        </w:tcBorders>
        <w:shd w:val="clear" w:color="auto" w:fill="FDFDFA"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single" w:sz="8" w:space="0" w:color="F6EFE8" w:themeColor="accent4" w:themeTint="BF"/>
      </w:tblBorders>
    </w:tblPr>
    <w:tblStylePr w:type="firstRow">
      <w:pPr>
        <w:spacing w:before="0" w:after="0" w:line="240" w:lineRule="auto"/>
      </w:pPr>
      <w:rPr>
        <w:b/>
        <w:bCs/>
        <w:color w:val="FFFFFF" w:themeColor="background1"/>
      </w:rPr>
      <w:tblPr/>
      <w:tcPr>
        <w:tcBorders>
          <w:top w:val="single" w:sz="8"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shd w:val="clear" w:color="auto" w:fill="F3EAE1" w:themeFill="accent4"/>
      </w:tcPr>
    </w:tblStylePr>
    <w:tblStylePr w:type="lastRow">
      <w:pPr>
        <w:spacing w:before="0" w:after="0" w:line="240" w:lineRule="auto"/>
      </w:pPr>
      <w:rPr>
        <w:b/>
        <w:bCs/>
      </w:rPr>
      <w:tblPr/>
      <w:tcPr>
        <w:tcBorders>
          <w:top w:val="double" w:sz="6" w:space="0" w:color="F6EFE8" w:themeColor="accent4" w:themeTint="BF"/>
          <w:left w:val="single" w:sz="8" w:space="0" w:color="F6EFE8" w:themeColor="accent4" w:themeTint="BF"/>
          <w:bottom w:val="single" w:sz="8" w:space="0" w:color="F6EFE8" w:themeColor="accent4" w:themeTint="BF"/>
          <w:right w:val="single" w:sz="8" w:space="0" w:color="F6EFE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F9F7" w:themeFill="accent4" w:themeFillTint="3F"/>
      </w:tcPr>
    </w:tblStylePr>
    <w:tblStylePr w:type="band1Horz">
      <w:tblPr/>
      <w:tcPr>
        <w:tcBorders>
          <w:insideH w:val="nil"/>
          <w:insideV w:val="nil"/>
        </w:tcBorders>
        <w:shd w:val="clear" w:color="auto" w:fill="FCF9F7"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single" w:sz="8" w:space="0" w:color="FF7B3D" w:themeColor="accent5" w:themeTint="BF"/>
      </w:tblBorders>
    </w:tblPr>
    <w:tblStylePr w:type="firstRow">
      <w:pPr>
        <w:spacing w:before="0" w:after="0" w:line="240" w:lineRule="auto"/>
      </w:pPr>
      <w:rPr>
        <w:b/>
        <w:bCs/>
        <w:color w:val="FFFFFF" w:themeColor="background1"/>
      </w:rPr>
      <w:tblPr/>
      <w:tcPr>
        <w:tcBorders>
          <w:top w:val="single" w:sz="8"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shd w:val="clear" w:color="auto" w:fill="FC5200" w:themeFill="accent5"/>
      </w:tcPr>
    </w:tblStylePr>
    <w:tblStylePr w:type="lastRow">
      <w:pPr>
        <w:spacing w:before="0" w:after="0" w:line="240" w:lineRule="auto"/>
      </w:pPr>
      <w:rPr>
        <w:b/>
        <w:bCs/>
      </w:rPr>
      <w:tblPr/>
      <w:tcPr>
        <w:tcBorders>
          <w:top w:val="double" w:sz="6" w:space="0" w:color="FF7B3D" w:themeColor="accent5" w:themeTint="BF"/>
          <w:left w:val="single" w:sz="8" w:space="0" w:color="FF7B3D" w:themeColor="accent5" w:themeTint="BF"/>
          <w:bottom w:val="single" w:sz="8" w:space="0" w:color="FF7B3D" w:themeColor="accent5" w:themeTint="BF"/>
          <w:right w:val="single" w:sz="8" w:space="0" w:color="FF7B3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3BF" w:themeFill="accent5" w:themeFillTint="3F"/>
      </w:tcPr>
    </w:tblStylePr>
    <w:tblStylePr w:type="band1Horz">
      <w:tblPr/>
      <w:tcPr>
        <w:tcBorders>
          <w:insideH w:val="nil"/>
          <w:insideV w:val="nil"/>
        </w:tcBorders>
        <w:shd w:val="clear" w:color="auto" w:fill="FFD3BF"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51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51B" w:themeFill="accent1"/>
      </w:tcPr>
    </w:tblStylePr>
    <w:tblStylePr w:type="lastCol">
      <w:rPr>
        <w:b/>
        <w:bCs/>
        <w:color w:val="FFFFFF" w:themeColor="background1"/>
      </w:rPr>
      <w:tblPr/>
      <w:tcPr>
        <w:tcBorders>
          <w:left w:val="nil"/>
          <w:right w:val="nil"/>
          <w:insideH w:val="nil"/>
          <w:insideV w:val="nil"/>
        </w:tcBorders>
        <w:shd w:val="clear" w:color="auto" w:fill="0C251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02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028" w:themeFill="accent2"/>
      </w:tcPr>
    </w:tblStylePr>
    <w:tblStylePr w:type="lastCol">
      <w:rPr>
        <w:b/>
        <w:bCs/>
        <w:color w:val="FFFFFF" w:themeColor="background1"/>
      </w:rPr>
      <w:tblPr/>
      <w:tcPr>
        <w:tcBorders>
          <w:left w:val="nil"/>
          <w:right w:val="nil"/>
          <w:insideH w:val="nil"/>
          <w:insideV w:val="nil"/>
        </w:tcBorders>
        <w:shd w:val="clear" w:color="auto" w:fill="00402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F7E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F7EE" w:themeFill="accent3"/>
      </w:tcPr>
    </w:tblStylePr>
    <w:tblStylePr w:type="lastCol">
      <w:rPr>
        <w:b/>
        <w:bCs/>
        <w:color w:val="FFFFFF" w:themeColor="background1"/>
      </w:rPr>
      <w:tblPr/>
      <w:tcPr>
        <w:tcBorders>
          <w:left w:val="nil"/>
          <w:right w:val="nil"/>
          <w:insideH w:val="nil"/>
          <w:insideV w:val="nil"/>
        </w:tcBorders>
        <w:shd w:val="clear" w:color="auto" w:fill="F7F7E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3EAE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3EAE1" w:themeFill="accent4"/>
      </w:tcPr>
    </w:tblStylePr>
    <w:tblStylePr w:type="lastCol">
      <w:rPr>
        <w:b/>
        <w:bCs/>
        <w:color w:val="FFFFFF" w:themeColor="background1"/>
      </w:rPr>
      <w:tblPr/>
      <w:tcPr>
        <w:tcBorders>
          <w:left w:val="nil"/>
          <w:right w:val="nil"/>
          <w:insideH w:val="nil"/>
          <w:insideV w:val="nil"/>
        </w:tcBorders>
        <w:shd w:val="clear" w:color="auto" w:fill="F3EAE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C52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C5200" w:themeFill="accent5"/>
      </w:tcPr>
    </w:tblStylePr>
    <w:tblStylePr w:type="lastCol">
      <w:rPr>
        <w:b/>
        <w:bCs/>
        <w:color w:val="FFFFFF" w:themeColor="background1"/>
      </w:rPr>
      <w:tblPr/>
      <w:tcPr>
        <w:tcBorders>
          <w:left w:val="nil"/>
          <w:right w:val="nil"/>
          <w:insideH w:val="nil"/>
          <w:insideV w:val="nil"/>
        </w:tcBorders>
        <w:shd w:val="clear" w:color="auto" w:fill="FC52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FF" w:themeFill="accent6"/>
      </w:tcPr>
    </w:tblStylePr>
    <w:tblStylePr w:type="lastCol">
      <w:rPr>
        <w:b/>
        <w:bCs/>
        <w:color w:val="FFFFFF" w:themeColor="background1"/>
      </w:rPr>
      <w:tblPr/>
      <w:tcPr>
        <w:tcBorders>
          <w:left w:val="nil"/>
          <w:right w:val="nil"/>
          <w:insideH w:val="nil"/>
          <w:insideV w:val="nil"/>
        </w:tcBorders>
        <w:shd w:val="clear" w:color="auto" w:fill="FFF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C251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rPr>
        <w:rFonts w:asciiTheme="majorHAnsi" w:eastAsiaTheme="majorEastAsia" w:hAnsiTheme="majorHAnsi" w:cstheme="majorBidi"/>
      </w:rPr>
      <w:tblPr/>
      <w:tcPr>
        <w:tcBorders>
          <w:top w:val="nil"/>
          <w:bottom w:val="single" w:sz="8" w:space="0" w:color="0C251B" w:themeColor="accent1"/>
        </w:tcBorders>
      </w:tcPr>
    </w:tblStylePr>
    <w:tblStylePr w:type="lastRow">
      <w:rPr>
        <w:b/>
        <w:bCs/>
        <w:color w:val="0C251B" w:themeColor="text2"/>
      </w:rPr>
      <w:tblPr/>
      <w:tcPr>
        <w:tcBorders>
          <w:top w:val="single" w:sz="8" w:space="0" w:color="0C251B" w:themeColor="accent1"/>
          <w:bottom w:val="single" w:sz="8" w:space="0" w:color="0C251B" w:themeColor="accent1"/>
        </w:tcBorders>
      </w:tcPr>
    </w:tblStylePr>
    <w:tblStylePr w:type="firstCol">
      <w:rPr>
        <w:b/>
        <w:bCs/>
      </w:rPr>
    </w:tblStylePr>
    <w:tblStylePr w:type="lastCol">
      <w:rPr>
        <w:b/>
        <w:bCs/>
      </w:rPr>
      <w:tblPr/>
      <w:tcPr>
        <w:tcBorders>
          <w:top w:val="single" w:sz="8" w:space="0" w:color="0C251B" w:themeColor="accent1"/>
          <w:bottom w:val="single" w:sz="8" w:space="0" w:color="0C251B" w:themeColor="accent1"/>
        </w:tcBorders>
      </w:tcPr>
    </w:tblStylePr>
    <w:tblStylePr w:type="band1Vert">
      <w:tblPr/>
      <w:tcPr>
        <w:shd w:val="clear" w:color="auto" w:fill="A8E3CB" w:themeFill="accent1" w:themeFillTint="3F"/>
      </w:tcPr>
    </w:tblStylePr>
    <w:tblStylePr w:type="band1Horz">
      <w:tblPr/>
      <w:tcPr>
        <w:shd w:val="clear" w:color="auto" w:fill="A8E3CB" w:themeFill="accent1" w:themeFillTint="3F"/>
      </w:tcPr>
    </w:tblStylePr>
  </w:style>
  <w:style w:type="table" w:styleId="Gemiddeldelijst1-accent2">
    <w:name w:val="Medium List 1 Accent 2"/>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rPr>
        <w:rFonts w:asciiTheme="majorHAnsi" w:eastAsiaTheme="majorEastAsia" w:hAnsiTheme="majorHAnsi" w:cstheme="majorBidi"/>
      </w:rPr>
      <w:tblPr/>
      <w:tcPr>
        <w:tcBorders>
          <w:top w:val="nil"/>
          <w:bottom w:val="single" w:sz="8" w:space="0" w:color="004028" w:themeColor="accent2"/>
        </w:tcBorders>
      </w:tcPr>
    </w:tblStylePr>
    <w:tblStylePr w:type="lastRow">
      <w:rPr>
        <w:b/>
        <w:bCs/>
        <w:color w:val="0C251B" w:themeColor="text2"/>
      </w:rPr>
      <w:tblPr/>
      <w:tcPr>
        <w:tcBorders>
          <w:top w:val="single" w:sz="8" w:space="0" w:color="004028" w:themeColor="accent2"/>
          <w:bottom w:val="single" w:sz="8" w:space="0" w:color="004028" w:themeColor="accent2"/>
        </w:tcBorders>
      </w:tcPr>
    </w:tblStylePr>
    <w:tblStylePr w:type="firstCol">
      <w:rPr>
        <w:b/>
        <w:bCs/>
      </w:rPr>
    </w:tblStylePr>
    <w:tblStylePr w:type="lastCol">
      <w:rPr>
        <w:b/>
        <w:bCs/>
      </w:rPr>
      <w:tblPr/>
      <w:tcPr>
        <w:tcBorders>
          <w:top w:val="single" w:sz="8" w:space="0" w:color="004028" w:themeColor="accent2"/>
          <w:bottom w:val="single" w:sz="8" w:space="0" w:color="004028" w:themeColor="accent2"/>
        </w:tcBorders>
      </w:tcPr>
    </w:tblStylePr>
    <w:tblStylePr w:type="band1Vert">
      <w:tblPr/>
      <w:tcPr>
        <w:shd w:val="clear" w:color="auto" w:fill="90FFD5" w:themeFill="accent2" w:themeFillTint="3F"/>
      </w:tcPr>
    </w:tblStylePr>
    <w:tblStylePr w:type="band1Horz">
      <w:tblPr/>
      <w:tcPr>
        <w:shd w:val="clear" w:color="auto" w:fill="90FFD5" w:themeFill="accent2" w:themeFillTint="3F"/>
      </w:tcPr>
    </w:tblStylePr>
  </w:style>
  <w:style w:type="table" w:styleId="Gemiddeldelijst1-accent3">
    <w:name w:val="Medium List 1 Accent 3"/>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rPr>
        <w:rFonts w:asciiTheme="majorHAnsi" w:eastAsiaTheme="majorEastAsia" w:hAnsiTheme="majorHAnsi" w:cstheme="majorBidi"/>
      </w:rPr>
      <w:tblPr/>
      <w:tcPr>
        <w:tcBorders>
          <w:top w:val="nil"/>
          <w:bottom w:val="single" w:sz="8" w:space="0" w:color="F7F7EE" w:themeColor="accent3"/>
        </w:tcBorders>
      </w:tcPr>
    </w:tblStylePr>
    <w:tblStylePr w:type="lastRow">
      <w:rPr>
        <w:b/>
        <w:bCs/>
        <w:color w:val="0C251B" w:themeColor="text2"/>
      </w:rPr>
      <w:tblPr/>
      <w:tcPr>
        <w:tcBorders>
          <w:top w:val="single" w:sz="8" w:space="0" w:color="F7F7EE" w:themeColor="accent3"/>
          <w:bottom w:val="single" w:sz="8" w:space="0" w:color="F7F7EE" w:themeColor="accent3"/>
        </w:tcBorders>
      </w:tcPr>
    </w:tblStylePr>
    <w:tblStylePr w:type="firstCol">
      <w:rPr>
        <w:b/>
        <w:bCs/>
      </w:rPr>
    </w:tblStylePr>
    <w:tblStylePr w:type="lastCol">
      <w:rPr>
        <w:b/>
        <w:bCs/>
      </w:rPr>
      <w:tblPr/>
      <w:tcPr>
        <w:tcBorders>
          <w:top w:val="single" w:sz="8" w:space="0" w:color="F7F7EE" w:themeColor="accent3"/>
          <w:bottom w:val="single" w:sz="8" w:space="0" w:color="F7F7EE" w:themeColor="accent3"/>
        </w:tcBorders>
      </w:tcPr>
    </w:tblStylePr>
    <w:tblStylePr w:type="band1Vert">
      <w:tblPr/>
      <w:tcPr>
        <w:shd w:val="clear" w:color="auto" w:fill="FDFDFA" w:themeFill="accent3" w:themeFillTint="3F"/>
      </w:tcPr>
    </w:tblStylePr>
    <w:tblStylePr w:type="band1Horz">
      <w:tblPr/>
      <w:tcPr>
        <w:shd w:val="clear" w:color="auto" w:fill="FDFDFA" w:themeFill="accent3" w:themeFillTint="3F"/>
      </w:tcPr>
    </w:tblStylePr>
  </w:style>
  <w:style w:type="table" w:styleId="Gemiddeldelijst1-accent4">
    <w:name w:val="Medium List 1 Accent 4"/>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rPr>
        <w:rFonts w:asciiTheme="majorHAnsi" w:eastAsiaTheme="majorEastAsia" w:hAnsiTheme="majorHAnsi" w:cstheme="majorBidi"/>
      </w:rPr>
      <w:tblPr/>
      <w:tcPr>
        <w:tcBorders>
          <w:top w:val="nil"/>
          <w:bottom w:val="single" w:sz="8" w:space="0" w:color="F3EAE1" w:themeColor="accent4"/>
        </w:tcBorders>
      </w:tcPr>
    </w:tblStylePr>
    <w:tblStylePr w:type="lastRow">
      <w:rPr>
        <w:b/>
        <w:bCs/>
        <w:color w:val="0C251B" w:themeColor="text2"/>
      </w:rPr>
      <w:tblPr/>
      <w:tcPr>
        <w:tcBorders>
          <w:top w:val="single" w:sz="8" w:space="0" w:color="F3EAE1" w:themeColor="accent4"/>
          <w:bottom w:val="single" w:sz="8" w:space="0" w:color="F3EAE1" w:themeColor="accent4"/>
        </w:tcBorders>
      </w:tcPr>
    </w:tblStylePr>
    <w:tblStylePr w:type="firstCol">
      <w:rPr>
        <w:b/>
        <w:bCs/>
      </w:rPr>
    </w:tblStylePr>
    <w:tblStylePr w:type="lastCol">
      <w:rPr>
        <w:b/>
        <w:bCs/>
      </w:rPr>
      <w:tblPr/>
      <w:tcPr>
        <w:tcBorders>
          <w:top w:val="single" w:sz="8" w:space="0" w:color="F3EAE1" w:themeColor="accent4"/>
          <w:bottom w:val="single" w:sz="8" w:space="0" w:color="F3EAE1" w:themeColor="accent4"/>
        </w:tcBorders>
      </w:tcPr>
    </w:tblStylePr>
    <w:tblStylePr w:type="band1Vert">
      <w:tblPr/>
      <w:tcPr>
        <w:shd w:val="clear" w:color="auto" w:fill="FCF9F7" w:themeFill="accent4" w:themeFillTint="3F"/>
      </w:tcPr>
    </w:tblStylePr>
    <w:tblStylePr w:type="band1Horz">
      <w:tblPr/>
      <w:tcPr>
        <w:shd w:val="clear" w:color="auto" w:fill="FCF9F7" w:themeFill="accent4" w:themeFillTint="3F"/>
      </w:tcPr>
    </w:tblStylePr>
  </w:style>
  <w:style w:type="table" w:styleId="Gemiddeldelijst1-accent5">
    <w:name w:val="Medium List 1 Accent 5"/>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rPr>
        <w:rFonts w:asciiTheme="majorHAnsi" w:eastAsiaTheme="majorEastAsia" w:hAnsiTheme="majorHAnsi" w:cstheme="majorBidi"/>
      </w:rPr>
      <w:tblPr/>
      <w:tcPr>
        <w:tcBorders>
          <w:top w:val="nil"/>
          <w:bottom w:val="single" w:sz="8" w:space="0" w:color="FC5200" w:themeColor="accent5"/>
        </w:tcBorders>
      </w:tcPr>
    </w:tblStylePr>
    <w:tblStylePr w:type="lastRow">
      <w:rPr>
        <w:b/>
        <w:bCs/>
        <w:color w:val="0C251B" w:themeColor="text2"/>
      </w:rPr>
      <w:tblPr/>
      <w:tcPr>
        <w:tcBorders>
          <w:top w:val="single" w:sz="8" w:space="0" w:color="FC5200" w:themeColor="accent5"/>
          <w:bottom w:val="single" w:sz="8" w:space="0" w:color="FC5200" w:themeColor="accent5"/>
        </w:tcBorders>
      </w:tcPr>
    </w:tblStylePr>
    <w:tblStylePr w:type="firstCol">
      <w:rPr>
        <w:b/>
        <w:bCs/>
      </w:rPr>
    </w:tblStylePr>
    <w:tblStylePr w:type="lastCol">
      <w:rPr>
        <w:b/>
        <w:bCs/>
      </w:rPr>
      <w:tblPr/>
      <w:tcPr>
        <w:tcBorders>
          <w:top w:val="single" w:sz="8" w:space="0" w:color="FC5200" w:themeColor="accent5"/>
          <w:bottom w:val="single" w:sz="8" w:space="0" w:color="FC5200" w:themeColor="accent5"/>
        </w:tcBorders>
      </w:tcPr>
    </w:tblStylePr>
    <w:tblStylePr w:type="band1Vert">
      <w:tblPr/>
      <w:tcPr>
        <w:shd w:val="clear" w:color="auto" w:fill="FFD3BF" w:themeFill="accent5" w:themeFillTint="3F"/>
      </w:tcPr>
    </w:tblStylePr>
    <w:tblStylePr w:type="band1Horz">
      <w:tblPr/>
      <w:tcPr>
        <w:shd w:val="clear" w:color="auto" w:fill="FFD3BF" w:themeFill="accent5" w:themeFillTint="3F"/>
      </w:tcPr>
    </w:tblStylePr>
  </w:style>
  <w:style w:type="table" w:styleId="Gemiddeldelijst1-accent6">
    <w:name w:val="Medium List 1 Accent 6"/>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rPr>
        <w:rFonts w:asciiTheme="majorHAnsi" w:eastAsiaTheme="majorEastAsia" w:hAnsiTheme="majorHAnsi" w:cstheme="majorBidi"/>
      </w:rPr>
      <w:tblPr/>
      <w:tcPr>
        <w:tcBorders>
          <w:top w:val="nil"/>
          <w:bottom w:val="single" w:sz="8" w:space="0" w:color="FFFFFF" w:themeColor="accent6"/>
        </w:tcBorders>
      </w:tcPr>
    </w:tblStylePr>
    <w:tblStylePr w:type="lastRow">
      <w:rPr>
        <w:b/>
        <w:bCs/>
        <w:color w:val="0C251B" w:themeColor="text2"/>
      </w:rPr>
      <w:tblPr/>
      <w:tcPr>
        <w:tcBorders>
          <w:top w:val="single" w:sz="8" w:space="0" w:color="FFFFFF" w:themeColor="accent6"/>
          <w:bottom w:val="single" w:sz="8" w:space="0" w:color="FFFFFF" w:themeColor="accent6"/>
        </w:tcBorders>
      </w:tcPr>
    </w:tblStylePr>
    <w:tblStylePr w:type="firstCol">
      <w:rPr>
        <w:b/>
        <w:bCs/>
      </w:rPr>
    </w:tblStylePr>
    <w:tblStylePr w:type="lastCol">
      <w:rPr>
        <w:b/>
        <w:bCs/>
      </w:rPr>
      <w:tblPr/>
      <w:tcPr>
        <w:tcBorders>
          <w:top w:val="single" w:sz="8" w:space="0" w:color="FFFFFF" w:themeColor="accent6"/>
          <w:bottom w:val="single" w:sz="8" w:space="0" w:color="FFFFFF" w:themeColor="accent6"/>
        </w:tcBorders>
      </w:tcPr>
    </w:tblStylePr>
    <w:tblStylePr w:type="band1Vert">
      <w:tblPr/>
      <w:tcPr>
        <w:shd w:val="clear" w:color="auto" w:fill="FFFFFF" w:themeFill="accent6" w:themeFillTint="3F"/>
      </w:tcPr>
    </w:tblStylePr>
    <w:tblStylePr w:type="band1Horz">
      <w:tblPr/>
      <w:tcPr>
        <w:shd w:val="clear" w:color="auto" w:fill="FFFFFF" w:themeFill="accent6" w:themeFillTint="3F"/>
      </w:tcPr>
    </w:tblStylePr>
  </w:style>
  <w:style w:type="table" w:styleId="Gemiddeldelijst2">
    <w:name w:val="Medium List 2"/>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rPr>
        <w:sz w:val="24"/>
        <w:szCs w:val="24"/>
      </w:rPr>
      <w:tblPr/>
      <w:tcPr>
        <w:tcBorders>
          <w:top w:val="nil"/>
          <w:left w:val="nil"/>
          <w:bottom w:val="single" w:sz="24" w:space="0" w:color="0C251B" w:themeColor="accent1"/>
          <w:right w:val="nil"/>
          <w:insideH w:val="nil"/>
          <w:insideV w:val="nil"/>
        </w:tcBorders>
        <w:shd w:val="clear" w:color="auto" w:fill="FFFFFF" w:themeFill="background1"/>
      </w:tcPr>
    </w:tblStylePr>
    <w:tblStylePr w:type="lastRow">
      <w:tblPr/>
      <w:tcPr>
        <w:tcBorders>
          <w:top w:val="single" w:sz="8" w:space="0" w:color="0C251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51B" w:themeColor="accent1"/>
          <w:insideH w:val="nil"/>
          <w:insideV w:val="nil"/>
        </w:tcBorders>
        <w:shd w:val="clear" w:color="auto" w:fill="FFFFFF" w:themeFill="background1"/>
      </w:tcPr>
    </w:tblStylePr>
    <w:tblStylePr w:type="lastCol">
      <w:tblPr/>
      <w:tcPr>
        <w:tcBorders>
          <w:top w:val="nil"/>
          <w:left w:val="single" w:sz="8" w:space="0" w:color="0C251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top w:val="nil"/>
          <w:bottom w:val="nil"/>
          <w:insideH w:val="nil"/>
          <w:insideV w:val="nil"/>
        </w:tcBorders>
        <w:shd w:val="clear" w:color="auto" w:fill="A8E3C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rPr>
        <w:sz w:val="24"/>
        <w:szCs w:val="24"/>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tblPr/>
      <w:tcPr>
        <w:tcBorders>
          <w:top w:val="single" w:sz="8" w:space="0" w:color="00402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028" w:themeColor="accent2"/>
          <w:insideH w:val="nil"/>
          <w:insideV w:val="nil"/>
        </w:tcBorders>
        <w:shd w:val="clear" w:color="auto" w:fill="FFFFFF" w:themeFill="background1"/>
      </w:tcPr>
    </w:tblStylePr>
    <w:tblStylePr w:type="lastCol">
      <w:tblPr/>
      <w:tcPr>
        <w:tcBorders>
          <w:top w:val="nil"/>
          <w:left w:val="single" w:sz="8" w:space="0" w:color="00402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top w:val="nil"/>
          <w:bottom w:val="nil"/>
          <w:insideH w:val="nil"/>
          <w:insideV w:val="nil"/>
        </w:tcBorders>
        <w:shd w:val="clear" w:color="auto" w:fill="90FFD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rPr>
        <w:sz w:val="24"/>
        <w:szCs w:val="24"/>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tblPr/>
      <w:tcPr>
        <w:tcBorders>
          <w:top w:val="single" w:sz="8" w:space="0" w:color="F7F7E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F7EE" w:themeColor="accent3"/>
          <w:insideH w:val="nil"/>
          <w:insideV w:val="nil"/>
        </w:tcBorders>
        <w:shd w:val="clear" w:color="auto" w:fill="FFFFFF" w:themeFill="background1"/>
      </w:tcPr>
    </w:tblStylePr>
    <w:tblStylePr w:type="lastCol">
      <w:tblPr/>
      <w:tcPr>
        <w:tcBorders>
          <w:top w:val="nil"/>
          <w:left w:val="single" w:sz="8" w:space="0" w:color="F7F7E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top w:val="nil"/>
          <w:bottom w:val="nil"/>
          <w:insideH w:val="nil"/>
          <w:insideV w:val="nil"/>
        </w:tcBorders>
        <w:shd w:val="clear" w:color="auto" w:fill="FDFD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rPr>
        <w:sz w:val="24"/>
        <w:szCs w:val="24"/>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tblPr/>
      <w:tcPr>
        <w:tcBorders>
          <w:top w:val="single" w:sz="8" w:space="0" w:color="F3EAE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3EAE1" w:themeColor="accent4"/>
          <w:insideH w:val="nil"/>
          <w:insideV w:val="nil"/>
        </w:tcBorders>
        <w:shd w:val="clear" w:color="auto" w:fill="FFFFFF" w:themeFill="background1"/>
      </w:tcPr>
    </w:tblStylePr>
    <w:tblStylePr w:type="lastCol">
      <w:tblPr/>
      <w:tcPr>
        <w:tcBorders>
          <w:top w:val="nil"/>
          <w:left w:val="single" w:sz="8" w:space="0" w:color="F3EAE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top w:val="nil"/>
          <w:bottom w:val="nil"/>
          <w:insideH w:val="nil"/>
          <w:insideV w:val="nil"/>
        </w:tcBorders>
        <w:shd w:val="clear" w:color="auto" w:fill="FCF9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rPr>
        <w:sz w:val="24"/>
        <w:szCs w:val="24"/>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tblPr/>
      <w:tcPr>
        <w:tcBorders>
          <w:top w:val="single" w:sz="8" w:space="0" w:color="FC52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C5200" w:themeColor="accent5"/>
          <w:insideH w:val="nil"/>
          <w:insideV w:val="nil"/>
        </w:tcBorders>
        <w:shd w:val="clear" w:color="auto" w:fill="FFFFFF" w:themeFill="background1"/>
      </w:tcPr>
    </w:tblStylePr>
    <w:tblStylePr w:type="lastCol">
      <w:tblPr/>
      <w:tcPr>
        <w:tcBorders>
          <w:top w:val="nil"/>
          <w:left w:val="single" w:sz="8" w:space="0" w:color="FC52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top w:val="nil"/>
          <w:bottom w:val="nil"/>
          <w:insideH w:val="nil"/>
          <w:insideV w:val="nil"/>
        </w:tcBorders>
        <w:shd w:val="clear" w:color="auto" w:fill="FFD3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59"/>
    <w:semiHidden/>
    <w:unhideWhenUsed/>
    <w:rsid w:val="00802144"/>
    <w:pPr>
      <w:spacing w:after="0" w:line="240" w:lineRule="auto"/>
    </w:pPr>
    <w:rPr>
      <w:rFonts w:asciiTheme="majorHAnsi" w:eastAsiaTheme="majorEastAsia" w:hAnsiTheme="majorHAnsi" w:cstheme="majorBidi"/>
      <w:color w:val="000000" w:themeColor="text1"/>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rPr>
        <w:sz w:val="24"/>
        <w:szCs w:val="24"/>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tblPr/>
      <w:tcPr>
        <w:tcBorders>
          <w:top w:val="single" w:sz="8" w:space="0" w:color="FFF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FF" w:themeColor="accent6"/>
          <w:insideH w:val="nil"/>
          <w:insideV w:val="nil"/>
        </w:tcBorders>
        <w:shd w:val="clear" w:color="auto" w:fill="FFFFFF" w:themeFill="background1"/>
      </w:tcPr>
    </w:tblStylePr>
    <w:tblStylePr w:type="lastCol">
      <w:tblPr/>
      <w:tcPr>
        <w:tcBorders>
          <w:top w:val="nil"/>
          <w:left w:val="single" w:sz="8" w:space="0" w:color="FFF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top w:val="nil"/>
          <w:bottom w:val="nil"/>
          <w:insideH w:val="nil"/>
          <w:insideV w:val="nil"/>
        </w:tcBorders>
        <w:shd w:val="clear" w:color="auto" w:fill="FFF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59"/>
    <w:semiHidden/>
    <w:unhideWhenUsed/>
    <w:rsid w:val="00802144"/>
    <w:rPr>
      <w:color w:val="0C251B" w:themeColor="followedHyperlink"/>
      <w:u w:val="single"/>
    </w:rPr>
  </w:style>
  <w:style w:type="paragraph" w:styleId="Handtekening">
    <w:name w:val="Signature"/>
    <w:basedOn w:val="Standaard"/>
    <w:link w:val="HandtekeningChar"/>
    <w:uiPriority w:val="59"/>
    <w:semiHidden/>
    <w:unhideWhenUsed/>
    <w:rsid w:val="00802144"/>
    <w:pPr>
      <w:spacing w:line="240" w:lineRule="auto"/>
      <w:ind w:left="4252"/>
    </w:pPr>
  </w:style>
  <w:style w:type="character" w:customStyle="1" w:styleId="HandtekeningChar">
    <w:name w:val="Handtekening Char"/>
    <w:basedOn w:val="Standaardalinea-lettertype"/>
    <w:link w:val="Handtekening"/>
    <w:uiPriority w:val="59"/>
    <w:semiHidden/>
    <w:rsid w:val="00802144"/>
    <w:rPr>
      <w:rFonts w:ascii="Merriweather" w:hAnsi="Merriweather"/>
      <w:kern w:val="0"/>
      <w:sz w:val="17"/>
      <w:szCs w:val="20"/>
      <w:lang w:val="en-US"/>
      <w14:ligatures w14:val="none"/>
    </w:rPr>
  </w:style>
  <w:style w:type="character" w:styleId="Hashtag">
    <w:name w:val="Hashtag"/>
    <w:basedOn w:val="Standaardalinea-lettertype"/>
    <w:uiPriority w:val="59"/>
    <w:semiHidden/>
    <w:unhideWhenUsed/>
    <w:rsid w:val="00802144"/>
    <w:rPr>
      <w:color w:val="2B579A"/>
      <w:shd w:val="clear" w:color="auto" w:fill="E1DFDD"/>
    </w:rPr>
  </w:style>
  <w:style w:type="paragraph" w:styleId="HTML-voorafopgemaakt">
    <w:name w:val="HTML Preformatted"/>
    <w:basedOn w:val="Standaard"/>
    <w:link w:val="HTML-voorafopgemaaktChar"/>
    <w:uiPriority w:val="59"/>
    <w:semiHidden/>
    <w:unhideWhenUsed/>
    <w:rsid w:val="00802144"/>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59"/>
    <w:semiHidden/>
    <w:rsid w:val="00802144"/>
    <w:rPr>
      <w:rFonts w:ascii="Consolas" w:hAnsi="Consolas"/>
      <w:kern w:val="0"/>
      <w:sz w:val="17"/>
      <w:szCs w:val="20"/>
      <w:lang w:val="en-US"/>
      <w14:ligatures w14:val="none"/>
    </w:rPr>
  </w:style>
  <w:style w:type="character" w:styleId="HTMLCode">
    <w:name w:val="HTML Code"/>
    <w:basedOn w:val="Standaardalinea-lettertype"/>
    <w:uiPriority w:val="59"/>
    <w:semiHidden/>
    <w:unhideWhenUsed/>
    <w:rsid w:val="00802144"/>
    <w:rPr>
      <w:rFonts w:ascii="Consolas" w:hAnsi="Consolas"/>
      <w:sz w:val="20"/>
      <w:szCs w:val="20"/>
    </w:rPr>
  </w:style>
  <w:style w:type="character" w:styleId="HTMLDefinition">
    <w:name w:val="HTML Definition"/>
    <w:basedOn w:val="Standaardalinea-lettertype"/>
    <w:uiPriority w:val="59"/>
    <w:semiHidden/>
    <w:unhideWhenUsed/>
    <w:rsid w:val="00802144"/>
    <w:rPr>
      <w:i/>
      <w:iCs/>
    </w:rPr>
  </w:style>
  <w:style w:type="character" w:styleId="HTMLVariable">
    <w:name w:val="HTML Variable"/>
    <w:basedOn w:val="Standaardalinea-lettertype"/>
    <w:uiPriority w:val="59"/>
    <w:semiHidden/>
    <w:unhideWhenUsed/>
    <w:rsid w:val="00802144"/>
    <w:rPr>
      <w:i/>
      <w:iCs/>
    </w:rPr>
  </w:style>
  <w:style w:type="character" w:styleId="HTML-acroniem">
    <w:name w:val="HTML Acronym"/>
    <w:basedOn w:val="Standaardalinea-lettertype"/>
    <w:uiPriority w:val="59"/>
    <w:semiHidden/>
    <w:unhideWhenUsed/>
    <w:rsid w:val="00802144"/>
  </w:style>
  <w:style w:type="paragraph" w:styleId="HTML-adres">
    <w:name w:val="HTML Address"/>
    <w:basedOn w:val="Standaard"/>
    <w:link w:val="HTML-adresChar"/>
    <w:uiPriority w:val="59"/>
    <w:semiHidden/>
    <w:unhideWhenUsed/>
    <w:rsid w:val="00802144"/>
    <w:pPr>
      <w:spacing w:line="240" w:lineRule="auto"/>
    </w:pPr>
    <w:rPr>
      <w:i/>
      <w:iCs/>
    </w:rPr>
  </w:style>
  <w:style w:type="character" w:customStyle="1" w:styleId="HTML-adresChar">
    <w:name w:val="HTML-adres Char"/>
    <w:basedOn w:val="Standaardalinea-lettertype"/>
    <w:link w:val="HTML-adres"/>
    <w:uiPriority w:val="59"/>
    <w:semiHidden/>
    <w:rsid w:val="00802144"/>
    <w:rPr>
      <w:rFonts w:ascii="Merriweather" w:hAnsi="Merriweather"/>
      <w:i/>
      <w:iCs/>
      <w:kern w:val="0"/>
      <w:sz w:val="17"/>
      <w:szCs w:val="20"/>
      <w:lang w:val="en-US"/>
      <w14:ligatures w14:val="none"/>
    </w:rPr>
  </w:style>
  <w:style w:type="character" w:styleId="HTML-citaat">
    <w:name w:val="HTML Cite"/>
    <w:basedOn w:val="Standaardalinea-lettertype"/>
    <w:uiPriority w:val="59"/>
    <w:semiHidden/>
    <w:unhideWhenUsed/>
    <w:rsid w:val="00802144"/>
    <w:rPr>
      <w:i/>
      <w:iCs/>
    </w:rPr>
  </w:style>
  <w:style w:type="character" w:styleId="HTML-schrijfmachine">
    <w:name w:val="HTML Typewriter"/>
    <w:basedOn w:val="Standaardalinea-lettertype"/>
    <w:uiPriority w:val="59"/>
    <w:semiHidden/>
    <w:unhideWhenUsed/>
    <w:rsid w:val="00802144"/>
    <w:rPr>
      <w:rFonts w:ascii="Consolas" w:hAnsi="Consolas"/>
      <w:sz w:val="20"/>
      <w:szCs w:val="20"/>
    </w:rPr>
  </w:style>
  <w:style w:type="character" w:styleId="HTML-toetsenbord">
    <w:name w:val="HTML Keyboard"/>
    <w:basedOn w:val="Standaardalinea-lettertype"/>
    <w:uiPriority w:val="59"/>
    <w:semiHidden/>
    <w:unhideWhenUsed/>
    <w:rsid w:val="00802144"/>
    <w:rPr>
      <w:rFonts w:ascii="Consolas" w:hAnsi="Consolas"/>
      <w:sz w:val="20"/>
      <w:szCs w:val="20"/>
    </w:rPr>
  </w:style>
  <w:style w:type="character" w:styleId="HTML-voorbeeld">
    <w:name w:val="HTML Sample"/>
    <w:basedOn w:val="Standaardalinea-lettertype"/>
    <w:uiPriority w:val="59"/>
    <w:semiHidden/>
    <w:unhideWhenUsed/>
    <w:rsid w:val="00802144"/>
    <w:rPr>
      <w:rFonts w:ascii="Consolas" w:hAnsi="Consolas"/>
      <w:sz w:val="24"/>
      <w:szCs w:val="24"/>
    </w:rPr>
  </w:style>
  <w:style w:type="character" w:styleId="Hyperlink">
    <w:name w:val="Hyperlink"/>
    <w:basedOn w:val="Standaardalinea-lettertype"/>
    <w:uiPriority w:val="59"/>
    <w:semiHidden/>
    <w:unhideWhenUsed/>
    <w:rsid w:val="00802144"/>
    <w:rPr>
      <w:color w:val="0C251B" w:themeColor="hyperlink"/>
      <w:u w:val="single"/>
    </w:rPr>
  </w:style>
  <w:style w:type="paragraph" w:styleId="Index1">
    <w:name w:val="index 1"/>
    <w:basedOn w:val="Standaard"/>
    <w:next w:val="Standaard"/>
    <w:autoRedefine/>
    <w:uiPriority w:val="59"/>
    <w:semiHidden/>
    <w:unhideWhenUsed/>
    <w:rsid w:val="00802144"/>
    <w:pPr>
      <w:spacing w:line="240" w:lineRule="auto"/>
      <w:ind w:left="200" w:hanging="200"/>
    </w:pPr>
  </w:style>
  <w:style w:type="paragraph" w:styleId="Index2">
    <w:name w:val="index 2"/>
    <w:basedOn w:val="Standaard"/>
    <w:next w:val="Standaard"/>
    <w:autoRedefine/>
    <w:uiPriority w:val="59"/>
    <w:semiHidden/>
    <w:unhideWhenUsed/>
    <w:rsid w:val="00802144"/>
    <w:pPr>
      <w:spacing w:line="240" w:lineRule="auto"/>
      <w:ind w:left="400" w:hanging="200"/>
    </w:pPr>
  </w:style>
  <w:style w:type="paragraph" w:styleId="Index3">
    <w:name w:val="index 3"/>
    <w:basedOn w:val="Standaard"/>
    <w:next w:val="Standaard"/>
    <w:autoRedefine/>
    <w:uiPriority w:val="59"/>
    <w:semiHidden/>
    <w:unhideWhenUsed/>
    <w:rsid w:val="00802144"/>
    <w:pPr>
      <w:spacing w:line="240" w:lineRule="auto"/>
      <w:ind w:left="600" w:hanging="200"/>
    </w:pPr>
  </w:style>
  <w:style w:type="paragraph" w:styleId="Index4">
    <w:name w:val="index 4"/>
    <w:basedOn w:val="Standaard"/>
    <w:next w:val="Standaard"/>
    <w:autoRedefine/>
    <w:uiPriority w:val="59"/>
    <w:semiHidden/>
    <w:unhideWhenUsed/>
    <w:rsid w:val="00802144"/>
    <w:pPr>
      <w:spacing w:line="240" w:lineRule="auto"/>
      <w:ind w:left="800" w:hanging="200"/>
    </w:pPr>
  </w:style>
  <w:style w:type="paragraph" w:styleId="Index5">
    <w:name w:val="index 5"/>
    <w:basedOn w:val="Standaard"/>
    <w:next w:val="Standaard"/>
    <w:autoRedefine/>
    <w:uiPriority w:val="59"/>
    <w:semiHidden/>
    <w:unhideWhenUsed/>
    <w:rsid w:val="00802144"/>
    <w:pPr>
      <w:spacing w:line="240" w:lineRule="auto"/>
      <w:ind w:left="1000" w:hanging="200"/>
    </w:pPr>
  </w:style>
  <w:style w:type="paragraph" w:styleId="Index6">
    <w:name w:val="index 6"/>
    <w:basedOn w:val="Standaard"/>
    <w:next w:val="Standaard"/>
    <w:autoRedefine/>
    <w:uiPriority w:val="59"/>
    <w:semiHidden/>
    <w:unhideWhenUsed/>
    <w:rsid w:val="00802144"/>
    <w:pPr>
      <w:spacing w:line="240" w:lineRule="auto"/>
      <w:ind w:left="1200" w:hanging="200"/>
    </w:pPr>
  </w:style>
  <w:style w:type="paragraph" w:styleId="Index7">
    <w:name w:val="index 7"/>
    <w:basedOn w:val="Standaard"/>
    <w:next w:val="Standaard"/>
    <w:autoRedefine/>
    <w:uiPriority w:val="59"/>
    <w:semiHidden/>
    <w:unhideWhenUsed/>
    <w:rsid w:val="00802144"/>
    <w:pPr>
      <w:spacing w:line="240" w:lineRule="auto"/>
      <w:ind w:left="1400" w:hanging="200"/>
    </w:pPr>
  </w:style>
  <w:style w:type="paragraph" w:styleId="Index8">
    <w:name w:val="index 8"/>
    <w:basedOn w:val="Standaard"/>
    <w:next w:val="Standaard"/>
    <w:autoRedefine/>
    <w:uiPriority w:val="59"/>
    <w:semiHidden/>
    <w:unhideWhenUsed/>
    <w:rsid w:val="00802144"/>
    <w:pPr>
      <w:spacing w:line="240" w:lineRule="auto"/>
      <w:ind w:left="1600" w:hanging="200"/>
    </w:pPr>
  </w:style>
  <w:style w:type="paragraph" w:styleId="Index9">
    <w:name w:val="index 9"/>
    <w:basedOn w:val="Standaard"/>
    <w:next w:val="Standaard"/>
    <w:autoRedefine/>
    <w:uiPriority w:val="59"/>
    <w:semiHidden/>
    <w:unhideWhenUsed/>
    <w:rsid w:val="00802144"/>
    <w:pPr>
      <w:spacing w:line="240" w:lineRule="auto"/>
      <w:ind w:left="1800" w:hanging="200"/>
    </w:pPr>
  </w:style>
  <w:style w:type="paragraph" w:styleId="Indexkop">
    <w:name w:val="index heading"/>
    <w:basedOn w:val="Standaard"/>
    <w:next w:val="Index1"/>
    <w:uiPriority w:val="59"/>
    <w:semiHidden/>
    <w:unhideWhenUsed/>
    <w:rsid w:val="00802144"/>
    <w:rPr>
      <w:rFonts w:asciiTheme="majorHAnsi" w:eastAsiaTheme="majorEastAsia" w:hAnsiTheme="majorHAnsi" w:cstheme="majorBidi"/>
      <w:b/>
      <w:bCs/>
    </w:rPr>
  </w:style>
  <w:style w:type="paragraph" w:styleId="Inhopg1">
    <w:name w:val="toc 1"/>
    <w:basedOn w:val="Standaard"/>
    <w:next w:val="Standaard"/>
    <w:autoRedefine/>
    <w:uiPriority w:val="59"/>
    <w:semiHidden/>
    <w:unhideWhenUsed/>
    <w:rsid w:val="00802144"/>
    <w:pPr>
      <w:spacing w:after="100"/>
    </w:pPr>
  </w:style>
  <w:style w:type="paragraph" w:styleId="Inhopg2">
    <w:name w:val="toc 2"/>
    <w:basedOn w:val="Standaard"/>
    <w:next w:val="Standaard"/>
    <w:autoRedefine/>
    <w:uiPriority w:val="59"/>
    <w:semiHidden/>
    <w:unhideWhenUsed/>
    <w:rsid w:val="00802144"/>
    <w:pPr>
      <w:spacing w:after="100"/>
      <w:ind w:left="200"/>
    </w:pPr>
  </w:style>
  <w:style w:type="paragraph" w:styleId="Inhopg3">
    <w:name w:val="toc 3"/>
    <w:basedOn w:val="Standaard"/>
    <w:next w:val="Standaard"/>
    <w:autoRedefine/>
    <w:uiPriority w:val="59"/>
    <w:semiHidden/>
    <w:unhideWhenUsed/>
    <w:rsid w:val="00802144"/>
    <w:pPr>
      <w:spacing w:after="100"/>
      <w:ind w:left="400"/>
    </w:pPr>
  </w:style>
  <w:style w:type="paragraph" w:styleId="Inhopg4">
    <w:name w:val="toc 4"/>
    <w:basedOn w:val="Standaard"/>
    <w:next w:val="Standaard"/>
    <w:autoRedefine/>
    <w:uiPriority w:val="59"/>
    <w:semiHidden/>
    <w:unhideWhenUsed/>
    <w:rsid w:val="00802144"/>
    <w:pPr>
      <w:spacing w:after="100"/>
      <w:ind w:left="600"/>
    </w:pPr>
  </w:style>
  <w:style w:type="paragraph" w:styleId="Inhopg5">
    <w:name w:val="toc 5"/>
    <w:basedOn w:val="Standaard"/>
    <w:next w:val="Standaard"/>
    <w:autoRedefine/>
    <w:uiPriority w:val="59"/>
    <w:semiHidden/>
    <w:unhideWhenUsed/>
    <w:rsid w:val="00802144"/>
    <w:pPr>
      <w:spacing w:after="100"/>
      <w:ind w:left="800"/>
    </w:pPr>
  </w:style>
  <w:style w:type="paragraph" w:styleId="Inhopg6">
    <w:name w:val="toc 6"/>
    <w:basedOn w:val="Standaard"/>
    <w:next w:val="Standaard"/>
    <w:autoRedefine/>
    <w:uiPriority w:val="59"/>
    <w:semiHidden/>
    <w:unhideWhenUsed/>
    <w:rsid w:val="00802144"/>
    <w:pPr>
      <w:spacing w:after="100"/>
      <w:ind w:left="1000"/>
    </w:pPr>
  </w:style>
  <w:style w:type="paragraph" w:styleId="Inhopg7">
    <w:name w:val="toc 7"/>
    <w:basedOn w:val="Standaard"/>
    <w:next w:val="Standaard"/>
    <w:autoRedefine/>
    <w:uiPriority w:val="59"/>
    <w:semiHidden/>
    <w:unhideWhenUsed/>
    <w:rsid w:val="00802144"/>
    <w:pPr>
      <w:spacing w:after="100"/>
      <w:ind w:left="1200"/>
    </w:pPr>
  </w:style>
  <w:style w:type="paragraph" w:styleId="Inhopg8">
    <w:name w:val="toc 8"/>
    <w:basedOn w:val="Standaard"/>
    <w:next w:val="Standaard"/>
    <w:autoRedefine/>
    <w:uiPriority w:val="59"/>
    <w:semiHidden/>
    <w:unhideWhenUsed/>
    <w:rsid w:val="00802144"/>
    <w:pPr>
      <w:spacing w:after="100"/>
      <w:ind w:left="1400"/>
    </w:pPr>
  </w:style>
  <w:style w:type="paragraph" w:styleId="Inhopg9">
    <w:name w:val="toc 9"/>
    <w:basedOn w:val="Standaard"/>
    <w:next w:val="Standaard"/>
    <w:autoRedefine/>
    <w:uiPriority w:val="59"/>
    <w:semiHidden/>
    <w:unhideWhenUsed/>
    <w:rsid w:val="00802144"/>
    <w:pPr>
      <w:spacing w:after="100"/>
      <w:ind w:left="1600"/>
    </w:pPr>
  </w:style>
  <w:style w:type="table" w:styleId="Klassieketabel1">
    <w:name w:val="Table Classic 1"/>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59"/>
    <w:semiHidden/>
    <w:unhideWhenUsed/>
    <w:rsid w:val="00802144"/>
    <w:pPr>
      <w:spacing w:after="0" w:line="252" w:lineRule="auto"/>
    </w:pPr>
    <w:rPr>
      <w:color w:val="000080"/>
      <w:kern w:val="0"/>
      <w:sz w:val="20"/>
      <w:szCs w:val="20"/>
      <w:lang w:val="en-US"/>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B9E8D5" w:themeFill="accent1" w:themeFillTint="33"/>
    </w:tcPr>
    <w:tblStylePr w:type="firstRow">
      <w:rPr>
        <w:b/>
        <w:bCs/>
      </w:rPr>
      <w:tblPr/>
      <w:tcPr>
        <w:shd w:val="clear" w:color="auto" w:fill="73D1AC" w:themeFill="accent1" w:themeFillTint="66"/>
      </w:tcPr>
    </w:tblStylePr>
    <w:tblStylePr w:type="lastRow">
      <w:rPr>
        <w:b/>
        <w:bCs/>
        <w:color w:val="000000" w:themeColor="text1"/>
      </w:rPr>
      <w:tblPr/>
      <w:tcPr>
        <w:shd w:val="clear" w:color="auto" w:fill="73D1AC" w:themeFill="accent1" w:themeFillTint="66"/>
      </w:tcPr>
    </w:tblStylePr>
    <w:tblStylePr w:type="firstCol">
      <w:rPr>
        <w:color w:val="FFFFFF" w:themeColor="background1"/>
      </w:rPr>
      <w:tblPr/>
      <w:tcPr>
        <w:shd w:val="clear" w:color="auto" w:fill="091B14" w:themeFill="accent1" w:themeFillShade="BF"/>
      </w:tcPr>
    </w:tblStylePr>
    <w:tblStylePr w:type="lastCol">
      <w:rPr>
        <w:color w:val="FFFFFF" w:themeColor="background1"/>
      </w:rPr>
      <w:tblPr/>
      <w:tcPr>
        <w:shd w:val="clear" w:color="auto" w:fill="091B14" w:themeFill="accent1" w:themeFillShade="BF"/>
      </w:tcPr>
    </w:tblStylePr>
    <w:tblStylePr w:type="band1Vert">
      <w:tblPr/>
      <w:tcPr>
        <w:shd w:val="clear" w:color="auto" w:fill="51C697" w:themeFill="accent1" w:themeFillTint="7F"/>
      </w:tcPr>
    </w:tblStylePr>
    <w:tblStylePr w:type="band1Horz">
      <w:tblPr/>
      <w:tcPr>
        <w:shd w:val="clear" w:color="auto" w:fill="51C697" w:themeFill="accent1" w:themeFillTint="7F"/>
      </w:tcPr>
    </w:tblStylePr>
  </w:style>
  <w:style w:type="table" w:styleId="Kleurrijkraster-accent2">
    <w:name w:val="Colorful Grid Accent 2"/>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A5FFDD" w:themeFill="accent2" w:themeFillTint="33"/>
    </w:tcPr>
    <w:tblStylePr w:type="firstRow">
      <w:rPr>
        <w:b/>
        <w:bCs/>
      </w:rPr>
      <w:tblPr/>
      <w:tcPr>
        <w:shd w:val="clear" w:color="auto" w:fill="4CFFBB" w:themeFill="accent2" w:themeFillTint="66"/>
      </w:tcPr>
    </w:tblStylePr>
    <w:tblStylePr w:type="lastRow">
      <w:rPr>
        <w:b/>
        <w:bCs/>
        <w:color w:val="000000" w:themeColor="text1"/>
      </w:rPr>
      <w:tblPr/>
      <w:tcPr>
        <w:shd w:val="clear" w:color="auto" w:fill="4CFFBB" w:themeFill="accent2" w:themeFillTint="66"/>
      </w:tcPr>
    </w:tblStylePr>
    <w:tblStylePr w:type="firstCol">
      <w:rPr>
        <w:color w:val="FFFFFF" w:themeColor="background1"/>
      </w:rPr>
      <w:tblPr/>
      <w:tcPr>
        <w:shd w:val="clear" w:color="auto" w:fill="002F1D" w:themeFill="accent2" w:themeFillShade="BF"/>
      </w:tcPr>
    </w:tblStylePr>
    <w:tblStylePr w:type="lastCol">
      <w:rPr>
        <w:color w:val="FFFFFF" w:themeColor="background1"/>
      </w:rPr>
      <w:tblPr/>
      <w:tcPr>
        <w:shd w:val="clear" w:color="auto" w:fill="002F1D" w:themeFill="accent2" w:themeFillShade="BF"/>
      </w:tcPr>
    </w:tblStylePr>
    <w:tblStylePr w:type="band1Vert">
      <w:tblPr/>
      <w:tcPr>
        <w:shd w:val="clear" w:color="auto" w:fill="20FFAB" w:themeFill="accent2" w:themeFillTint="7F"/>
      </w:tcPr>
    </w:tblStylePr>
    <w:tblStylePr w:type="band1Horz">
      <w:tblPr/>
      <w:tcPr>
        <w:shd w:val="clear" w:color="auto" w:fill="20FFAB" w:themeFill="accent2" w:themeFillTint="7F"/>
      </w:tcPr>
    </w:tblStylePr>
  </w:style>
  <w:style w:type="table" w:styleId="Kleurrijkraster-accent3">
    <w:name w:val="Colorful Grid Accent 3"/>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DFDFB" w:themeFill="accent3" w:themeFillTint="33"/>
    </w:tcPr>
    <w:tblStylePr w:type="firstRow">
      <w:rPr>
        <w:b/>
        <w:bCs/>
      </w:rPr>
      <w:tblPr/>
      <w:tcPr>
        <w:shd w:val="clear" w:color="auto" w:fill="FBFBF8" w:themeFill="accent3" w:themeFillTint="66"/>
      </w:tcPr>
    </w:tblStylePr>
    <w:tblStylePr w:type="lastRow">
      <w:rPr>
        <w:b/>
        <w:bCs/>
        <w:color w:val="000000" w:themeColor="text1"/>
      </w:rPr>
      <w:tblPr/>
      <w:tcPr>
        <w:shd w:val="clear" w:color="auto" w:fill="FBFBF8" w:themeFill="accent3" w:themeFillTint="66"/>
      </w:tcPr>
    </w:tblStylePr>
    <w:tblStylePr w:type="firstCol">
      <w:rPr>
        <w:color w:val="FFFFFF" w:themeColor="background1"/>
      </w:rPr>
      <w:tblPr/>
      <w:tcPr>
        <w:shd w:val="clear" w:color="auto" w:fill="D0D09B" w:themeFill="accent3" w:themeFillShade="BF"/>
      </w:tcPr>
    </w:tblStylePr>
    <w:tblStylePr w:type="lastCol">
      <w:rPr>
        <w:color w:val="FFFFFF" w:themeColor="background1"/>
      </w:rPr>
      <w:tblPr/>
      <w:tcPr>
        <w:shd w:val="clear" w:color="auto" w:fill="D0D09B" w:themeFill="accent3" w:themeFillShade="BF"/>
      </w:tcPr>
    </w:tblStylePr>
    <w:tblStylePr w:type="band1Vert">
      <w:tblPr/>
      <w:tcPr>
        <w:shd w:val="clear" w:color="auto" w:fill="FBFBF6" w:themeFill="accent3" w:themeFillTint="7F"/>
      </w:tcPr>
    </w:tblStylePr>
    <w:tblStylePr w:type="band1Horz">
      <w:tblPr/>
      <w:tcPr>
        <w:shd w:val="clear" w:color="auto" w:fill="FBFBF6" w:themeFill="accent3" w:themeFillTint="7F"/>
      </w:tcPr>
    </w:tblStylePr>
  </w:style>
  <w:style w:type="table" w:styleId="Kleurrijkraster-accent4">
    <w:name w:val="Colorful Grid Accent 4"/>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CFAF8" w:themeFill="accent4" w:themeFillTint="33"/>
    </w:tcPr>
    <w:tblStylePr w:type="firstRow">
      <w:rPr>
        <w:b/>
        <w:bCs/>
      </w:rPr>
      <w:tblPr/>
      <w:tcPr>
        <w:shd w:val="clear" w:color="auto" w:fill="FAF6F2" w:themeFill="accent4" w:themeFillTint="66"/>
      </w:tcPr>
    </w:tblStylePr>
    <w:tblStylePr w:type="lastRow">
      <w:rPr>
        <w:b/>
        <w:bCs/>
        <w:color w:val="000000" w:themeColor="text1"/>
      </w:rPr>
      <w:tblPr/>
      <w:tcPr>
        <w:shd w:val="clear" w:color="auto" w:fill="FAF6F2" w:themeFill="accent4" w:themeFillTint="66"/>
      </w:tcPr>
    </w:tblStylePr>
    <w:tblStylePr w:type="firstCol">
      <w:rPr>
        <w:color w:val="FFFFFF" w:themeColor="background1"/>
      </w:rPr>
      <w:tblPr/>
      <w:tcPr>
        <w:shd w:val="clear" w:color="auto" w:fill="D1AF8C" w:themeFill="accent4" w:themeFillShade="BF"/>
      </w:tcPr>
    </w:tblStylePr>
    <w:tblStylePr w:type="lastCol">
      <w:rPr>
        <w:color w:val="FFFFFF" w:themeColor="background1"/>
      </w:rPr>
      <w:tblPr/>
      <w:tcPr>
        <w:shd w:val="clear" w:color="auto" w:fill="D1AF8C" w:themeFill="accent4" w:themeFillShade="BF"/>
      </w:tcPr>
    </w:tblStylePr>
    <w:tblStylePr w:type="band1Vert">
      <w:tblPr/>
      <w:tcPr>
        <w:shd w:val="clear" w:color="auto" w:fill="F9F4F0" w:themeFill="accent4" w:themeFillTint="7F"/>
      </w:tcPr>
    </w:tblStylePr>
    <w:tblStylePr w:type="band1Horz">
      <w:tblPr/>
      <w:tcPr>
        <w:shd w:val="clear" w:color="auto" w:fill="F9F4F0" w:themeFill="accent4" w:themeFillTint="7F"/>
      </w:tcPr>
    </w:tblStylePr>
  </w:style>
  <w:style w:type="table" w:styleId="Kleurrijkraster-accent5">
    <w:name w:val="Colorful Grid Accent 5"/>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DBCB" w:themeFill="accent5" w:themeFillTint="33"/>
    </w:tcPr>
    <w:tblStylePr w:type="firstRow">
      <w:rPr>
        <w:b/>
        <w:bCs/>
      </w:rPr>
      <w:tblPr/>
      <w:tcPr>
        <w:shd w:val="clear" w:color="auto" w:fill="FFB897" w:themeFill="accent5" w:themeFillTint="66"/>
      </w:tcPr>
    </w:tblStylePr>
    <w:tblStylePr w:type="lastRow">
      <w:rPr>
        <w:b/>
        <w:bCs/>
        <w:color w:val="000000" w:themeColor="text1"/>
      </w:rPr>
      <w:tblPr/>
      <w:tcPr>
        <w:shd w:val="clear" w:color="auto" w:fill="FFB897" w:themeFill="accent5" w:themeFillTint="66"/>
      </w:tcPr>
    </w:tblStylePr>
    <w:tblStylePr w:type="firstCol">
      <w:rPr>
        <w:color w:val="FFFFFF" w:themeColor="background1"/>
      </w:rPr>
      <w:tblPr/>
      <w:tcPr>
        <w:shd w:val="clear" w:color="auto" w:fill="BC3C00" w:themeFill="accent5" w:themeFillShade="BF"/>
      </w:tcPr>
    </w:tblStylePr>
    <w:tblStylePr w:type="lastCol">
      <w:rPr>
        <w:color w:val="FFFFFF" w:themeColor="background1"/>
      </w:rPr>
      <w:tblPr/>
      <w:tcPr>
        <w:shd w:val="clear" w:color="auto" w:fill="BC3C00" w:themeFill="accent5" w:themeFillShade="BF"/>
      </w:tcPr>
    </w:tblStylePr>
    <w:tblStylePr w:type="band1Vert">
      <w:tblPr/>
      <w:tcPr>
        <w:shd w:val="clear" w:color="auto" w:fill="FFA77E" w:themeFill="accent5" w:themeFillTint="7F"/>
      </w:tcPr>
    </w:tblStylePr>
    <w:tblStylePr w:type="band1Horz">
      <w:tblPr/>
      <w:tcPr>
        <w:shd w:val="clear" w:color="auto" w:fill="FFA77E" w:themeFill="accent5" w:themeFillTint="7F"/>
      </w:tcPr>
    </w:tblStylePr>
  </w:style>
  <w:style w:type="table" w:styleId="Kleurrijkraster-accent6">
    <w:name w:val="Colorful Grid Accent 6"/>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Borders>
        <w:insideH w:val="single" w:sz="4" w:space="0" w:color="FFFFFF" w:themeColor="background1"/>
      </w:tblBorders>
    </w:tblPr>
    <w:tcPr>
      <w:shd w:val="clear" w:color="auto" w:fill="FFFFFF" w:themeFill="accent6" w:themeFillTint="33"/>
    </w:tcPr>
    <w:tblStylePr w:type="firstRow">
      <w:rPr>
        <w:b/>
        <w:bCs/>
      </w:rPr>
      <w:tblPr/>
      <w:tcPr>
        <w:shd w:val="clear" w:color="auto" w:fill="FFFFFF" w:themeFill="accent6" w:themeFillTint="66"/>
      </w:tcPr>
    </w:tblStylePr>
    <w:tblStylePr w:type="lastRow">
      <w:rPr>
        <w:b/>
        <w:bCs/>
        <w:color w:val="000000" w:themeColor="text1"/>
      </w:rPr>
      <w:tblPr/>
      <w:tcPr>
        <w:shd w:val="clear" w:color="auto" w:fill="FFFFFF" w:themeFill="accent6" w:themeFillTint="66"/>
      </w:tcPr>
    </w:tblStylePr>
    <w:tblStylePr w:type="firstCol">
      <w:rPr>
        <w:color w:val="FFFFFF" w:themeColor="background1"/>
      </w:rPr>
      <w:tblPr/>
      <w:tcPr>
        <w:shd w:val="clear" w:color="auto" w:fill="BFBFBF" w:themeFill="accent6" w:themeFillShade="BF"/>
      </w:tcPr>
    </w:tblStylePr>
    <w:tblStylePr w:type="lastCol">
      <w:rPr>
        <w:color w:val="FFFFFF" w:themeColor="background1"/>
      </w:rPr>
      <w:tblPr/>
      <w:tcPr>
        <w:shd w:val="clear" w:color="auto" w:fill="BFBFBF" w:themeFill="accent6" w:themeFillShade="BF"/>
      </w:tcPr>
    </w:tblStylePr>
    <w:tblStylePr w:type="band1Vert">
      <w:tblPr/>
      <w:tcPr>
        <w:shd w:val="clear" w:color="auto" w:fill="FFFFFF" w:themeFill="accent6" w:themeFillTint="7F"/>
      </w:tcPr>
    </w:tblStylePr>
    <w:tblStylePr w:type="band1Horz">
      <w:tblPr/>
      <w:tcPr>
        <w:shd w:val="clear" w:color="auto" w:fill="FFFFFF" w:themeFill="accent6" w:themeFillTint="7F"/>
      </w:tcPr>
    </w:tblStylePr>
  </w:style>
  <w:style w:type="table" w:styleId="Kleurrijkearcering">
    <w:name w:val="Colorful Shading"/>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C251B" w:themeColor="accent1"/>
        <w:bottom w:val="single" w:sz="4" w:space="0" w:color="0C251B" w:themeColor="accent1"/>
        <w:right w:val="single" w:sz="4" w:space="0" w:color="0C251B" w:themeColor="accent1"/>
        <w:insideH w:val="single" w:sz="4" w:space="0" w:color="FFFFFF" w:themeColor="background1"/>
        <w:insideV w:val="single" w:sz="4" w:space="0" w:color="FFFFFF" w:themeColor="background1"/>
      </w:tblBorders>
    </w:tblPr>
    <w:tcPr>
      <w:shd w:val="clear" w:color="auto" w:fill="DCF4EA" w:themeFill="accent1"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610" w:themeFill="accent1" w:themeFillShade="99"/>
      </w:tcPr>
    </w:tblStylePr>
    <w:tblStylePr w:type="firstCol">
      <w:rPr>
        <w:color w:val="FFFFFF" w:themeColor="background1"/>
      </w:rPr>
      <w:tblPr/>
      <w:tcPr>
        <w:tcBorders>
          <w:top w:val="nil"/>
          <w:left w:val="nil"/>
          <w:bottom w:val="nil"/>
          <w:right w:val="nil"/>
          <w:insideH w:val="single" w:sz="4" w:space="0" w:color="071610" w:themeColor="accent1" w:themeShade="99"/>
          <w:insideV w:val="nil"/>
        </w:tcBorders>
        <w:shd w:val="clear" w:color="auto" w:fill="0716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71610" w:themeFill="accent1" w:themeFillShade="99"/>
      </w:tcPr>
    </w:tblStylePr>
    <w:tblStylePr w:type="band1Vert">
      <w:tblPr/>
      <w:tcPr>
        <w:shd w:val="clear" w:color="auto" w:fill="73D1AC" w:themeFill="accent1" w:themeFillTint="66"/>
      </w:tcPr>
    </w:tblStylePr>
    <w:tblStylePr w:type="band1Horz">
      <w:tblPr/>
      <w:tcPr>
        <w:shd w:val="clear" w:color="auto" w:fill="51C69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004028" w:themeColor="accent2"/>
        <w:left w:val="single" w:sz="4" w:space="0" w:color="004028" w:themeColor="accent2"/>
        <w:bottom w:val="single" w:sz="4" w:space="0" w:color="004028" w:themeColor="accent2"/>
        <w:right w:val="single" w:sz="4" w:space="0" w:color="004028" w:themeColor="accent2"/>
        <w:insideH w:val="single" w:sz="4" w:space="0" w:color="FFFFFF" w:themeColor="background1"/>
        <w:insideV w:val="single" w:sz="4" w:space="0" w:color="FFFFFF" w:themeColor="background1"/>
      </w:tblBorders>
    </w:tblPr>
    <w:tcPr>
      <w:shd w:val="clear" w:color="auto" w:fill="D3FFEE" w:themeFill="accent2" w:themeFillTint="19"/>
    </w:tcPr>
    <w:tblStylePr w:type="firstRow">
      <w:rPr>
        <w:b/>
        <w:bCs/>
      </w:rPr>
      <w:tblPr/>
      <w:tcPr>
        <w:tcBorders>
          <w:top w:val="nil"/>
          <w:left w:val="nil"/>
          <w:bottom w:val="single" w:sz="24" w:space="0" w:color="00402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617" w:themeFill="accent2" w:themeFillShade="99"/>
      </w:tcPr>
    </w:tblStylePr>
    <w:tblStylePr w:type="firstCol">
      <w:rPr>
        <w:color w:val="FFFFFF" w:themeColor="background1"/>
      </w:rPr>
      <w:tblPr/>
      <w:tcPr>
        <w:tcBorders>
          <w:top w:val="nil"/>
          <w:left w:val="nil"/>
          <w:bottom w:val="nil"/>
          <w:right w:val="nil"/>
          <w:insideH w:val="single" w:sz="4" w:space="0" w:color="002617" w:themeColor="accent2" w:themeShade="99"/>
          <w:insideV w:val="nil"/>
        </w:tcBorders>
        <w:shd w:val="clear" w:color="auto" w:fill="0026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2617" w:themeFill="accent2" w:themeFillShade="99"/>
      </w:tcPr>
    </w:tblStylePr>
    <w:tblStylePr w:type="band1Vert">
      <w:tblPr/>
      <w:tcPr>
        <w:shd w:val="clear" w:color="auto" w:fill="4CFFBB" w:themeFill="accent2" w:themeFillTint="66"/>
      </w:tcPr>
    </w:tblStylePr>
    <w:tblStylePr w:type="band1Horz">
      <w:tblPr/>
      <w:tcPr>
        <w:shd w:val="clear" w:color="auto" w:fill="20FFAB"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3EAE1" w:themeColor="accent4"/>
        <w:left w:val="single" w:sz="4" w:space="0" w:color="F7F7EE" w:themeColor="accent3"/>
        <w:bottom w:val="single" w:sz="4" w:space="0" w:color="F7F7EE" w:themeColor="accent3"/>
        <w:right w:val="single" w:sz="4" w:space="0" w:color="F7F7EE" w:themeColor="accent3"/>
        <w:insideH w:val="single" w:sz="4" w:space="0" w:color="FFFFFF" w:themeColor="background1"/>
        <w:insideV w:val="single" w:sz="4" w:space="0" w:color="FFFFFF" w:themeColor="background1"/>
      </w:tblBorders>
    </w:tblPr>
    <w:tcPr>
      <w:shd w:val="clear" w:color="auto" w:fill="FEFEFD" w:themeFill="accent3" w:themeFillTint="19"/>
    </w:tcPr>
    <w:tblStylePr w:type="firstRow">
      <w:rPr>
        <w:b/>
        <w:bCs/>
      </w:rPr>
      <w:tblPr/>
      <w:tcPr>
        <w:tcBorders>
          <w:top w:val="nil"/>
          <w:left w:val="nil"/>
          <w:bottom w:val="single" w:sz="24" w:space="0" w:color="F3EAE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B96A" w:themeFill="accent3" w:themeFillShade="99"/>
      </w:tcPr>
    </w:tblStylePr>
    <w:tblStylePr w:type="firstCol">
      <w:rPr>
        <w:color w:val="FFFFFF" w:themeColor="background1"/>
      </w:rPr>
      <w:tblPr/>
      <w:tcPr>
        <w:tcBorders>
          <w:top w:val="nil"/>
          <w:left w:val="nil"/>
          <w:bottom w:val="nil"/>
          <w:right w:val="nil"/>
          <w:insideH w:val="single" w:sz="4" w:space="0" w:color="B9B96A" w:themeColor="accent3" w:themeShade="99"/>
          <w:insideV w:val="nil"/>
        </w:tcBorders>
        <w:shd w:val="clear" w:color="auto" w:fill="B9B9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9B96A" w:themeFill="accent3" w:themeFillShade="99"/>
      </w:tcPr>
    </w:tblStylePr>
    <w:tblStylePr w:type="band1Vert">
      <w:tblPr/>
      <w:tcPr>
        <w:shd w:val="clear" w:color="auto" w:fill="FBFBF8" w:themeFill="accent3" w:themeFillTint="66"/>
      </w:tcPr>
    </w:tblStylePr>
    <w:tblStylePr w:type="band1Horz">
      <w:tblPr/>
      <w:tcPr>
        <w:shd w:val="clear" w:color="auto" w:fill="FBFBF6" w:themeFill="accent3" w:themeFillTint="7F"/>
      </w:tcPr>
    </w:tblStylePr>
  </w:style>
  <w:style w:type="table" w:styleId="Kleurrijkearcering-accent4">
    <w:name w:val="Colorful Shading Accent 4"/>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7F7EE" w:themeColor="accent3"/>
        <w:left w:val="single" w:sz="4" w:space="0" w:color="F3EAE1" w:themeColor="accent4"/>
        <w:bottom w:val="single" w:sz="4" w:space="0" w:color="F3EAE1" w:themeColor="accent4"/>
        <w:right w:val="single" w:sz="4" w:space="0" w:color="F3EAE1" w:themeColor="accent4"/>
        <w:insideH w:val="single" w:sz="4" w:space="0" w:color="FFFFFF" w:themeColor="background1"/>
        <w:insideV w:val="single" w:sz="4" w:space="0" w:color="FFFFFF" w:themeColor="background1"/>
      </w:tblBorders>
    </w:tblPr>
    <w:tcPr>
      <w:shd w:val="clear" w:color="auto" w:fill="FDFCFB" w:themeFill="accent4" w:themeFillTint="19"/>
    </w:tcPr>
    <w:tblStylePr w:type="firstRow">
      <w:rPr>
        <w:b/>
        <w:bCs/>
      </w:rPr>
      <w:tblPr/>
      <w:tcPr>
        <w:tcBorders>
          <w:top w:val="nil"/>
          <w:left w:val="nil"/>
          <w:bottom w:val="single" w:sz="24" w:space="0" w:color="F7F7E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D8C5B" w:themeFill="accent4" w:themeFillShade="99"/>
      </w:tcPr>
    </w:tblStylePr>
    <w:tblStylePr w:type="firstCol">
      <w:rPr>
        <w:color w:val="FFFFFF" w:themeColor="background1"/>
      </w:rPr>
      <w:tblPr/>
      <w:tcPr>
        <w:tcBorders>
          <w:top w:val="nil"/>
          <w:left w:val="nil"/>
          <w:bottom w:val="nil"/>
          <w:right w:val="nil"/>
          <w:insideH w:val="single" w:sz="4" w:space="0" w:color="BD8C5B" w:themeColor="accent4" w:themeShade="99"/>
          <w:insideV w:val="nil"/>
        </w:tcBorders>
        <w:shd w:val="clear" w:color="auto" w:fill="BD8C5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D8C5B" w:themeFill="accent4" w:themeFillShade="99"/>
      </w:tcPr>
    </w:tblStylePr>
    <w:tblStylePr w:type="band1Vert">
      <w:tblPr/>
      <w:tcPr>
        <w:shd w:val="clear" w:color="auto" w:fill="FAF6F2" w:themeFill="accent4" w:themeFillTint="66"/>
      </w:tcPr>
    </w:tblStylePr>
    <w:tblStylePr w:type="band1Horz">
      <w:tblPr/>
      <w:tcPr>
        <w:shd w:val="clear" w:color="auto" w:fill="F9F4F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FFFFF" w:themeColor="accent6"/>
        <w:left w:val="single" w:sz="4" w:space="0" w:color="FC5200" w:themeColor="accent5"/>
        <w:bottom w:val="single" w:sz="4" w:space="0" w:color="FC5200" w:themeColor="accent5"/>
        <w:right w:val="single" w:sz="4" w:space="0" w:color="FC5200" w:themeColor="accent5"/>
        <w:insideH w:val="single" w:sz="4" w:space="0" w:color="FFFFFF" w:themeColor="background1"/>
        <w:insideV w:val="single" w:sz="4" w:space="0" w:color="FFFFFF" w:themeColor="background1"/>
      </w:tblBorders>
    </w:tblPr>
    <w:tcPr>
      <w:shd w:val="clear" w:color="auto" w:fill="FFEDE5" w:themeFill="accent5" w:themeFillTint="19"/>
    </w:tcPr>
    <w:tblStylePr w:type="firstRow">
      <w:rPr>
        <w:b/>
        <w:bCs/>
      </w:rPr>
      <w:tblPr/>
      <w:tcPr>
        <w:tcBorders>
          <w:top w:val="nil"/>
          <w:left w:val="nil"/>
          <w:bottom w:val="single" w:sz="24" w:space="0" w:color="FFF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3000" w:themeFill="accent5" w:themeFillShade="99"/>
      </w:tcPr>
    </w:tblStylePr>
    <w:tblStylePr w:type="firstCol">
      <w:rPr>
        <w:color w:val="FFFFFF" w:themeColor="background1"/>
      </w:rPr>
      <w:tblPr/>
      <w:tcPr>
        <w:tcBorders>
          <w:top w:val="nil"/>
          <w:left w:val="nil"/>
          <w:bottom w:val="nil"/>
          <w:right w:val="nil"/>
          <w:insideH w:val="single" w:sz="4" w:space="0" w:color="973000" w:themeColor="accent5" w:themeShade="99"/>
          <w:insideV w:val="nil"/>
        </w:tcBorders>
        <w:shd w:val="clear" w:color="auto" w:fill="973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73000" w:themeFill="accent5" w:themeFillShade="99"/>
      </w:tcPr>
    </w:tblStylePr>
    <w:tblStylePr w:type="band1Vert">
      <w:tblPr/>
      <w:tcPr>
        <w:shd w:val="clear" w:color="auto" w:fill="FFB897" w:themeFill="accent5" w:themeFillTint="66"/>
      </w:tcPr>
    </w:tblStylePr>
    <w:tblStylePr w:type="band1Horz">
      <w:tblPr/>
      <w:tcPr>
        <w:shd w:val="clear" w:color="auto" w:fill="FFA77E"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24" w:space="0" w:color="FC5200" w:themeColor="accent5"/>
        <w:left w:val="single" w:sz="4" w:space="0" w:color="FFFFFF" w:themeColor="accent6"/>
        <w:bottom w:val="single" w:sz="4" w:space="0" w:color="FFFFFF" w:themeColor="accent6"/>
        <w:right w:val="single" w:sz="4" w:space="0" w:color="FFFFFF" w:themeColor="accent6"/>
        <w:insideH w:val="single" w:sz="4" w:space="0" w:color="FFFFFF" w:themeColor="background1"/>
        <w:insideV w:val="single" w:sz="4" w:space="0" w:color="FFFFFF" w:themeColor="background1"/>
      </w:tblBorders>
    </w:tblPr>
    <w:tcPr>
      <w:shd w:val="clear" w:color="auto" w:fill="FFFFFF" w:themeFill="accent6" w:themeFillTint="19"/>
    </w:tcPr>
    <w:tblStylePr w:type="firstRow">
      <w:rPr>
        <w:b/>
        <w:bCs/>
      </w:rPr>
      <w:tblPr/>
      <w:tcPr>
        <w:tcBorders>
          <w:top w:val="nil"/>
          <w:left w:val="nil"/>
          <w:bottom w:val="single" w:sz="24" w:space="0" w:color="FC52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99" w:themeFill="accent6" w:themeFillShade="99"/>
      </w:tcPr>
    </w:tblStylePr>
    <w:tblStylePr w:type="firstCol">
      <w:rPr>
        <w:color w:val="FFFFFF" w:themeColor="background1"/>
      </w:rPr>
      <w:tblPr/>
      <w:tcPr>
        <w:tcBorders>
          <w:top w:val="nil"/>
          <w:left w:val="nil"/>
          <w:bottom w:val="nil"/>
          <w:right w:val="nil"/>
          <w:insideH w:val="single" w:sz="4" w:space="0" w:color="999999" w:themeColor="accent6" w:themeShade="99"/>
          <w:insideV w:val="nil"/>
        </w:tcBorders>
        <w:shd w:val="clear" w:color="auto" w:fill="99999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99" w:themeFill="accent6" w:themeFillShade="99"/>
      </w:tcPr>
    </w:tblStylePr>
    <w:tblStylePr w:type="band1Vert">
      <w:tblPr/>
      <w:tcPr>
        <w:shd w:val="clear" w:color="auto" w:fill="FFFFFF" w:themeFill="accent6" w:themeFillTint="66"/>
      </w:tcPr>
    </w:tblStylePr>
    <w:tblStylePr w:type="band1Horz">
      <w:tblPr/>
      <w:tcPr>
        <w:shd w:val="clear" w:color="auto" w:fill="FFFFFF"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DCF4EA" w:themeFill="accent1"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3CB" w:themeFill="accent1" w:themeFillTint="3F"/>
      </w:tcPr>
    </w:tblStylePr>
    <w:tblStylePr w:type="band1Horz">
      <w:tblPr/>
      <w:tcPr>
        <w:shd w:val="clear" w:color="auto" w:fill="B9E8D5" w:themeFill="accent1" w:themeFillTint="33"/>
      </w:tcPr>
    </w:tblStylePr>
  </w:style>
  <w:style w:type="table" w:styleId="Kleurrijkelijst-accent2">
    <w:name w:val="Colorful List Accent 2"/>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D3FFEE" w:themeFill="accent2" w:themeFillTint="19"/>
    </w:tcPr>
    <w:tblStylePr w:type="firstRow">
      <w:rPr>
        <w:b/>
        <w:bCs/>
        <w:color w:val="FFFFFF" w:themeColor="background1"/>
      </w:rPr>
      <w:tblPr/>
      <w:tcPr>
        <w:tcBorders>
          <w:bottom w:val="single" w:sz="12" w:space="0" w:color="FFFFFF" w:themeColor="background1"/>
        </w:tcBorders>
        <w:shd w:val="clear" w:color="auto" w:fill="00331F" w:themeFill="accent2" w:themeFillShade="CC"/>
      </w:tcPr>
    </w:tblStylePr>
    <w:tblStylePr w:type="lastRow">
      <w:rPr>
        <w:b/>
        <w:bCs/>
        <w:color w:val="0033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FFD5" w:themeFill="accent2" w:themeFillTint="3F"/>
      </w:tcPr>
    </w:tblStylePr>
    <w:tblStylePr w:type="band1Horz">
      <w:tblPr/>
      <w:tcPr>
        <w:shd w:val="clear" w:color="auto" w:fill="A5FFDD" w:themeFill="accent2" w:themeFillTint="33"/>
      </w:tcPr>
    </w:tblStylePr>
  </w:style>
  <w:style w:type="table" w:styleId="Kleurrijkelijst-accent3">
    <w:name w:val="Colorful List Accent 3"/>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FEFEFD" w:themeFill="accent3" w:themeFillTint="19"/>
    </w:tcPr>
    <w:tblStylePr w:type="firstRow">
      <w:rPr>
        <w:b/>
        <w:bCs/>
        <w:color w:val="FFFFFF" w:themeColor="background1"/>
      </w:rPr>
      <w:tblPr/>
      <w:tcPr>
        <w:tcBorders>
          <w:bottom w:val="single" w:sz="12" w:space="0" w:color="FFFFFF" w:themeColor="background1"/>
        </w:tcBorders>
        <w:shd w:val="clear" w:color="auto" w:fill="D8BB9E" w:themeFill="accent4" w:themeFillShade="CC"/>
      </w:tcPr>
    </w:tblStylePr>
    <w:tblStylePr w:type="lastRow">
      <w:rPr>
        <w:b/>
        <w:bCs/>
        <w:color w:val="D8BB9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DFA" w:themeFill="accent3" w:themeFillTint="3F"/>
      </w:tcPr>
    </w:tblStylePr>
    <w:tblStylePr w:type="band1Horz">
      <w:tblPr/>
      <w:tcPr>
        <w:shd w:val="clear" w:color="auto" w:fill="FDFDFB" w:themeFill="accent3" w:themeFillTint="33"/>
      </w:tcPr>
    </w:tblStylePr>
  </w:style>
  <w:style w:type="table" w:styleId="Kleurrijkelijst-accent4">
    <w:name w:val="Colorful List Accent 4"/>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FDFCFB" w:themeFill="accent4" w:themeFillTint="19"/>
    </w:tcPr>
    <w:tblStylePr w:type="firstRow">
      <w:rPr>
        <w:b/>
        <w:bCs/>
        <w:color w:val="FFFFFF" w:themeColor="background1"/>
      </w:rPr>
      <w:tblPr/>
      <w:tcPr>
        <w:tcBorders>
          <w:bottom w:val="single" w:sz="12" w:space="0" w:color="FFFFFF" w:themeColor="background1"/>
        </w:tcBorders>
        <w:shd w:val="clear" w:color="auto" w:fill="D8D8AC" w:themeFill="accent3" w:themeFillShade="CC"/>
      </w:tcPr>
    </w:tblStylePr>
    <w:tblStylePr w:type="lastRow">
      <w:rPr>
        <w:b/>
        <w:bCs/>
        <w:color w:val="D8D8A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9F7" w:themeFill="accent4" w:themeFillTint="3F"/>
      </w:tcPr>
    </w:tblStylePr>
    <w:tblStylePr w:type="band1Horz">
      <w:tblPr/>
      <w:tcPr>
        <w:shd w:val="clear" w:color="auto" w:fill="FCFAF8" w:themeFill="accent4" w:themeFillTint="33"/>
      </w:tcPr>
    </w:tblStylePr>
  </w:style>
  <w:style w:type="table" w:styleId="Kleurrijkelijst-accent5">
    <w:name w:val="Colorful List Accent 5"/>
    <w:basedOn w:val="Standaardtabel"/>
    <w:uiPriority w:val="59"/>
    <w:semiHidden/>
    <w:unhideWhenUsed/>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FFEDE5" w:themeFill="accent5" w:themeFillTint="19"/>
    </w:tcPr>
    <w:tblStylePr w:type="firstRow">
      <w:rPr>
        <w:b/>
        <w:bCs/>
        <w:color w:val="FFFFFF" w:themeColor="background1"/>
      </w:rPr>
      <w:tblPr/>
      <w:tcPr>
        <w:tcBorders>
          <w:bottom w:val="single" w:sz="12" w:space="0" w:color="FFFFFF" w:themeColor="background1"/>
        </w:tcBorders>
        <w:shd w:val="clear" w:color="auto" w:fill="CCCCCC" w:themeFill="accent6" w:themeFillShade="CC"/>
      </w:tcPr>
    </w:tblStylePr>
    <w:tblStylePr w:type="lastRow">
      <w:rPr>
        <w:b/>
        <w:bCs/>
        <w:color w:val="CCCCC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3BF" w:themeFill="accent5" w:themeFillTint="3F"/>
      </w:tcPr>
    </w:tblStylePr>
    <w:tblStylePr w:type="band1Horz">
      <w:tblPr/>
      <w:tcPr>
        <w:shd w:val="clear" w:color="auto" w:fill="FFDBCB" w:themeFill="accent5" w:themeFillTint="33"/>
      </w:tcPr>
    </w:tblStylePr>
  </w:style>
  <w:style w:type="table" w:styleId="Kleurrijkelijst-accent6">
    <w:name w:val="Colorful List Accent 6"/>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Pr>
    <w:tcPr>
      <w:shd w:val="clear" w:color="auto" w:fill="FFFFFF" w:themeFill="accent6" w:themeFillTint="19"/>
    </w:tcPr>
    <w:tblStylePr w:type="firstRow">
      <w:rPr>
        <w:b/>
        <w:bCs/>
        <w:color w:val="FFFFFF" w:themeColor="background1"/>
      </w:rPr>
      <w:tblPr/>
      <w:tcPr>
        <w:tcBorders>
          <w:bottom w:val="single" w:sz="12" w:space="0" w:color="FFFFFF" w:themeColor="background1"/>
        </w:tcBorders>
        <w:shd w:val="clear" w:color="auto" w:fill="C94000" w:themeFill="accent5" w:themeFillShade="CC"/>
      </w:tcPr>
    </w:tblStylePr>
    <w:tblStylePr w:type="lastRow">
      <w:rPr>
        <w:b/>
        <w:bCs/>
        <w:color w:val="C94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FF" w:themeFill="accent6" w:themeFillTint="3F"/>
      </w:tcPr>
    </w:tblStylePr>
    <w:tblStylePr w:type="band1Horz">
      <w:tblPr/>
      <w:tcPr>
        <w:shd w:val="clear" w:color="auto" w:fill="FFFFFF" w:themeFill="accent6" w:themeFillTint="33"/>
      </w:tcPr>
    </w:tblStylePr>
  </w:style>
  <w:style w:type="table" w:styleId="Kleurrijketabel1">
    <w:name w:val="Table Colorful 1"/>
    <w:basedOn w:val="Standaardtabel"/>
    <w:uiPriority w:val="59"/>
    <w:semiHidden/>
    <w:unhideWhenUsed/>
    <w:rsid w:val="00802144"/>
    <w:pPr>
      <w:spacing w:after="0" w:line="252" w:lineRule="auto"/>
    </w:pPr>
    <w:rPr>
      <w:color w:val="FFFFFF"/>
      <w:kern w:val="0"/>
      <w:sz w:val="20"/>
      <w:szCs w:val="20"/>
      <w:lang w:val="en-US"/>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59"/>
    <w:semiHidden/>
    <w:unhideWhenUsed/>
    <w:rsid w:val="00802144"/>
    <w:pPr>
      <w:spacing w:after="0" w:line="252" w:lineRule="auto"/>
    </w:pPr>
    <w:rPr>
      <w:kern w:val="0"/>
      <w:sz w:val="20"/>
      <w:szCs w:val="20"/>
      <w:lang w:val="en-US"/>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59"/>
    <w:semiHidden/>
    <w:unhideWhenUsed/>
    <w:rsid w:val="00802144"/>
    <w:pPr>
      <w:spacing w:after="0" w:line="252" w:lineRule="auto"/>
    </w:pPr>
    <w:rPr>
      <w:kern w:val="0"/>
      <w:sz w:val="20"/>
      <w:szCs w:val="20"/>
      <w:lang w:val="en-US"/>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59"/>
    <w:semiHidden/>
    <w:unhideWhenUsed/>
    <w:rsid w:val="00802144"/>
    <w:pPr>
      <w:spacing w:before="120"/>
    </w:pPr>
    <w:rPr>
      <w:rFonts w:asciiTheme="majorHAnsi" w:eastAsiaTheme="majorEastAsia" w:hAnsiTheme="majorHAnsi" w:cstheme="majorBidi"/>
      <w:b/>
      <w:bCs/>
      <w:sz w:val="24"/>
      <w:szCs w:val="24"/>
    </w:rPr>
  </w:style>
  <w:style w:type="table" w:styleId="Lichtraster">
    <w:name w:val="Light Grid"/>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insideH w:val="single" w:sz="8" w:space="0" w:color="0C251B" w:themeColor="accent1"/>
        <w:insideV w:val="single" w:sz="8" w:space="0" w:color="0C251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18" w:space="0" w:color="0C251B" w:themeColor="accent1"/>
          <w:right w:val="single" w:sz="8" w:space="0" w:color="0C251B" w:themeColor="accent1"/>
          <w:insideH w:val="nil"/>
          <w:insideV w:val="single" w:sz="8" w:space="0" w:color="0C251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insideH w:val="nil"/>
          <w:insideV w:val="single" w:sz="8" w:space="0" w:color="0C251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shd w:val="clear" w:color="auto" w:fill="A8E3CB" w:themeFill="accent1" w:themeFillTint="3F"/>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shd w:val="clear" w:color="auto" w:fill="A8E3CB" w:themeFill="accent1" w:themeFillTint="3F"/>
      </w:tcPr>
    </w:tblStylePr>
    <w:tblStylePr w:type="band2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insideV w:val="single" w:sz="8" w:space="0" w:color="0C251B" w:themeColor="accent1"/>
        </w:tcBorders>
      </w:tcPr>
    </w:tblStylePr>
  </w:style>
  <w:style w:type="table" w:styleId="Lichtraster-accent2">
    <w:name w:val="Light Grid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insideH w:val="single" w:sz="8" w:space="0" w:color="004028" w:themeColor="accent2"/>
        <w:insideV w:val="single" w:sz="8" w:space="0" w:color="00402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18" w:space="0" w:color="004028" w:themeColor="accent2"/>
          <w:right w:val="single" w:sz="8" w:space="0" w:color="004028" w:themeColor="accent2"/>
          <w:insideH w:val="nil"/>
          <w:insideV w:val="single" w:sz="8" w:space="0" w:color="00402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insideH w:val="nil"/>
          <w:insideV w:val="single" w:sz="8" w:space="0" w:color="00402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shd w:val="clear" w:color="auto" w:fill="90FFD5" w:themeFill="accent2" w:themeFillTint="3F"/>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shd w:val="clear" w:color="auto" w:fill="90FFD5" w:themeFill="accent2" w:themeFillTint="3F"/>
      </w:tcPr>
    </w:tblStylePr>
    <w:tblStylePr w:type="band2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insideV w:val="single" w:sz="8" w:space="0" w:color="004028" w:themeColor="accent2"/>
        </w:tcBorders>
      </w:tcPr>
    </w:tblStylePr>
  </w:style>
  <w:style w:type="table" w:styleId="Lichtraster-accent3">
    <w:name w:val="Light Grid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insideH w:val="single" w:sz="8" w:space="0" w:color="F7F7EE" w:themeColor="accent3"/>
        <w:insideV w:val="single" w:sz="8" w:space="0" w:color="F7F7E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18" w:space="0" w:color="F7F7EE" w:themeColor="accent3"/>
          <w:right w:val="single" w:sz="8" w:space="0" w:color="F7F7EE" w:themeColor="accent3"/>
          <w:insideH w:val="nil"/>
          <w:insideV w:val="single" w:sz="8" w:space="0" w:color="F7F7E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insideH w:val="nil"/>
          <w:insideV w:val="single" w:sz="8" w:space="0" w:color="F7F7E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shd w:val="clear" w:color="auto" w:fill="FDFDFA" w:themeFill="accent3" w:themeFillTint="3F"/>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shd w:val="clear" w:color="auto" w:fill="FDFDFA" w:themeFill="accent3" w:themeFillTint="3F"/>
      </w:tcPr>
    </w:tblStylePr>
    <w:tblStylePr w:type="band2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insideV w:val="single" w:sz="8" w:space="0" w:color="F7F7EE" w:themeColor="accent3"/>
        </w:tcBorders>
      </w:tcPr>
    </w:tblStylePr>
  </w:style>
  <w:style w:type="table" w:styleId="Lichtraster-accent4">
    <w:name w:val="Light Grid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insideH w:val="single" w:sz="8" w:space="0" w:color="F3EAE1" w:themeColor="accent4"/>
        <w:insideV w:val="single" w:sz="8" w:space="0" w:color="F3EAE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18" w:space="0" w:color="F3EAE1" w:themeColor="accent4"/>
          <w:right w:val="single" w:sz="8" w:space="0" w:color="F3EAE1" w:themeColor="accent4"/>
          <w:insideH w:val="nil"/>
          <w:insideV w:val="single" w:sz="8" w:space="0" w:color="F3EAE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insideH w:val="nil"/>
          <w:insideV w:val="single" w:sz="8" w:space="0" w:color="F3EAE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shd w:val="clear" w:color="auto" w:fill="FCF9F7" w:themeFill="accent4" w:themeFillTint="3F"/>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shd w:val="clear" w:color="auto" w:fill="FCF9F7" w:themeFill="accent4" w:themeFillTint="3F"/>
      </w:tcPr>
    </w:tblStylePr>
    <w:tblStylePr w:type="band2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insideV w:val="single" w:sz="8" w:space="0" w:color="F3EAE1" w:themeColor="accent4"/>
        </w:tcBorders>
      </w:tcPr>
    </w:tblStylePr>
  </w:style>
  <w:style w:type="table" w:styleId="Lichtraster-accent5">
    <w:name w:val="Light Grid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insideH w:val="single" w:sz="8" w:space="0" w:color="FC5200" w:themeColor="accent5"/>
        <w:insideV w:val="single" w:sz="8" w:space="0" w:color="FC52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18" w:space="0" w:color="FC5200" w:themeColor="accent5"/>
          <w:right w:val="single" w:sz="8" w:space="0" w:color="FC5200" w:themeColor="accent5"/>
          <w:insideH w:val="nil"/>
          <w:insideV w:val="single" w:sz="8" w:space="0" w:color="FC52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insideH w:val="nil"/>
          <w:insideV w:val="single" w:sz="8" w:space="0" w:color="FC52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shd w:val="clear" w:color="auto" w:fill="FFD3BF" w:themeFill="accent5" w:themeFillTint="3F"/>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shd w:val="clear" w:color="auto" w:fill="FFD3BF" w:themeFill="accent5" w:themeFillTint="3F"/>
      </w:tcPr>
    </w:tblStylePr>
    <w:tblStylePr w:type="band2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insideV w:val="single" w:sz="8" w:space="0" w:color="FC5200" w:themeColor="accent5"/>
        </w:tcBorders>
      </w:tcPr>
    </w:tblStylePr>
  </w:style>
  <w:style w:type="table" w:styleId="Lichtraster-accent6">
    <w:name w:val="Light Grid Accent 6"/>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insideH w:val="single" w:sz="8" w:space="0" w:color="FFFFFF" w:themeColor="accent6"/>
        <w:insideV w:val="single" w:sz="8" w:space="0" w:color="FFF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18" w:space="0" w:color="FFFFFF" w:themeColor="accent6"/>
          <w:right w:val="single" w:sz="8" w:space="0" w:color="FFFFFF" w:themeColor="accent6"/>
          <w:insideH w:val="nil"/>
          <w:insideV w:val="single" w:sz="8" w:space="0" w:color="FFF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insideH w:val="nil"/>
          <w:insideV w:val="single" w:sz="8" w:space="0" w:color="FFF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shd w:val="clear" w:color="auto" w:fill="FFFFFF" w:themeFill="accent6" w:themeFillTint="3F"/>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shd w:val="clear" w:color="auto" w:fill="FFFFFF" w:themeFill="accent6" w:themeFillTint="3F"/>
      </w:tcPr>
    </w:tblStylePr>
    <w:tblStylePr w:type="band2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insideV w:val="single" w:sz="8" w:space="0" w:color="FFFFFF" w:themeColor="accent6"/>
        </w:tcBorders>
      </w:tcPr>
    </w:tblStylePr>
  </w:style>
  <w:style w:type="table" w:styleId="Lichtearcering">
    <w:name w:val="Light Shading"/>
    <w:basedOn w:val="Standaardtabel"/>
    <w:uiPriority w:val="59"/>
    <w:semiHidden/>
    <w:unhideWhenUsed/>
    <w:rsid w:val="00802144"/>
    <w:pPr>
      <w:spacing w:after="0" w:line="240" w:lineRule="auto"/>
    </w:pPr>
    <w:rPr>
      <w:color w:val="000000" w:themeColor="text1" w:themeShade="BF"/>
      <w:kern w:val="0"/>
      <w:sz w:val="20"/>
      <w:szCs w:val="2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59"/>
    <w:semiHidden/>
    <w:unhideWhenUsed/>
    <w:rsid w:val="00802144"/>
    <w:pPr>
      <w:spacing w:after="0" w:line="240" w:lineRule="auto"/>
    </w:pPr>
    <w:rPr>
      <w:color w:val="091B14" w:themeColor="accent1" w:themeShade="BF"/>
      <w:kern w:val="0"/>
      <w:sz w:val="20"/>
      <w:szCs w:val="20"/>
      <w:lang w:val="en-US"/>
      <w14:ligatures w14:val="none"/>
    </w:rPr>
    <w:tblPr>
      <w:tblStyleRowBandSize w:val="1"/>
      <w:tblStyleColBandSize w:val="1"/>
      <w:tblBorders>
        <w:top w:val="single" w:sz="8" w:space="0" w:color="0C251B" w:themeColor="accent1"/>
        <w:bottom w:val="single" w:sz="8" w:space="0" w:color="0C251B" w:themeColor="accent1"/>
      </w:tblBorders>
    </w:tblPr>
    <w:tblStylePr w:type="fir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lastRow">
      <w:pPr>
        <w:spacing w:before="0" w:after="0" w:line="240" w:lineRule="auto"/>
      </w:pPr>
      <w:rPr>
        <w:b/>
        <w:bCs/>
      </w:rPr>
      <w:tblPr/>
      <w:tcPr>
        <w:tcBorders>
          <w:top w:val="single" w:sz="8" w:space="0" w:color="0C251B" w:themeColor="accent1"/>
          <w:left w:val="nil"/>
          <w:bottom w:val="single" w:sz="8" w:space="0" w:color="0C251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3CB" w:themeFill="accent1" w:themeFillTint="3F"/>
      </w:tcPr>
    </w:tblStylePr>
    <w:tblStylePr w:type="band1Horz">
      <w:tblPr/>
      <w:tcPr>
        <w:tcBorders>
          <w:left w:val="nil"/>
          <w:right w:val="nil"/>
          <w:insideH w:val="nil"/>
          <w:insideV w:val="nil"/>
        </w:tcBorders>
        <w:shd w:val="clear" w:color="auto" w:fill="A8E3CB" w:themeFill="accent1" w:themeFillTint="3F"/>
      </w:tcPr>
    </w:tblStylePr>
  </w:style>
  <w:style w:type="table" w:styleId="Lichtearcering-accent2">
    <w:name w:val="Light Shading Accent 2"/>
    <w:basedOn w:val="Standaardtabel"/>
    <w:uiPriority w:val="59"/>
    <w:semiHidden/>
    <w:unhideWhenUsed/>
    <w:rsid w:val="00802144"/>
    <w:pPr>
      <w:spacing w:after="0" w:line="240" w:lineRule="auto"/>
    </w:pPr>
    <w:rPr>
      <w:color w:val="002F1D" w:themeColor="accent2" w:themeShade="BF"/>
      <w:kern w:val="0"/>
      <w:sz w:val="20"/>
      <w:szCs w:val="20"/>
      <w:lang w:val="en-US"/>
      <w14:ligatures w14:val="none"/>
    </w:rPr>
    <w:tblPr>
      <w:tblStyleRowBandSize w:val="1"/>
      <w:tblStyleColBandSize w:val="1"/>
      <w:tblBorders>
        <w:top w:val="single" w:sz="8" w:space="0" w:color="004028" w:themeColor="accent2"/>
        <w:bottom w:val="single" w:sz="8" w:space="0" w:color="004028" w:themeColor="accent2"/>
      </w:tblBorders>
    </w:tblPr>
    <w:tblStylePr w:type="fir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lastRow">
      <w:pPr>
        <w:spacing w:before="0" w:after="0" w:line="240" w:lineRule="auto"/>
      </w:pPr>
      <w:rPr>
        <w:b/>
        <w:bCs/>
      </w:rPr>
      <w:tblPr/>
      <w:tcPr>
        <w:tcBorders>
          <w:top w:val="single" w:sz="8" w:space="0" w:color="004028" w:themeColor="accent2"/>
          <w:left w:val="nil"/>
          <w:bottom w:val="single" w:sz="8" w:space="0" w:color="00402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FFD5" w:themeFill="accent2" w:themeFillTint="3F"/>
      </w:tcPr>
    </w:tblStylePr>
    <w:tblStylePr w:type="band1Horz">
      <w:tblPr/>
      <w:tcPr>
        <w:tcBorders>
          <w:left w:val="nil"/>
          <w:right w:val="nil"/>
          <w:insideH w:val="nil"/>
          <w:insideV w:val="nil"/>
        </w:tcBorders>
        <w:shd w:val="clear" w:color="auto" w:fill="90FFD5" w:themeFill="accent2" w:themeFillTint="3F"/>
      </w:tcPr>
    </w:tblStylePr>
  </w:style>
  <w:style w:type="table" w:styleId="Lichtearcering-accent3">
    <w:name w:val="Light Shading Accent 3"/>
    <w:basedOn w:val="Standaardtabel"/>
    <w:uiPriority w:val="59"/>
    <w:semiHidden/>
    <w:unhideWhenUsed/>
    <w:rsid w:val="00802144"/>
    <w:pPr>
      <w:spacing w:after="0" w:line="240" w:lineRule="auto"/>
    </w:pPr>
    <w:rPr>
      <w:color w:val="D0D09B" w:themeColor="accent3" w:themeShade="BF"/>
      <w:kern w:val="0"/>
      <w:sz w:val="20"/>
      <w:szCs w:val="20"/>
      <w:lang w:val="en-US"/>
      <w14:ligatures w14:val="none"/>
    </w:rPr>
    <w:tblPr>
      <w:tblStyleRowBandSize w:val="1"/>
      <w:tblStyleColBandSize w:val="1"/>
      <w:tblBorders>
        <w:top w:val="single" w:sz="8" w:space="0" w:color="F7F7EE" w:themeColor="accent3"/>
        <w:bottom w:val="single" w:sz="8" w:space="0" w:color="F7F7EE" w:themeColor="accent3"/>
      </w:tblBorders>
    </w:tblPr>
    <w:tblStylePr w:type="fir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lastRow">
      <w:pPr>
        <w:spacing w:before="0" w:after="0" w:line="240" w:lineRule="auto"/>
      </w:pPr>
      <w:rPr>
        <w:b/>
        <w:bCs/>
      </w:rPr>
      <w:tblPr/>
      <w:tcPr>
        <w:tcBorders>
          <w:top w:val="single" w:sz="8" w:space="0" w:color="F7F7EE" w:themeColor="accent3"/>
          <w:left w:val="nil"/>
          <w:bottom w:val="single" w:sz="8" w:space="0" w:color="F7F7E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A" w:themeFill="accent3" w:themeFillTint="3F"/>
      </w:tcPr>
    </w:tblStylePr>
    <w:tblStylePr w:type="band1Horz">
      <w:tblPr/>
      <w:tcPr>
        <w:tcBorders>
          <w:left w:val="nil"/>
          <w:right w:val="nil"/>
          <w:insideH w:val="nil"/>
          <w:insideV w:val="nil"/>
        </w:tcBorders>
        <w:shd w:val="clear" w:color="auto" w:fill="FDFDFA" w:themeFill="accent3" w:themeFillTint="3F"/>
      </w:tcPr>
    </w:tblStylePr>
  </w:style>
  <w:style w:type="table" w:styleId="Lichtearcering-accent4">
    <w:name w:val="Light Shading Accent 4"/>
    <w:basedOn w:val="Standaardtabel"/>
    <w:uiPriority w:val="59"/>
    <w:semiHidden/>
    <w:unhideWhenUsed/>
    <w:rsid w:val="00802144"/>
    <w:pPr>
      <w:spacing w:after="0" w:line="240" w:lineRule="auto"/>
    </w:pPr>
    <w:rPr>
      <w:color w:val="D1AF8C" w:themeColor="accent4" w:themeShade="BF"/>
      <w:kern w:val="0"/>
      <w:sz w:val="20"/>
      <w:szCs w:val="20"/>
      <w:lang w:val="en-US"/>
      <w14:ligatures w14:val="none"/>
    </w:rPr>
    <w:tblPr>
      <w:tblStyleRowBandSize w:val="1"/>
      <w:tblStyleColBandSize w:val="1"/>
      <w:tblBorders>
        <w:top w:val="single" w:sz="8" w:space="0" w:color="F3EAE1" w:themeColor="accent4"/>
        <w:bottom w:val="single" w:sz="8" w:space="0" w:color="F3EAE1" w:themeColor="accent4"/>
      </w:tblBorders>
    </w:tblPr>
    <w:tblStylePr w:type="fir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lastRow">
      <w:pPr>
        <w:spacing w:before="0" w:after="0" w:line="240" w:lineRule="auto"/>
      </w:pPr>
      <w:rPr>
        <w:b/>
        <w:bCs/>
      </w:rPr>
      <w:tblPr/>
      <w:tcPr>
        <w:tcBorders>
          <w:top w:val="single" w:sz="8" w:space="0" w:color="F3EAE1" w:themeColor="accent4"/>
          <w:left w:val="nil"/>
          <w:bottom w:val="single" w:sz="8" w:space="0" w:color="F3EAE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9F7" w:themeFill="accent4" w:themeFillTint="3F"/>
      </w:tcPr>
    </w:tblStylePr>
    <w:tblStylePr w:type="band1Horz">
      <w:tblPr/>
      <w:tcPr>
        <w:tcBorders>
          <w:left w:val="nil"/>
          <w:right w:val="nil"/>
          <w:insideH w:val="nil"/>
          <w:insideV w:val="nil"/>
        </w:tcBorders>
        <w:shd w:val="clear" w:color="auto" w:fill="FCF9F7" w:themeFill="accent4" w:themeFillTint="3F"/>
      </w:tcPr>
    </w:tblStylePr>
  </w:style>
  <w:style w:type="table" w:styleId="Lichtearcering-accent5">
    <w:name w:val="Light Shading Accent 5"/>
    <w:basedOn w:val="Standaardtabel"/>
    <w:uiPriority w:val="59"/>
    <w:semiHidden/>
    <w:unhideWhenUsed/>
    <w:rsid w:val="00802144"/>
    <w:pPr>
      <w:spacing w:after="0" w:line="240" w:lineRule="auto"/>
    </w:pPr>
    <w:rPr>
      <w:color w:val="BC3C00" w:themeColor="accent5" w:themeShade="BF"/>
      <w:kern w:val="0"/>
      <w:sz w:val="20"/>
      <w:szCs w:val="20"/>
      <w:lang w:val="en-US"/>
      <w14:ligatures w14:val="none"/>
    </w:rPr>
    <w:tblPr>
      <w:tblStyleRowBandSize w:val="1"/>
      <w:tblStyleColBandSize w:val="1"/>
      <w:tblBorders>
        <w:top w:val="single" w:sz="8" w:space="0" w:color="FC5200" w:themeColor="accent5"/>
        <w:bottom w:val="single" w:sz="8" w:space="0" w:color="FC5200" w:themeColor="accent5"/>
      </w:tblBorders>
    </w:tblPr>
    <w:tblStylePr w:type="fir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lastRow">
      <w:pPr>
        <w:spacing w:before="0" w:after="0" w:line="240" w:lineRule="auto"/>
      </w:pPr>
      <w:rPr>
        <w:b/>
        <w:bCs/>
      </w:rPr>
      <w:tblPr/>
      <w:tcPr>
        <w:tcBorders>
          <w:top w:val="single" w:sz="8" w:space="0" w:color="FC5200" w:themeColor="accent5"/>
          <w:left w:val="nil"/>
          <w:bottom w:val="single" w:sz="8" w:space="0" w:color="FC52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3BF" w:themeFill="accent5" w:themeFillTint="3F"/>
      </w:tcPr>
    </w:tblStylePr>
    <w:tblStylePr w:type="band1Horz">
      <w:tblPr/>
      <w:tcPr>
        <w:tcBorders>
          <w:left w:val="nil"/>
          <w:right w:val="nil"/>
          <w:insideH w:val="nil"/>
          <w:insideV w:val="nil"/>
        </w:tcBorders>
        <w:shd w:val="clear" w:color="auto" w:fill="FFD3BF" w:themeFill="accent5" w:themeFillTint="3F"/>
      </w:tcPr>
    </w:tblStylePr>
  </w:style>
  <w:style w:type="table" w:styleId="Lichtearcering-accent6">
    <w:name w:val="Light Shading Accent 6"/>
    <w:basedOn w:val="Standaardtabel"/>
    <w:uiPriority w:val="59"/>
    <w:semiHidden/>
    <w:unhideWhenUsed/>
    <w:rsid w:val="00802144"/>
    <w:pPr>
      <w:spacing w:after="0" w:line="240" w:lineRule="auto"/>
    </w:pPr>
    <w:rPr>
      <w:color w:val="BFBFBF" w:themeColor="accent6" w:themeShade="BF"/>
      <w:kern w:val="0"/>
      <w:sz w:val="20"/>
      <w:szCs w:val="20"/>
      <w:lang w:val="en-US"/>
      <w14:ligatures w14:val="none"/>
    </w:rPr>
    <w:tblPr>
      <w:tblStyleRowBandSize w:val="1"/>
      <w:tblStyleColBandSize w:val="1"/>
      <w:tblBorders>
        <w:top w:val="single" w:sz="8" w:space="0" w:color="FFFFFF" w:themeColor="accent6"/>
        <w:bottom w:val="single" w:sz="8" w:space="0" w:color="FFFFFF" w:themeColor="accent6"/>
      </w:tblBorders>
    </w:tblPr>
    <w:tblStylePr w:type="fir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lastRow">
      <w:pPr>
        <w:spacing w:before="0" w:after="0" w:line="240" w:lineRule="auto"/>
      </w:pPr>
      <w:rPr>
        <w:b/>
        <w:bCs/>
      </w:rPr>
      <w:tblPr/>
      <w:tcPr>
        <w:tcBorders>
          <w:top w:val="single" w:sz="8" w:space="0" w:color="FFFFFF" w:themeColor="accent6"/>
          <w:left w:val="nil"/>
          <w:bottom w:val="single" w:sz="8" w:space="0" w:color="FFF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accent6" w:themeFillTint="3F"/>
      </w:tcPr>
    </w:tblStylePr>
    <w:tblStylePr w:type="band1Horz">
      <w:tblPr/>
      <w:tcPr>
        <w:tcBorders>
          <w:left w:val="nil"/>
          <w:right w:val="nil"/>
          <w:insideH w:val="nil"/>
          <w:insideV w:val="nil"/>
        </w:tcBorders>
        <w:shd w:val="clear" w:color="auto" w:fill="FFFFFF" w:themeFill="accent6" w:themeFillTint="3F"/>
      </w:tcPr>
    </w:tblStylePr>
  </w:style>
  <w:style w:type="table" w:styleId="Lichtelijst">
    <w:name w:val="Light List"/>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8" w:space="0" w:color="0C251B" w:themeColor="accent1"/>
        <w:left w:val="single" w:sz="8" w:space="0" w:color="0C251B" w:themeColor="accent1"/>
        <w:bottom w:val="single" w:sz="8" w:space="0" w:color="0C251B" w:themeColor="accent1"/>
        <w:right w:val="single" w:sz="8" w:space="0" w:color="0C251B" w:themeColor="accent1"/>
      </w:tblBorders>
    </w:tblPr>
    <w:tblStylePr w:type="firstRow">
      <w:pPr>
        <w:spacing w:before="0" w:after="0" w:line="240" w:lineRule="auto"/>
      </w:pPr>
      <w:rPr>
        <w:b/>
        <w:bCs/>
        <w:color w:val="FFFFFF" w:themeColor="background1"/>
      </w:rPr>
      <w:tblPr/>
      <w:tcPr>
        <w:shd w:val="clear" w:color="auto" w:fill="0C251B" w:themeFill="accent1"/>
      </w:tcPr>
    </w:tblStylePr>
    <w:tblStylePr w:type="lastRow">
      <w:pPr>
        <w:spacing w:before="0" w:after="0" w:line="240" w:lineRule="auto"/>
      </w:pPr>
      <w:rPr>
        <w:b/>
        <w:bCs/>
      </w:rPr>
      <w:tblPr/>
      <w:tcPr>
        <w:tcBorders>
          <w:top w:val="double" w:sz="6" w:space="0" w:color="0C251B" w:themeColor="accent1"/>
          <w:left w:val="single" w:sz="8" w:space="0" w:color="0C251B" w:themeColor="accent1"/>
          <w:bottom w:val="single" w:sz="8" w:space="0" w:color="0C251B" w:themeColor="accent1"/>
          <w:right w:val="single" w:sz="8" w:space="0" w:color="0C251B" w:themeColor="accent1"/>
        </w:tcBorders>
      </w:tcPr>
    </w:tblStylePr>
    <w:tblStylePr w:type="firstCol">
      <w:rPr>
        <w:b/>
        <w:bCs/>
      </w:rPr>
    </w:tblStylePr>
    <w:tblStylePr w:type="lastCol">
      <w:rPr>
        <w:b/>
        <w:bCs/>
      </w:rPr>
    </w:tblStylePr>
    <w:tblStylePr w:type="band1Vert">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tblStylePr w:type="band1Horz">
      <w:tblPr/>
      <w:tcPr>
        <w:tcBorders>
          <w:top w:val="single" w:sz="8" w:space="0" w:color="0C251B" w:themeColor="accent1"/>
          <w:left w:val="single" w:sz="8" w:space="0" w:color="0C251B" w:themeColor="accent1"/>
          <w:bottom w:val="single" w:sz="8" w:space="0" w:color="0C251B" w:themeColor="accent1"/>
          <w:right w:val="single" w:sz="8" w:space="0" w:color="0C251B" w:themeColor="accent1"/>
        </w:tcBorders>
      </w:tcPr>
    </w:tblStylePr>
  </w:style>
  <w:style w:type="table" w:styleId="Lichtelijst-accent2">
    <w:name w:val="Light List Accent 2"/>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004028" w:themeColor="accent2"/>
        <w:left w:val="single" w:sz="8" w:space="0" w:color="004028" w:themeColor="accent2"/>
        <w:bottom w:val="single" w:sz="8" w:space="0" w:color="004028" w:themeColor="accent2"/>
        <w:right w:val="single" w:sz="8" w:space="0" w:color="004028" w:themeColor="accent2"/>
      </w:tblBorders>
    </w:tblPr>
    <w:tblStylePr w:type="firstRow">
      <w:pPr>
        <w:spacing w:before="0" w:after="0" w:line="240" w:lineRule="auto"/>
      </w:pPr>
      <w:rPr>
        <w:b/>
        <w:bCs/>
        <w:color w:val="FFFFFF" w:themeColor="background1"/>
      </w:rPr>
      <w:tblPr/>
      <w:tcPr>
        <w:shd w:val="clear" w:color="auto" w:fill="004028" w:themeFill="accent2"/>
      </w:tcPr>
    </w:tblStylePr>
    <w:tblStylePr w:type="lastRow">
      <w:pPr>
        <w:spacing w:before="0" w:after="0" w:line="240" w:lineRule="auto"/>
      </w:pPr>
      <w:rPr>
        <w:b/>
        <w:bCs/>
      </w:rPr>
      <w:tblPr/>
      <w:tcPr>
        <w:tcBorders>
          <w:top w:val="double" w:sz="6" w:space="0" w:color="004028" w:themeColor="accent2"/>
          <w:left w:val="single" w:sz="8" w:space="0" w:color="004028" w:themeColor="accent2"/>
          <w:bottom w:val="single" w:sz="8" w:space="0" w:color="004028" w:themeColor="accent2"/>
          <w:right w:val="single" w:sz="8" w:space="0" w:color="004028" w:themeColor="accent2"/>
        </w:tcBorders>
      </w:tcPr>
    </w:tblStylePr>
    <w:tblStylePr w:type="firstCol">
      <w:rPr>
        <w:b/>
        <w:bCs/>
      </w:rPr>
    </w:tblStylePr>
    <w:tblStylePr w:type="lastCol">
      <w:rPr>
        <w:b/>
        <w:bCs/>
      </w:rPr>
    </w:tblStylePr>
    <w:tblStylePr w:type="band1Vert">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tblStylePr w:type="band1Horz">
      <w:tblPr/>
      <w:tcPr>
        <w:tcBorders>
          <w:top w:val="single" w:sz="8" w:space="0" w:color="004028" w:themeColor="accent2"/>
          <w:left w:val="single" w:sz="8" w:space="0" w:color="004028" w:themeColor="accent2"/>
          <w:bottom w:val="single" w:sz="8" w:space="0" w:color="004028" w:themeColor="accent2"/>
          <w:right w:val="single" w:sz="8" w:space="0" w:color="004028" w:themeColor="accent2"/>
        </w:tcBorders>
      </w:tcPr>
    </w:tblStylePr>
  </w:style>
  <w:style w:type="table" w:styleId="Lichtelijst-accent3">
    <w:name w:val="Light List Accent 3"/>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7F7EE" w:themeColor="accent3"/>
        <w:left w:val="single" w:sz="8" w:space="0" w:color="F7F7EE" w:themeColor="accent3"/>
        <w:bottom w:val="single" w:sz="8" w:space="0" w:color="F7F7EE" w:themeColor="accent3"/>
        <w:right w:val="single" w:sz="8" w:space="0" w:color="F7F7EE" w:themeColor="accent3"/>
      </w:tblBorders>
    </w:tblPr>
    <w:tblStylePr w:type="firstRow">
      <w:pPr>
        <w:spacing w:before="0" w:after="0" w:line="240" w:lineRule="auto"/>
      </w:pPr>
      <w:rPr>
        <w:b/>
        <w:bCs/>
        <w:color w:val="FFFFFF" w:themeColor="background1"/>
      </w:rPr>
      <w:tblPr/>
      <w:tcPr>
        <w:shd w:val="clear" w:color="auto" w:fill="F7F7EE" w:themeFill="accent3"/>
      </w:tcPr>
    </w:tblStylePr>
    <w:tblStylePr w:type="lastRow">
      <w:pPr>
        <w:spacing w:before="0" w:after="0" w:line="240" w:lineRule="auto"/>
      </w:pPr>
      <w:rPr>
        <w:b/>
        <w:bCs/>
      </w:rPr>
      <w:tblPr/>
      <w:tcPr>
        <w:tcBorders>
          <w:top w:val="double" w:sz="6" w:space="0" w:color="F7F7EE" w:themeColor="accent3"/>
          <w:left w:val="single" w:sz="8" w:space="0" w:color="F7F7EE" w:themeColor="accent3"/>
          <w:bottom w:val="single" w:sz="8" w:space="0" w:color="F7F7EE" w:themeColor="accent3"/>
          <w:right w:val="single" w:sz="8" w:space="0" w:color="F7F7EE" w:themeColor="accent3"/>
        </w:tcBorders>
      </w:tcPr>
    </w:tblStylePr>
    <w:tblStylePr w:type="firstCol">
      <w:rPr>
        <w:b/>
        <w:bCs/>
      </w:rPr>
    </w:tblStylePr>
    <w:tblStylePr w:type="lastCol">
      <w:rPr>
        <w:b/>
        <w:bCs/>
      </w:rPr>
    </w:tblStylePr>
    <w:tblStylePr w:type="band1Vert">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tblStylePr w:type="band1Horz">
      <w:tblPr/>
      <w:tcPr>
        <w:tcBorders>
          <w:top w:val="single" w:sz="8" w:space="0" w:color="F7F7EE" w:themeColor="accent3"/>
          <w:left w:val="single" w:sz="8" w:space="0" w:color="F7F7EE" w:themeColor="accent3"/>
          <w:bottom w:val="single" w:sz="8" w:space="0" w:color="F7F7EE" w:themeColor="accent3"/>
          <w:right w:val="single" w:sz="8" w:space="0" w:color="F7F7EE" w:themeColor="accent3"/>
        </w:tcBorders>
      </w:tcPr>
    </w:tblStylePr>
  </w:style>
  <w:style w:type="table" w:styleId="Lichtelijst-accent4">
    <w:name w:val="Light List Accent 4"/>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3EAE1" w:themeColor="accent4"/>
        <w:left w:val="single" w:sz="8" w:space="0" w:color="F3EAE1" w:themeColor="accent4"/>
        <w:bottom w:val="single" w:sz="8" w:space="0" w:color="F3EAE1" w:themeColor="accent4"/>
        <w:right w:val="single" w:sz="8" w:space="0" w:color="F3EAE1" w:themeColor="accent4"/>
      </w:tblBorders>
    </w:tblPr>
    <w:tblStylePr w:type="firstRow">
      <w:pPr>
        <w:spacing w:before="0" w:after="0" w:line="240" w:lineRule="auto"/>
      </w:pPr>
      <w:rPr>
        <w:b/>
        <w:bCs/>
        <w:color w:val="FFFFFF" w:themeColor="background1"/>
      </w:rPr>
      <w:tblPr/>
      <w:tcPr>
        <w:shd w:val="clear" w:color="auto" w:fill="F3EAE1" w:themeFill="accent4"/>
      </w:tcPr>
    </w:tblStylePr>
    <w:tblStylePr w:type="lastRow">
      <w:pPr>
        <w:spacing w:before="0" w:after="0" w:line="240" w:lineRule="auto"/>
      </w:pPr>
      <w:rPr>
        <w:b/>
        <w:bCs/>
      </w:rPr>
      <w:tblPr/>
      <w:tcPr>
        <w:tcBorders>
          <w:top w:val="double" w:sz="6" w:space="0" w:color="F3EAE1" w:themeColor="accent4"/>
          <w:left w:val="single" w:sz="8" w:space="0" w:color="F3EAE1" w:themeColor="accent4"/>
          <w:bottom w:val="single" w:sz="8" w:space="0" w:color="F3EAE1" w:themeColor="accent4"/>
          <w:right w:val="single" w:sz="8" w:space="0" w:color="F3EAE1" w:themeColor="accent4"/>
        </w:tcBorders>
      </w:tcPr>
    </w:tblStylePr>
    <w:tblStylePr w:type="firstCol">
      <w:rPr>
        <w:b/>
        <w:bCs/>
      </w:rPr>
    </w:tblStylePr>
    <w:tblStylePr w:type="lastCol">
      <w:rPr>
        <w:b/>
        <w:bCs/>
      </w:rPr>
    </w:tblStylePr>
    <w:tblStylePr w:type="band1Vert">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tblStylePr w:type="band1Horz">
      <w:tblPr/>
      <w:tcPr>
        <w:tcBorders>
          <w:top w:val="single" w:sz="8" w:space="0" w:color="F3EAE1" w:themeColor="accent4"/>
          <w:left w:val="single" w:sz="8" w:space="0" w:color="F3EAE1" w:themeColor="accent4"/>
          <w:bottom w:val="single" w:sz="8" w:space="0" w:color="F3EAE1" w:themeColor="accent4"/>
          <w:right w:val="single" w:sz="8" w:space="0" w:color="F3EAE1" w:themeColor="accent4"/>
        </w:tcBorders>
      </w:tcPr>
    </w:tblStylePr>
  </w:style>
  <w:style w:type="table" w:styleId="Lichtelijst-accent5">
    <w:name w:val="Light List Accent 5"/>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C5200" w:themeColor="accent5"/>
        <w:left w:val="single" w:sz="8" w:space="0" w:color="FC5200" w:themeColor="accent5"/>
        <w:bottom w:val="single" w:sz="8" w:space="0" w:color="FC5200" w:themeColor="accent5"/>
        <w:right w:val="single" w:sz="8" w:space="0" w:color="FC5200" w:themeColor="accent5"/>
      </w:tblBorders>
    </w:tblPr>
    <w:tblStylePr w:type="firstRow">
      <w:pPr>
        <w:spacing w:before="0" w:after="0" w:line="240" w:lineRule="auto"/>
      </w:pPr>
      <w:rPr>
        <w:b/>
        <w:bCs/>
        <w:color w:val="FFFFFF" w:themeColor="background1"/>
      </w:rPr>
      <w:tblPr/>
      <w:tcPr>
        <w:shd w:val="clear" w:color="auto" w:fill="FC5200" w:themeFill="accent5"/>
      </w:tcPr>
    </w:tblStylePr>
    <w:tblStylePr w:type="lastRow">
      <w:pPr>
        <w:spacing w:before="0" w:after="0" w:line="240" w:lineRule="auto"/>
      </w:pPr>
      <w:rPr>
        <w:b/>
        <w:bCs/>
      </w:rPr>
      <w:tblPr/>
      <w:tcPr>
        <w:tcBorders>
          <w:top w:val="double" w:sz="6" w:space="0" w:color="FC5200" w:themeColor="accent5"/>
          <w:left w:val="single" w:sz="8" w:space="0" w:color="FC5200" w:themeColor="accent5"/>
          <w:bottom w:val="single" w:sz="8" w:space="0" w:color="FC5200" w:themeColor="accent5"/>
          <w:right w:val="single" w:sz="8" w:space="0" w:color="FC5200" w:themeColor="accent5"/>
        </w:tcBorders>
      </w:tcPr>
    </w:tblStylePr>
    <w:tblStylePr w:type="firstCol">
      <w:rPr>
        <w:b/>
        <w:bCs/>
      </w:rPr>
    </w:tblStylePr>
    <w:tblStylePr w:type="lastCol">
      <w:rPr>
        <w:b/>
        <w:bCs/>
      </w:rPr>
    </w:tblStylePr>
    <w:tblStylePr w:type="band1Vert">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tblStylePr w:type="band1Horz">
      <w:tblPr/>
      <w:tcPr>
        <w:tcBorders>
          <w:top w:val="single" w:sz="8" w:space="0" w:color="FC5200" w:themeColor="accent5"/>
          <w:left w:val="single" w:sz="8" w:space="0" w:color="FC5200" w:themeColor="accent5"/>
          <w:bottom w:val="single" w:sz="8" w:space="0" w:color="FC5200" w:themeColor="accent5"/>
          <w:right w:val="single" w:sz="8" w:space="0" w:color="FC5200" w:themeColor="accent5"/>
        </w:tcBorders>
      </w:tcPr>
    </w:tblStylePr>
  </w:style>
  <w:style w:type="table" w:styleId="Lichtelijst-accent6">
    <w:name w:val="Light List Accent 6"/>
    <w:basedOn w:val="Standaardtabel"/>
    <w:uiPriority w:val="59"/>
    <w:semiHidden/>
    <w:unhideWhenUsed/>
    <w:rsid w:val="00802144"/>
    <w:pPr>
      <w:spacing w:after="0" w:line="240" w:lineRule="auto"/>
    </w:pPr>
    <w:rPr>
      <w:kern w:val="0"/>
      <w:sz w:val="20"/>
      <w:szCs w:val="20"/>
      <w:lang w:val="en-US"/>
      <w14:ligatures w14:val="none"/>
    </w:rPr>
    <w:tblPr>
      <w:tblStyleRowBandSize w:val="1"/>
      <w:tblStyleColBandSize w:val="1"/>
      <w:tblBorders>
        <w:top w:val="single" w:sz="8" w:space="0" w:color="FFFFFF" w:themeColor="accent6"/>
        <w:left w:val="single" w:sz="8" w:space="0" w:color="FFFFFF" w:themeColor="accent6"/>
        <w:bottom w:val="single" w:sz="8" w:space="0" w:color="FFFFFF" w:themeColor="accent6"/>
        <w:right w:val="single" w:sz="8" w:space="0" w:color="FFFFFF" w:themeColor="accent6"/>
      </w:tblBorders>
    </w:tblPr>
    <w:tblStylePr w:type="firstRow">
      <w:pPr>
        <w:spacing w:before="0" w:after="0" w:line="240" w:lineRule="auto"/>
      </w:pPr>
      <w:rPr>
        <w:b/>
        <w:bCs/>
        <w:color w:val="FFFFFF" w:themeColor="background1"/>
      </w:rPr>
      <w:tblPr/>
      <w:tcPr>
        <w:shd w:val="clear" w:color="auto" w:fill="FFFFFF" w:themeFill="accent6"/>
      </w:tcPr>
    </w:tblStylePr>
    <w:tblStylePr w:type="lastRow">
      <w:pPr>
        <w:spacing w:before="0" w:after="0" w:line="240" w:lineRule="auto"/>
      </w:pPr>
      <w:rPr>
        <w:b/>
        <w:bCs/>
      </w:rPr>
      <w:tblPr/>
      <w:tcPr>
        <w:tcBorders>
          <w:top w:val="double" w:sz="6" w:space="0" w:color="FFFFFF" w:themeColor="accent6"/>
          <w:left w:val="single" w:sz="8" w:space="0" w:color="FFFFFF" w:themeColor="accent6"/>
          <w:bottom w:val="single" w:sz="8" w:space="0" w:color="FFFFFF" w:themeColor="accent6"/>
          <w:right w:val="single" w:sz="8" w:space="0" w:color="FFFFFF" w:themeColor="accent6"/>
        </w:tcBorders>
      </w:tcPr>
    </w:tblStylePr>
    <w:tblStylePr w:type="firstCol">
      <w:rPr>
        <w:b/>
        <w:bCs/>
      </w:rPr>
    </w:tblStylePr>
    <w:tblStylePr w:type="lastCol">
      <w:rPr>
        <w:b/>
        <w:bCs/>
      </w:rPr>
    </w:tblStylePr>
    <w:tblStylePr w:type="band1Vert">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tblStylePr w:type="band1Horz">
      <w:tblPr/>
      <w:tcPr>
        <w:tcBorders>
          <w:top w:val="single" w:sz="8" w:space="0" w:color="FFFFFF" w:themeColor="accent6"/>
          <w:left w:val="single" w:sz="8" w:space="0" w:color="FFFFFF" w:themeColor="accent6"/>
          <w:bottom w:val="single" w:sz="8" w:space="0" w:color="FFFFFF" w:themeColor="accent6"/>
          <w:right w:val="single" w:sz="8" w:space="0" w:color="FFFFFF" w:themeColor="accent6"/>
        </w:tcBorders>
      </w:tcPr>
    </w:tblStylePr>
  </w:style>
  <w:style w:type="paragraph" w:styleId="Lijst">
    <w:name w:val="List"/>
    <w:basedOn w:val="Standaard"/>
    <w:uiPriority w:val="59"/>
    <w:semiHidden/>
    <w:unhideWhenUsed/>
    <w:rsid w:val="00802144"/>
    <w:pPr>
      <w:ind w:left="283" w:hanging="283"/>
      <w:contextualSpacing/>
    </w:pPr>
  </w:style>
  <w:style w:type="paragraph" w:styleId="Lijst2">
    <w:name w:val="List 2"/>
    <w:basedOn w:val="Standaard"/>
    <w:uiPriority w:val="59"/>
    <w:semiHidden/>
    <w:unhideWhenUsed/>
    <w:rsid w:val="00802144"/>
    <w:pPr>
      <w:ind w:left="566" w:hanging="283"/>
      <w:contextualSpacing/>
    </w:pPr>
  </w:style>
  <w:style w:type="paragraph" w:styleId="Lijst3">
    <w:name w:val="List 3"/>
    <w:basedOn w:val="Standaard"/>
    <w:uiPriority w:val="59"/>
    <w:semiHidden/>
    <w:unhideWhenUsed/>
    <w:rsid w:val="00802144"/>
    <w:pPr>
      <w:ind w:left="849" w:hanging="283"/>
      <w:contextualSpacing/>
    </w:pPr>
  </w:style>
  <w:style w:type="paragraph" w:styleId="Lijst4">
    <w:name w:val="List 4"/>
    <w:basedOn w:val="Standaard"/>
    <w:uiPriority w:val="59"/>
    <w:semiHidden/>
    <w:unhideWhenUsed/>
    <w:rsid w:val="00802144"/>
    <w:pPr>
      <w:ind w:left="1132" w:hanging="283"/>
      <w:contextualSpacing/>
    </w:pPr>
  </w:style>
  <w:style w:type="paragraph" w:styleId="Lijst5">
    <w:name w:val="List 5"/>
    <w:basedOn w:val="Standaard"/>
    <w:uiPriority w:val="59"/>
    <w:semiHidden/>
    <w:unhideWhenUsed/>
    <w:rsid w:val="00802144"/>
    <w:pPr>
      <w:ind w:left="1415" w:hanging="283"/>
      <w:contextualSpacing/>
    </w:pPr>
  </w:style>
  <w:style w:type="paragraph" w:styleId="Lijstmetafbeeldingen">
    <w:name w:val="table of figures"/>
    <w:basedOn w:val="Standaard"/>
    <w:next w:val="Standaard"/>
    <w:uiPriority w:val="59"/>
    <w:semiHidden/>
    <w:unhideWhenUsed/>
    <w:rsid w:val="00802144"/>
  </w:style>
  <w:style w:type="paragraph" w:styleId="Lijstopsomteken">
    <w:name w:val="List Bullet"/>
    <w:basedOn w:val="Standaard"/>
    <w:uiPriority w:val="59"/>
    <w:semiHidden/>
    <w:unhideWhenUsed/>
    <w:rsid w:val="00802144"/>
    <w:pPr>
      <w:numPr>
        <w:numId w:val="25"/>
      </w:numPr>
      <w:tabs>
        <w:tab w:val="clear" w:pos="360"/>
      </w:tabs>
      <w:ind w:left="0" w:firstLine="0"/>
      <w:contextualSpacing/>
    </w:pPr>
  </w:style>
  <w:style w:type="paragraph" w:styleId="Lijstopsomteken2">
    <w:name w:val="List Bullet 2"/>
    <w:basedOn w:val="Standaard"/>
    <w:uiPriority w:val="59"/>
    <w:semiHidden/>
    <w:unhideWhenUsed/>
    <w:rsid w:val="00802144"/>
    <w:pPr>
      <w:numPr>
        <w:numId w:val="26"/>
      </w:numPr>
      <w:tabs>
        <w:tab w:val="clear" w:pos="643"/>
      </w:tabs>
      <w:ind w:left="0" w:firstLine="0"/>
      <w:contextualSpacing/>
    </w:pPr>
  </w:style>
  <w:style w:type="paragraph" w:styleId="Lijstopsomteken3">
    <w:name w:val="List Bullet 3"/>
    <w:basedOn w:val="Standaard"/>
    <w:uiPriority w:val="59"/>
    <w:semiHidden/>
    <w:unhideWhenUsed/>
    <w:rsid w:val="00802144"/>
    <w:pPr>
      <w:numPr>
        <w:numId w:val="27"/>
      </w:numPr>
      <w:tabs>
        <w:tab w:val="clear" w:pos="926"/>
      </w:tabs>
      <w:ind w:left="0" w:firstLine="0"/>
      <w:contextualSpacing/>
    </w:pPr>
  </w:style>
  <w:style w:type="paragraph" w:styleId="Lijstopsomteken4">
    <w:name w:val="List Bullet 4"/>
    <w:basedOn w:val="Standaard"/>
    <w:uiPriority w:val="59"/>
    <w:semiHidden/>
    <w:unhideWhenUsed/>
    <w:rsid w:val="00802144"/>
    <w:pPr>
      <w:numPr>
        <w:numId w:val="28"/>
      </w:numPr>
      <w:tabs>
        <w:tab w:val="clear" w:pos="1209"/>
      </w:tabs>
      <w:ind w:left="0" w:firstLine="0"/>
      <w:contextualSpacing/>
    </w:pPr>
  </w:style>
  <w:style w:type="paragraph" w:styleId="Lijstopsomteken5">
    <w:name w:val="List Bullet 5"/>
    <w:basedOn w:val="Standaard"/>
    <w:uiPriority w:val="59"/>
    <w:semiHidden/>
    <w:unhideWhenUsed/>
    <w:rsid w:val="00802144"/>
    <w:pPr>
      <w:numPr>
        <w:numId w:val="29"/>
      </w:numPr>
      <w:tabs>
        <w:tab w:val="clear" w:pos="1492"/>
      </w:tabs>
      <w:ind w:left="0" w:firstLine="0"/>
      <w:contextualSpacing/>
    </w:pPr>
  </w:style>
  <w:style w:type="paragraph" w:styleId="Lijstnummering">
    <w:name w:val="List Number"/>
    <w:basedOn w:val="Standaard"/>
    <w:uiPriority w:val="59"/>
    <w:semiHidden/>
    <w:unhideWhenUsed/>
    <w:rsid w:val="00802144"/>
    <w:pPr>
      <w:numPr>
        <w:numId w:val="30"/>
      </w:numPr>
      <w:tabs>
        <w:tab w:val="clear" w:pos="360"/>
      </w:tabs>
      <w:ind w:left="0" w:firstLine="0"/>
      <w:contextualSpacing/>
    </w:pPr>
  </w:style>
  <w:style w:type="paragraph" w:styleId="Lijstnummering2">
    <w:name w:val="List Number 2"/>
    <w:basedOn w:val="Standaard"/>
    <w:uiPriority w:val="59"/>
    <w:semiHidden/>
    <w:unhideWhenUsed/>
    <w:rsid w:val="00802144"/>
    <w:pPr>
      <w:numPr>
        <w:numId w:val="31"/>
      </w:numPr>
      <w:tabs>
        <w:tab w:val="clear" w:pos="643"/>
      </w:tabs>
      <w:ind w:left="0" w:firstLine="0"/>
      <w:contextualSpacing/>
    </w:pPr>
  </w:style>
  <w:style w:type="paragraph" w:styleId="Lijstnummering3">
    <w:name w:val="List Number 3"/>
    <w:basedOn w:val="Standaard"/>
    <w:uiPriority w:val="59"/>
    <w:semiHidden/>
    <w:unhideWhenUsed/>
    <w:rsid w:val="00802144"/>
    <w:pPr>
      <w:numPr>
        <w:numId w:val="32"/>
      </w:numPr>
      <w:tabs>
        <w:tab w:val="clear" w:pos="926"/>
      </w:tabs>
      <w:ind w:left="0" w:firstLine="0"/>
      <w:contextualSpacing/>
    </w:pPr>
  </w:style>
  <w:style w:type="paragraph" w:styleId="Lijstnummering4">
    <w:name w:val="List Number 4"/>
    <w:basedOn w:val="Standaard"/>
    <w:uiPriority w:val="59"/>
    <w:semiHidden/>
    <w:unhideWhenUsed/>
    <w:rsid w:val="00802144"/>
    <w:pPr>
      <w:numPr>
        <w:numId w:val="33"/>
      </w:numPr>
      <w:tabs>
        <w:tab w:val="clear" w:pos="1209"/>
      </w:tabs>
      <w:ind w:left="0" w:firstLine="0"/>
      <w:contextualSpacing/>
    </w:pPr>
  </w:style>
  <w:style w:type="paragraph" w:styleId="Lijstnummering5">
    <w:name w:val="List Number 5"/>
    <w:basedOn w:val="Standaard"/>
    <w:uiPriority w:val="59"/>
    <w:semiHidden/>
    <w:unhideWhenUsed/>
    <w:rsid w:val="00802144"/>
    <w:pPr>
      <w:numPr>
        <w:numId w:val="34"/>
      </w:numPr>
      <w:tabs>
        <w:tab w:val="clear" w:pos="1492"/>
      </w:tabs>
      <w:ind w:left="0" w:firstLine="0"/>
      <w:contextualSpacing/>
    </w:pPr>
  </w:style>
  <w:style w:type="table" w:styleId="Lijsttabel1licht">
    <w:name w:val="List Table 1 Light"/>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39B080" w:themeColor="accent1" w:themeTint="99"/>
        </w:tcBorders>
      </w:tcPr>
    </w:tblStylePr>
    <w:tblStylePr w:type="lastRow">
      <w:rPr>
        <w:b/>
        <w:bCs/>
      </w:rPr>
      <w:tblPr/>
      <w:tcPr>
        <w:tcBorders>
          <w:top w:val="sing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1licht-Accent2">
    <w:name w:val="List Table 1 Light Accent 2"/>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00F297" w:themeColor="accent2" w:themeTint="99"/>
        </w:tcBorders>
      </w:tcPr>
    </w:tblStylePr>
    <w:tblStylePr w:type="lastRow">
      <w:rPr>
        <w:b/>
        <w:bCs/>
      </w:rPr>
      <w:tblPr/>
      <w:tcPr>
        <w:tcBorders>
          <w:top w:val="sing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1licht-Accent3">
    <w:name w:val="List Table 1 Light Accent 3"/>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AFAF4" w:themeColor="accent3" w:themeTint="99"/>
        </w:tcBorders>
      </w:tcPr>
    </w:tblStylePr>
    <w:tblStylePr w:type="lastRow">
      <w:rPr>
        <w:b/>
        <w:bCs/>
      </w:rPr>
      <w:tblPr/>
      <w:tcPr>
        <w:tcBorders>
          <w:top w:val="sing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1licht-Accent4">
    <w:name w:val="List Table 1 Light Accent 4"/>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7F2EC" w:themeColor="accent4" w:themeTint="99"/>
        </w:tcBorders>
      </w:tcPr>
    </w:tblStylePr>
    <w:tblStylePr w:type="lastRow">
      <w:rPr>
        <w:b/>
        <w:bCs/>
      </w:rPr>
      <w:tblPr/>
      <w:tcPr>
        <w:tcBorders>
          <w:top w:val="sing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1licht-Accent5">
    <w:name w:val="List Table 1 Light Accent 5"/>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9564" w:themeColor="accent5" w:themeTint="99"/>
        </w:tcBorders>
      </w:tcPr>
    </w:tblStylePr>
    <w:tblStylePr w:type="lastRow">
      <w:rPr>
        <w:b/>
        <w:bCs/>
      </w:rPr>
      <w:tblPr/>
      <w:tcPr>
        <w:tcBorders>
          <w:top w:val="sing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1licht-Accent6">
    <w:name w:val="List Table 1 Light Accent 6"/>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2">
    <w:name w:val="List Table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bottom w:val="single" w:sz="4" w:space="0" w:color="39B080" w:themeColor="accent1" w:themeTint="99"/>
        <w:insideH w:val="single" w:sz="4" w:space="0" w:color="39B08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2-Accent2">
    <w:name w:val="List Table 2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bottom w:val="single" w:sz="4" w:space="0" w:color="00F297" w:themeColor="accent2" w:themeTint="99"/>
        <w:insideH w:val="single" w:sz="4" w:space="0" w:color="00F29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2-Accent3">
    <w:name w:val="List Table 2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bottom w:val="single" w:sz="4" w:space="0" w:color="FAFAF4" w:themeColor="accent3" w:themeTint="99"/>
        <w:insideH w:val="single" w:sz="4" w:space="0" w:color="FAFA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2-Accent4">
    <w:name w:val="List Table 2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bottom w:val="single" w:sz="4" w:space="0" w:color="F7F2EC" w:themeColor="accent4" w:themeTint="99"/>
        <w:insideH w:val="single" w:sz="4" w:space="0" w:color="F7F2E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2-Accent5">
    <w:name w:val="List Table 2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bottom w:val="single" w:sz="4" w:space="0" w:color="FF9564" w:themeColor="accent5" w:themeTint="99"/>
        <w:insideH w:val="single" w:sz="4" w:space="0" w:color="FF956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2-Accent6">
    <w:name w:val="List Table 2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bottom w:val="single" w:sz="4" w:space="0" w:color="FFFFFF" w:themeColor="accent6" w:themeTint="99"/>
        <w:insideH w:val="single" w:sz="4" w:space="0" w:color="FFF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3">
    <w:name w:val="List Table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C251B" w:themeColor="accent1"/>
        <w:left w:val="single" w:sz="4" w:space="0" w:color="0C251B" w:themeColor="accent1"/>
        <w:bottom w:val="single" w:sz="4" w:space="0" w:color="0C251B" w:themeColor="accent1"/>
        <w:right w:val="single" w:sz="4" w:space="0" w:color="0C251B" w:themeColor="accent1"/>
      </w:tblBorders>
    </w:tblPr>
    <w:tblStylePr w:type="firstRow">
      <w:rPr>
        <w:b/>
        <w:bCs/>
        <w:color w:val="FFFFFF" w:themeColor="background1"/>
      </w:rPr>
      <w:tblPr/>
      <w:tcPr>
        <w:shd w:val="clear" w:color="auto" w:fill="0C251B" w:themeFill="accent1"/>
      </w:tcPr>
    </w:tblStylePr>
    <w:tblStylePr w:type="lastRow">
      <w:rPr>
        <w:b/>
        <w:bCs/>
      </w:rPr>
      <w:tblPr/>
      <w:tcPr>
        <w:tcBorders>
          <w:top w:val="double" w:sz="4" w:space="0" w:color="0C251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C251B" w:themeColor="accent1"/>
          <w:right w:val="single" w:sz="4" w:space="0" w:color="0C251B" w:themeColor="accent1"/>
        </w:tcBorders>
      </w:tcPr>
    </w:tblStylePr>
    <w:tblStylePr w:type="band1Horz">
      <w:tblPr/>
      <w:tcPr>
        <w:tcBorders>
          <w:top w:val="single" w:sz="4" w:space="0" w:color="0C251B" w:themeColor="accent1"/>
          <w:bottom w:val="single" w:sz="4" w:space="0" w:color="0C251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C251B" w:themeColor="accent1"/>
          <w:left w:val="nil"/>
        </w:tcBorders>
      </w:tcPr>
    </w:tblStylePr>
    <w:tblStylePr w:type="swCell">
      <w:tblPr/>
      <w:tcPr>
        <w:tcBorders>
          <w:top w:val="double" w:sz="4" w:space="0" w:color="0C251B" w:themeColor="accent1"/>
          <w:right w:val="nil"/>
        </w:tcBorders>
      </w:tcPr>
    </w:tblStylePr>
  </w:style>
  <w:style w:type="table" w:styleId="Lijsttabel3-Accent2">
    <w:name w:val="List Table 3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4028" w:themeColor="accent2"/>
        <w:left w:val="single" w:sz="4" w:space="0" w:color="004028" w:themeColor="accent2"/>
        <w:bottom w:val="single" w:sz="4" w:space="0" w:color="004028" w:themeColor="accent2"/>
        <w:right w:val="single" w:sz="4" w:space="0" w:color="004028" w:themeColor="accent2"/>
      </w:tblBorders>
    </w:tblPr>
    <w:tblStylePr w:type="firstRow">
      <w:rPr>
        <w:b/>
        <w:bCs/>
        <w:color w:val="FFFFFF" w:themeColor="background1"/>
      </w:rPr>
      <w:tblPr/>
      <w:tcPr>
        <w:shd w:val="clear" w:color="auto" w:fill="004028" w:themeFill="accent2"/>
      </w:tcPr>
    </w:tblStylePr>
    <w:tblStylePr w:type="lastRow">
      <w:rPr>
        <w:b/>
        <w:bCs/>
      </w:rPr>
      <w:tblPr/>
      <w:tcPr>
        <w:tcBorders>
          <w:top w:val="double" w:sz="4" w:space="0" w:color="00402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028" w:themeColor="accent2"/>
          <w:right w:val="single" w:sz="4" w:space="0" w:color="004028" w:themeColor="accent2"/>
        </w:tcBorders>
      </w:tcPr>
    </w:tblStylePr>
    <w:tblStylePr w:type="band1Horz">
      <w:tblPr/>
      <w:tcPr>
        <w:tcBorders>
          <w:top w:val="single" w:sz="4" w:space="0" w:color="004028" w:themeColor="accent2"/>
          <w:bottom w:val="single" w:sz="4" w:space="0" w:color="00402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028" w:themeColor="accent2"/>
          <w:left w:val="nil"/>
        </w:tcBorders>
      </w:tcPr>
    </w:tblStylePr>
    <w:tblStylePr w:type="swCell">
      <w:tblPr/>
      <w:tcPr>
        <w:tcBorders>
          <w:top w:val="double" w:sz="4" w:space="0" w:color="004028" w:themeColor="accent2"/>
          <w:right w:val="nil"/>
        </w:tcBorders>
      </w:tcPr>
    </w:tblStylePr>
  </w:style>
  <w:style w:type="table" w:styleId="Lijsttabel3-Accent3">
    <w:name w:val="List Table 3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7F7EE" w:themeColor="accent3"/>
        <w:left w:val="single" w:sz="4" w:space="0" w:color="F7F7EE" w:themeColor="accent3"/>
        <w:bottom w:val="single" w:sz="4" w:space="0" w:color="F7F7EE" w:themeColor="accent3"/>
        <w:right w:val="single" w:sz="4" w:space="0" w:color="F7F7EE" w:themeColor="accent3"/>
      </w:tblBorders>
    </w:tblPr>
    <w:tblStylePr w:type="firstRow">
      <w:rPr>
        <w:b/>
        <w:bCs/>
        <w:color w:val="FFFFFF" w:themeColor="background1"/>
      </w:rPr>
      <w:tblPr/>
      <w:tcPr>
        <w:shd w:val="clear" w:color="auto" w:fill="F7F7EE" w:themeFill="accent3"/>
      </w:tcPr>
    </w:tblStylePr>
    <w:tblStylePr w:type="lastRow">
      <w:rPr>
        <w:b/>
        <w:bCs/>
      </w:rPr>
      <w:tblPr/>
      <w:tcPr>
        <w:tcBorders>
          <w:top w:val="double" w:sz="4" w:space="0" w:color="F7F7E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F7EE" w:themeColor="accent3"/>
          <w:right w:val="single" w:sz="4" w:space="0" w:color="F7F7EE" w:themeColor="accent3"/>
        </w:tcBorders>
      </w:tcPr>
    </w:tblStylePr>
    <w:tblStylePr w:type="band1Horz">
      <w:tblPr/>
      <w:tcPr>
        <w:tcBorders>
          <w:top w:val="single" w:sz="4" w:space="0" w:color="F7F7EE" w:themeColor="accent3"/>
          <w:bottom w:val="single" w:sz="4" w:space="0" w:color="F7F7E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F7EE" w:themeColor="accent3"/>
          <w:left w:val="nil"/>
        </w:tcBorders>
      </w:tcPr>
    </w:tblStylePr>
    <w:tblStylePr w:type="swCell">
      <w:tblPr/>
      <w:tcPr>
        <w:tcBorders>
          <w:top w:val="double" w:sz="4" w:space="0" w:color="F7F7EE" w:themeColor="accent3"/>
          <w:right w:val="nil"/>
        </w:tcBorders>
      </w:tcPr>
    </w:tblStylePr>
  </w:style>
  <w:style w:type="table" w:styleId="Lijsttabel3-Accent4">
    <w:name w:val="List Table 3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3EAE1" w:themeColor="accent4"/>
        <w:left w:val="single" w:sz="4" w:space="0" w:color="F3EAE1" w:themeColor="accent4"/>
        <w:bottom w:val="single" w:sz="4" w:space="0" w:color="F3EAE1" w:themeColor="accent4"/>
        <w:right w:val="single" w:sz="4" w:space="0" w:color="F3EAE1" w:themeColor="accent4"/>
      </w:tblBorders>
    </w:tblPr>
    <w:tblStylePr w:type="firstRow">
      <w:rPr>
        <w:b/>
        <w:bCs/>
        <w:color w:val="FFFFFF" w:themeColor="background1"/>
      </w:rPr>
      <w:tblPr/>
      <w:tcPr>
        <w:shd w:val="clear" w:color="auto" w:fill="F3EAE1" w:themeFill="accent4"/>
      </w:tcPr>
    </w:tblStylePr>
    <w:tblStylePr w:type="lastRow">
      <w:rPr>
        <w:b/>
        <w:bCs/>
      </w:rPr>
      <w:tblPr/>
      <w:tcPr>
        <w:tcBorders>
          <w:top w:val="double" w:sz="4" w:space="0" w:color="F3EAE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3EAE1" w:themeColor="accent4"/>
          <w:right w:val="single" w:sz="4" w:space="0" w:color="F3EAE1" w:themeColor="accent4"/>
        </w:tcBorders>
      </w:tcPr>
    </w:tblStylePr>
    <w:tblStylePr w:type="band1Horz">
      <w:tblPr/>
      <w:tcPr>
        <w:tcBorders>
          <w:top w:val="single" w:sz="4" w:space="0" w:color="F3EAE1" w:themeColor="accent4"/>
          <w:bottom w:val="single" w:sz="4" w:space="0" w:color="F3EAE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3EAE1" w:themeColor="accent4"/>
          <w:left w:val="nil"/>
        </w:tcBorders>
      </w:tcPr>
    </w:tblStylePr>
    <w:tblStylePr w:type="swCell">
      <w:tblPr/>
      <w:tcPr>
        <w:tcBorders>
          <w:top w:val="double" w:sz="4" w:space="0" w:color="F3EAE1" w:themeColor="accent4"/>
          <w:right w:val="nil"/>
        </w:tcBorders>
      </w:tcPr>
    </w:tblStylePr>
  </w:style>
  <w:style w:type="table" w:styleId="Lijsttabel3-Accent5">
    <w:name w:val="List Table 3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C5200" w:themeColor="accent5"/>
        <w:left w:val="single" w:sz="4" w:space="0" w:color="FC5200" w:themeColor="accent5"/>
        <w:bottom w:val="single" w:sz="4" w:space="0" w:color="FC5200" w:themeColor="accent5"/>
        <w:right w:val="single" w:sz="4" w:space="0" w:color="FC5200" w:themeColor="accent5"/>
      </w:tblBorders>
    </w:tblPr>
    <w:tblStylePr w:type="firstRow">
      <w:rPr>
        <w:b/>
        <w:bCs/>
        <w:color w:val="FFFFFF" w:themeColor="background1"/>
      </w:rPr>
      <w:tblPr/>
      <w:tcPr>
        <w:shd w:val="clear" w:color="auto" w:fill="FC5200" w:themeFill="accent5"/>
      </w:tcPr>
    </w:tblStylePr>
    <w:tblStylePr w:type="lastRow">
      <w:rPr>
        <w:b/>
        <w:bCs/>
      </w:rPr>
      <w:tblPr/>
      <w:tcPr>
        <w:tcBorders>
          <w:top w:val="double" w:sz="4" w:space="0" w:color="FC52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C5200" w:themeColor="accent5"/>
          <w:right w:val="single" w:sz="4" w:space="0" w:color="FC5200" w:themeColor="accent5"/>
        </w:tcBorders>
      </w:tcPr>
    </w:tblStylePr>
    <w:tblStylePr w:type="band1Horz">
      <w:tblPr/>
      <w:tcPr>
        <w:tcBorders>
          <w:top w:val="single" w:sz="4" w:space="0" w:color="FC5200" w:themeColor="accent5"/>
          <w:bottom w:val="single" w:sz="4" w:space="0" w:color="FC52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C5200" w:themeColor="accent5"/>
          <w:left w:val="nil"/>
        </w:tcBorders>
      </w:tcPr>
    </w:tblStylePr>
    <w:tblStylePr w:type="swCell">
      <w:tblPr/>
      <w:tcPr>
        <w:tcBorders>
          <w:top w:val="double" w:sz="4" w:space="0" w:color="FC5200" w:themeColor="accent5"/>
          <w:right w:val="nil"/>
        </w:tcBorders>
      </w:tcPr>
    </w:tblStylePr>
  </w:style>
  <w:style w:type="table" w:styleId="Lijsttabel3-Accent6">
    <w:name w:val="List Table 3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left w:val="single" w:sz="4" w:space="0" w:color="FFFFFF" w:themeColor="accent6"/>
        <w:bottom w:val="single" w:sz="4" w:space="0" w:color="FFFFFF" w:themeColor="accent6"/>
        <w:right w:val="single" w:sz="4" w:space="0" w:color="FFFFFF" w:themeColor="accent6"/>
      </w:tblBorders>
    </w:tblPr>
    <w:tblStylePr w:type="firstRow">
      <w:rPr>
        <w:b/>
        <w:bCs/>
        <w:color w:val="FFFFFF" w:themeColor="background1"/>
      </w:rPr>
      <w:tblPr/>
      <w:tcPr>
        <w:shd w:val="clear" w:color="auto" w:fill="FFFFFF" w:themeFill="accent6"/>
      </w:tcPr>
    </w:tblStylePr>
    <w:tblStylePr w:type="lastRow">
      <w:rPr>
        <w:b/>
        <w:bCs/>
      </w:rPr>
      <w:tblPr/>
      <w:tcPr>
        <w:tcBorders>
          <w:top w:val="double" w:sz="4" w:space="0" w:color="FFF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FFFF" w:themeColor="accent6"/>
          <w:right w:val="single" w:sz="4" w:space="0" w:color="FFFFFF" w:themeColor="accent6"/>
        </w:tcBorders>
      </w:tcPr>
    </w:tblStylePr>
    <w:tblStylePr w:type="band1Horz">
      <w:tblPr/>
      <w:tcPr>
        <w:tcBorders>
          <w:top w:val="single" w:sz="4" w:space="0" w:color="FFFFFF" w:themeColor="accent6"/>
          <w:bottom w:val="single" w:sz="4" w:space="0" w:color="FFF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FFFF" w:themeColor="accent6"/>
          <w:left w:val="nil"/>
        </w:tcBorders>
      </w:tcPr>
    </w:tblStylePr>
    <w:tblStylePr w:type="swCell">
      <w:tblPr/>
      <w:tcPr>
        <w:tcBorders>
          <w:top w:val="double" w:sz="4" w:space="0" w:color="FFFFFF" w:themeColor="accent6"/>
          <w:right w:val="nil"/>
        </w:tcBorders>
      </w:tcPr>
    </w:tblStylePr>
  </w:style>
  <w:style w:type="table" w:styleId="Lijsttabel4">
    <w:name w:val="List Table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tcBorders>
        <w:shd w:val="clear" w:color="auto" w:fill="0C251B" w:themeFill="accent1"/>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4-Accent2">
    <w:name w:val="List Table 4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tcBorders>
        <w:shd w:val="clear" w:color="auto" w:fill="004028" w:themeFill="accent2"/>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4-Accent3">
    <w:name w:val="List Table 4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tcBorders>
        <w:shd w:val="clear" w:color="auto" w:fill="F7F7EE" w:themeFill="accent3"/>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4-Accent4">
    <w:name w:val="List Table 4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tcBorders>
        <w:shd w:val="clear" w:color="auto" w:fill="F3EAE1" w:themeFill="accent4"/>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4-Accent5">
    <w:name w:val="List Table 4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tcBorders>
        <w:shd w:val="clear" w:color="auto" w:fill="FC5200" w:themeFill="accent5"/>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4-Accent6">
    <w:name w:val="List Table 4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tcBorders>
        <w:shd w:val="clear" w:color="auto" w:fill="FFFFFF" w:themeFill="accent6"/>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5donker">
    <w:name w:val="List Table 5 Dark"/>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C251B" w:themeColor="accent1"/>
        <w:left w:val="single" w:sz="24" w:space="0" w:color="0C251B" w:themeColor="accent1"/>
        <w:bottom w:val="single" w:sz="24" w:space="0" w:color="0C251B" w:themeColor="accent1"/>
        <w:right w:val="single" w:sz="24" w:space="0" w:color="0C251B" w:themeColor="accent1"/>
      </w:tblBorders>
    </w:tblPr>
    <w:tcPr>
      <w:shd w:val="clear" w:color="auto" w:fill="0C251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004028" w:themeColor="accent2"/>
        <w:left w:val="single" w:sz="24" w:space="0" w:color="004028" w:themeColor="accent2"/>
        <w:bottom w:val="single" w:sz="24" w:space="0" w:color="004028" w:themeColor="accent2"/>
        <w:right w:val="single" w:sz="24" w:space="0" w:color="004028" w:themeColor="accent2"/>
      </w:tblBorders>
    </w:tblPr>
    <w:tcPr>
      <w:shd w:val="clear" w:color="auto" w:fill="00402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7F7EE" w:themeColor="accent3"/>
        <w:left w:val="single" w:sz="24" w:space="0" w:color="F7F7EE" w:themeColor="accent3"/>
        <w:bottom w:val="single" w:sz="24" w:space="0" w:color="F7F7EE" w:themeColor="accent3"/>
        <w:right w:val="single" w:sz="24" w:space="0" w:color="F7F7EE" w:themeColor="accent3"/>
      </w:tblBorders>
    </w:tblPr>
    <w:tcPr>
      <w:shd w:val="clear" w:color="auto" w:fill="F7F7E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3EAE1" w:themeColor="accent4"/>
        <w:left w:val="single" w:sz="24" w:space="0" w:color="F3EAE1" w:themeColor="accent4"/>
        <w:bottom w:val="single" w:sz="24" w:space="0" w:color="F3EAE1" w:themeColor="accent4"/>
        <w:right w:val="single" w:sz="24" w:space="0" w:color="F3EAE1" w:themeColor="accent4"/>
      </w:tblBorders>
    </w:tblPr>
    <w:tcPr>
      <w:shd w:val="clear" w:color="auto" w:fill="F3EAE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C5200" w:themeColor="accent5"/>
        <w:left w:val="single" w:sz="24" w:space="0" w:color="FC5200" w:themeColor="accent5"/>
        <w:bottom w:val="single" w:sz="24" w:space="0" w:color="FC5200" w:themeColor="accent5"/>
        <w:right w:val="single" w:sz="24" w:space="0" w:color="FC5200" w:themeColor="accent5"/>
      </w:tblBorders>
    </w:tblPr>
    <w:tcPr>
      <w:shd w:val="clear" w:color="auto" w:fill="FC52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9"/>
    <w:rsid w:val="00802144"/>
    <w:pPr>
      <w:spacing w:after="0" w:line="240" w:lineRule="auto"/>
    </w:pPr>
    <w:rPr>
      <w:color w:val="FFFFFF" w:themeColor="background1"/>
      <w:kern w:val="0"/>
      <w:sz w:val="20"/>
      <w:szCs w:val="20"/>
      <w:lang w:val="en-US"/>
      <w14:ligatures w14:val="none"/>
    </w:rPr>
    <w:tblPr>
      <w:tblStyleRowBandSize w:val="1"/>
      <w:tblStyleColBandSize w:val="1"/>
      <w:tblBorders>
        <w:top w:val="single" w:sz="24" w:space="0" w:color="FFFFFF" w:themeColor="accent6"/>
        <w:left w:val="single" w:sz="24" w:space="0" w:color="FFFFFF" w:themeColor="accent6"/>
        <w:bottom w:val="single" w:sz="24" w:space="0" w:color="FFFFFF" w:themeColor="accent6"/>
        <w:right w:val="single" w:sz="24" w:space="0" w:color="FFFFFF" w:themeColor="accent6"/>
      </w:tblBorders>
    </w:tblPr>
    <w:tcPr>
      <w:shd w:val="clear" w:color="auto" w:fill="FFF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9"/>
    <w:rsid w:val="00802144"/>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0C251B" w:themeColor="accent1"/>
        <w:bottom w:val="single" w:sz="4" w:space="0" w:color="0C251B" w:themeColor="accent1"/>
      </w:tblBorders>
    </w:tblPr>
    <w:tblStylePr w:type="firstRow">
      <w:rPr>
        <w:b/>
        <w:bCs/>
      </w:rPr>
      <w:tblPr/>
      <w:tcPr>
        <w:tcBorders>
          <w:bottom w:val="single" w:sz="4" w:space="0" w:color="0C251B" w:themeColor="accent1"/>
        </w:tcBorders>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Lijsttabel6kleurrijk-Accent2">
    <w:name w:val="List Table 6 Colorful Accent 2"/>
    <w:basedOn w:val="Standaardtabel"/>
    <w:uiPriority w:val="59"/>
    <w:rsid w:val="00802144"/>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4028" w:themeColor="accent2"/>
        <w:bottom w:val="single" w:sz="4" w:space="0" w:color="004028" w:themeColor="accent2"/>
      </w:tblBorders>
    </w:tblPr>
    <w:tblStylePr w:type="firstRow">
      <w:rPr>
        <w:b/>
        <w:bCs/>
      </w:rPr>
      <w:tblPr/>
      <w:tcPr>
        <w:tcBorders>
          <w:bottom w:val="single" w:sz="4" w:space="0" w:color="004028" w:themeColor="accent2"/>
        </w:tcBorders>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Lijsttabel6kleurrijk-Accent3">
    <w:name w:val="List Table 6 Colorful Accent 3"/>
    <w:basedOn w:val="Standaardtabel"/>
    <w:uiPriority w:val="59"/>
    <w:rsid w:val="00802144"/>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7F7EE" w:themeColor="accent3"/>
        <w:bottom w:val="single" w:sz="4" w:space="0" w:color="F7F7EE" w:themeColor="accent3"/>
      </w:tblBorders>
    </w:tblPr>
    <w:tblStylePr w:type="firstRow">
      <w:rPr>
        <w:b/>
        <w:bCs/>
      </w:rPr>
      <w:tblPr/>
      <w:tcPr>
        <w:tcBorders>
          <w:bottom w:val="single" w:sz="4" w:space="0" w:color="F7F7EE" w:themeColor="accent3"/>
        </w:tcBorders>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Lijsttabel6kleurrijk-Accent4">
    <w:name w:val="List Table 6 Colorful Accent 4"/>
    <w:basedOn w:val="Standaardtabel"/>
    <w:uiPriority w:val="59"/>
    <w:rsid w:val="00802144"/>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3EAE1" w:themeColor="accent4"/>
        <w:bottom w:val="single" w:sz="4" w:space="0" w:color="F3EAE1" w:themeColor="accent4"/>
      </w:tblBorders>
    </w:tblPr>
    <w:tblStylePr w:type="firstRow">
      <w:rPr>
        <w:b/>
        <w:bCs/>
      </w:rPr>
      <w:tblPr/>
      <w:tcPr>
        <w:tcBorders>
          <w:bottom w:val="single" w:sz="4" w:space="0" w:color="F3EAE1" w:themeColor="accent4"/>
        </w:tcBorders>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Lijsttabel6kleurrijk-Accent5">
    <w:name w:val="List Table 6 Colorful Accent 5"/>
    <w:basedOn w:val="Standaardtabel"/>
    <w:uiPriority w:val="59"/>
    <w:rsid w:val="00802144"/>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C5200" w:themeColor="accent5"/>
        <w:bottom w:val="single" w:sz="4" w:space="0" w:color="FC5200" w:themeColor="accent5"/>
      </w:tblBorders>
    </w:tblPr>
    <w:tblStylePr w:type="firstRow">
      <w:rPr>
        <w:b/>
        <w:bCs/>
      </w:rPr>
      <w:tblPr/>
      <w:tcPr>
        <w:tcBorders>
          <w:bottom w:val="single" w:sz="4" w:space="0" w:color="FC5200" w:themeColor="accent5"/>
        </w:tcBorders>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Lijsttabel6kleurrijk-Accent6">
    <w:name w:val="List Table 6 Colorful Accent 6"/>
    <w:basedOn w:val="Standaardtabel"/>
    <w:uiPriority w:val="59"/>
    <w:rsid w:val="00802144"/>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bottom w:val="single" w:sz="4" w:space="0" w:color="FFFFFF" w:themeColor="accent6"/>
      </w:tblBorders>
    </w:tblPr>
    <w:tblStylePr w:type="firstRow">
      <w:rPr>
        <w:b/>
        <w:bCs/>
      </w:rPr>
      <w:tblPr/>
      <w:tcPr>
        <w:tcBorders>
          <w:bottom w:val="single" w:sz="4" w:space="0" w:color="FFFFFF" w:themeColor="accent6"/>
        </w:tcBorders>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Lijsttabel7kleurrijk">
    <w:name w:val="List Table 7 Colorful"/>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9"/>
    <w:rsid w:val="00802144"/>
    <w:pPr>
      <w:spacing w:after="0" w:line="240" w:lineRule="auto"/>
    </w:pPr>
    <w:rPr>
      <w:color w:val="091B14" w:themeColor="accent1"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C251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C251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C251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C251B" w:themeColor="accent1"/>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9"/>
    <w:rsid w:val="00802144"/>
    <w:pPr>
      <w:spacing w:after="0" w:line="240" w:lineRule="auto"/>
    </w:pPr>
    <w:rPr>
      <w:color w:val="002F1D" w:themeColor="accent2"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02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02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02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028" w:themeColor="accent2"/>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9"/>
    <w:rsid w:val="00802144"/>
    <w:pPr>
      <w:spacing w:after="0" w:line="240" w:lineRule="auto"/>
    </w:pPr>
    <w:rPr>
      <w:color w:val="D0D09B" w:themeColor="accent3"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F7E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F7E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F7E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F7EE" w:themeColor="accent3"/>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9"/>
    <w:rsid w:val="00802144"/>
    <w:pPr>
      <w:spacing w:after="0" w:line="240" w:lineRule="auto"/>
    </w:pPr>
    <w:rPr>
      <w:color w:val="D1AF8C" w:themeColor="accent4"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3EAE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3EAE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3EAE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3EAE1" w:themeColor="accent4"/>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9"/>
    <w:rsid w:val="00802144"/>
    <w:pPr>
      <w:spacing w:after="0" w:line="240" w:lineRule="auto"/>
    </w:pPr>
    <w:rPr>
      <w:color w:val="BC3C00" w:themeColor="accent5"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C52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C52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C52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C5200" w:themeColor="accent5"/>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9"/>
    <w:rsid w:val="00802144"/>
    <w:pPr>
      <w:spacing w:after="0" w:line="240" w:lineRule="auto"/>
    </w:pPr>
    <w:rPr>
      <w:color w:val="BFBFBF" w:themeColor="accent6" w:themeShade="BF"/>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F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F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F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FFFF" w:themeColor="accent6"/>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voortzetting">
    <w:name w:val="List Continue"/>
    <w:basedOn w:val="Standaard"/>
    <w:uiPriority w:val="59"/>
    <w:semiHidden/>
    <w:unhideWhenUsed/>
    <w:rsid w:val="00802144"/>
    <w:pPr>
      <w:spacing w:after="120"/>
      <w:ind w:left="283"/>
      <w:contextualSpacing/>
    </w:pPr>
  </w:style>
  <w:style w:type="paragraph" w:styleId="Lijstvoortzetting2">
    <w:name w:val="List Continue 2"/>
    <w:basedOn w:val="Standaard"/>
    <w:uiPriority w:val="59"/>
    <w:semiHidden/>
    <w:unhideWhenUsed/>
    <w:rsid w:val="00802144"/>
    <w:pPr>
      <w:spacing w:after="120"/>
      <w:ind w:left="566"/>
      <w:contextualSpacing/>
    </w:pPr>
  </w:style>
  <w:style w:type="paragraph" w:styleId="Lijstvoortzetting3">
    <w:name w:val="List Continue 3"/>
    <w:basedOn w:val="Standaard"/>
    <w:uiPriority w:val="59"/>
    <w:semiHidden/>
    <w:unhideWhenUsed/>
    <w:rsid w:val="00802144"/>
    <w:pPr>
      <w:spacing w:after="120"/>
      <w:ind w:left="849"/>
      <w:contextualSpacing/>
    </w:pPr>
  </w:style>
  <w:style w:type="paragraph" w:styleId="Lijstvoortzetting4">
    <w:name w:val="List Continue 4"/>
    <w:basedOn w:val="Standaard"/>
    <w:uiPriority w:val="59"/>
    <w:semiHidden/>
    <w:unhideWhenUsed/>
    <w:rsid w:val="00802144"/>
    <w:pPr>
      <w:spacing w:after="120"/>
      <w:ind w:left="1132"/>
      <w:contextualSpacing/>
    </w:pPr>
  </w:style>
  <w:style w:type="paragraph" w:styleId="Lijstvoortzetting5">
    <w:name w:val="List Continue 5"/>
    <w:basedOn w:val="Standaard"/>
    <w:uiPriority w:val="59"/>
    <w:semiHidden/>
    <w:unhideWhenUsed/>
    <w:rsid w:val="00802144"/>
    <w:pPr>
      <w:spacing w:after="120"/>
      <w:ind w:left="1415"/>
      <w:contextualSpacing/>
    </w:pPr>
  </w:style>
  <w:style w:type="character" w:styleId="Nadruk">
    <w:name w:val="Emphasis"/>
    <w:basedOn w:val="Standaardalinea-lettertype"/>
    <w:uiPriority w:val="59"/>
    <w:qFormat/>
    <w:rsid w:val="00802144"/>
    <w:rPr>
      <w:i/>
      <w:iCs/>
    </w:rPr>
  </w:style>
  <w:style w:type="paragraph" w:styleId="Normaalweb">
    <w:name w:val="Normal (Web)"/>
    <w:basedOn w:val="Standaard"/>
    <w:uiPriority w:val="59"/>
    <w:semiHidden/>
    <w:unhideWhenUsed/>
    <w:rsid w:val="00802144"/>
    <w:rPr>
      <w:rFonts w:ascii="Times New Roman" w:hAnsi="Times New Roman" w:cs="Times New Roman"/>
      <w:sz w:val="24"/>
      <w:szCs w:val="24"/>
    </w:rPr>
  </w:style>
  <w:style w:type="paragraph" w:styleId="Notitiekop">
    <w:name w:val="Note Heading"/>
    <w:basedOn w:val="Standaard"/>
    <w:next w:val="Standaard"/>
    <w:link w:val="NotitiekopChar"/>
    <w:uiPriority w:val="59"/>
    <w:semiHidden/>
    <w:unhideWhenUsed/>
    <w:rsid w:val="00802144"/>
    <w:pPr>
      <w:spacing w:line="240" w:lineRule="auto"/>
    </w:pPr>
  </w:style>
  <w:style w:type="character" w:customStyle="1" w:styleId="NotitiekopChar">
    <w:name w:val="Notitiekop Char"/>
    <w:basedOn w:val="Standaardalinea-lettertype"/>
    <w:link w:val="Notitiekop"/>
    <w:uiPriority w:val="59"/>
    <w:semiHidden/>
    <w:rsid w:val="00802144"/>
    <w:rPr>
      <w:rFonts w:ascii="Merriweather" w:hAnsi="Merriweather"/>
      <w:kern w:val="0"/>
      <w:sz w:val="17"/>
      <w:szCs w:val="20"/>
      <w:lang w:val="en-US"/>
      <w14:ligatures w14:val="none"/>
    </w:rPr>
  </w:style>
  <w:style w:type="paragraph" w:styleId="Tekstopmerking">
    <w:name w:val="annotation text"/>
    <w:basedOn w:val="Standaard"/>
    <w:link w:val="TekstopmerkingChar"/>
    <w:uiPriority w:val="59"/>
    <w:unhideWhenUsed/>
    <w:rsid w:val="00802144"/>
    <w:pPr>
      <w:spacing w:line="240" w:lineRule="auto"/>
    </w:pPr>
  </w:style>
  <w:style w:type="character" w:customStyle="1" w:styleId="TekstopmerkingChar">
    <w:name w:val="Tekst opmerking Char"/>
    <w:basedOn w:val="Standaardalinea-lettertype"/>
    <w:link w:val="Tekstopmerking"/>
    <w:uiPriority w:val="59"/>
    <w:rsid w:val="00802144"/>
    <w:rPr>
      <w:rFonts w:ascii="Merriweather" w:hAnsi="Merriweather"/>
      <w:kern w:val="0"/>
      <w:sz w:val="17"/>
      <w:szCs w:val="20"/>
      <w:lang w:val="en-US"/>
      <w14:ligatures w14:val="none"/>
    </w:rPr>
  </w:style>
  <w:style w:type="paragraph" w:styleId="Onderwerpvanopmerking">
    <w:name w:val="annotation subject"/>
    <w:basedOn w:val="Tekstopmerking"/>
    <w:next w:val="Tekstopmerking"/>
    <w:link w:val="OnderwerpvanopmerkingChar"/>
    <w:uiPriority w:val="59"/>
    <w:semiHidden/>
    <w:unhideWhenUsed/>
    <w:rsid w:val="00802144"/>
    <w:rPr>
      <w:b/>
      <w:bCs/>
    </w:rPr>
  </w:style>
  <w:style w:type="character" w:customStyle="1" w:styleId="OnderwerpvanopmerkingChar">
    <w:name w:val="Onderwerp van opmerking Char"/>
    <w:basedOn w:val="TekstopmerkingChar"/>
    <w:link w:val="Onderwerpvanopmerking"/>
    <w:uiPriority w:val="59"/>
    <w:semiHidden/>
    <w:rsid w:val="00802144"/>
    <w:rPr>
      <w:rFonts w:ascii="Merriweather" w:hAnsi="Merriweather"/>
      <w:b/>
      <w:bCs/>
      <w:kern w:val="0"/>
      <w:sz w:val="17"/>
      <w:szCs w:val="20"/>
      <w:lang w:val="en-US"/>
      <w14:ligatures w14:val="none"/>
    </w:rPr>
  </w:style>
  <w:style w:type="character" w:styleId="Onopgelostemelding">
    <w:name w:val="Unresolved Mention"/>
    <w:basedOn w:val="Standaardalinea-lettertype"/>
    <w:uiPriority w:val="59"/>
    <w:semiHidden/>
    <w:unhideWhenUsed/>
    <w:rsid w:val="00802144"/>
    <w:rPr>
      <w:color w:val="605E5C"/>
      <w:shd w:val="clear" w:color="auto" w:fill="E1DFDD"/>
    </w:rPr>
  </w:style>
  <w:style w:type="table" w:styleId="Onopgemaaktetabel1">
    <w:name w:val="Plain Table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59"/>
    <w:rsid w:val="00802144"/>
    <w:pPr>
      <w:spacing w:after="0" w:line="240" w:lineRule="auto"/>
    </w:pPr>
    <w:rPr>
      <w:kern w:val="0"/>
      <w:sz w:val="20"/>
      <w:szCs w:val="20"/>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ttetekst">
    <w:name w:val="Body Text"/>
    <w:basedOn w:val="Standaard"/>
    <w:link w:val="PlattetekstChar"/>
    <w:uiPriority w:val="59"/>
    <w:semiHidden/>
    <w:unhideWhenUsed/>
    <w:rsid w:val="00802144"/>
    <w:pPr>
      <w:spacing w:after="120"/>
    </w:pPr>
  </w:style>
  <w:style w:type="character" w:customStyle="1" w:styleId="PlattetekstChar">
    <w:name w:val="Platte tekst Char"/>
    <w:basedOn w:val="Standaardalinea-lettertype"/>
    <w:link w:val="Plattetekst"/>
    <w:uiPriority w:val="59"/>
    <w:semiHidden/>
    <w:rsid w:val="00802144"/>
    <w:rPr>
      <w:rFonts w:ascii="Merriweather" w:hAnsi="Merriweather"/>
      <w:kern w:val="0"/>
      <w:sz w:val="17"/>
      <w:szCs w:val="20"/>
      <w:lang w:val="en-US"/>
      <w14:ligatures w14:val="none"/>
    </w:rPr>
  </w:style>
  <w:style w:type="paragraph" w:styleId="Plattetekst2">
    <w:name w:val="Body Text 2"/>
    <w:basedOn w:val="Standaard"/>
    <w:link w:val="Plattetekst2Char"/>
    <w:uiPriority w:val="59"/>
    <w:semiHidden/>
    <w:unhideWhenUsed/>
    <w:rsid w:val="00802144"/>
    <w:pPr>
      <w:spacing w:after="120" w:line="480" w:lineRule="auto"/>
    </w:pPr>
  </w:style>
  <w:style w:type="character" w:customStyle="1" w:styleId="Plattetekst2Char">
    <w:name w:val="Platte tekst 2 Char"/>
    <w:basedOn w:val="Standaardalinea-lettertype"/>
    <w:link w:val="Plattetekst2"/>
    <w:uiPriority w:val="59"/>
    <w:semiHidden/>
    <w:rsid w:val="00802144"/>
    <w:rPr>
      <w:rFonts w:ascii="Merriweather" w:hAnsi="Merriweather"/>
      <w:kern w:val="0"/>
      <w:sz w:val="17"/>
      <w:szCs w:val="20"/>
      <w:lang w:val="en-US"/>
      <w14:ligatures w14:val="none"/>
    </w:rPr>
  </w:style>
  <w:style w:type="paragraph" w:styleId="Plattetekst3">
    <w:name w:val="Body Text 3"/>
    <w:basedOn w:val="Standaard"/>
    <w:link w:val="Plattetekst3Char"/>
    <w:uiPriority w:val="59"/>
    <w:semiHidden/>
    <w:unhideWhenUsed/>
    <w:rsid w:val="00802144"/>
    <w:pPr>
      <w:spacing w:after="120"/>
    </w:pPr>
    <w:rPr>
      <w:sz w:val="16"/>
      <w:szCs w:val="16"/>
    </w:rPr>
  </w:style>
  <w:style w:type="character" w:customStyle="1" w:styleId="Plattetekst3Char">
    <w:name w:val="Platte tekst 3 Char"/>
    <w:basedOn w:val="Standaardalinea-lettertype"/>
    <w:link w:val="Plattetekst3"/>
    <w:uiPriority w:val="59"/>
    <w:semiHidden/>
    <w:rsid w:val="00802144"/>
    <w:rPr>
      <w:rFonts w:ascii="Merriweather" w:hAnsi="Merriweather"/>
      <w:kern w:val="0"/>
      <w:sz w:val="16"/>
      <w:szCs w:val="16"/>
      <w:lang w:val="en-US"/>
      <w14:ligatures w14:val="none"/>
    </w:rPr>
  </w:style>
  <w:style w:type="paragraph" w:styleId="Platteteksteersteinspringing">
    <w:name w:val="Body Text First Indent"/>
    <w:basedOn w:val="Plattetekst"/>
    <w:link w:val="PlatteteksteersteinspringingChar"/>
    <w:uiPriority w:val="59"/>
    <w:semiHidden/>
    <w:unhideWhenUsed/>
    <w:rsid w:val="00802144"/>
    <w:pPr>
      <w:spacing w:after="0"/>
      <w:ind w:firstLine="360"/>
    </w:pPr>
  </w:style>
  <w:style w:type="character" w:customStyle="1" w:styleId="PlatteteksteersteinspringingChar">
    <w:name w:val="Platte tekst eerste inspringing Char"/>
    <w:basedOn w:val="PlattetekstChar"/>
    <w:link w:val="Platteteksteersteinspringing"/>
    <w:uiPriority w:val="59"/>
    <w:semiHidden/>
    <w:rsid w:val="00802144"/>
    <w:rPr>
      <w:rFonts w:ascii="Merriweather" w:hAnsi="Merriweather"/>
      <w:kern w:val="0"/>
      <w:sz w:val="17"/>
      <w:szCs w:val="20"/>
      <w:lang w:val="en-US"/>
      <w14:ligatures w14:val="none"/>
    </w:rPr>
  </w:style>
  <w:style w:type="paragraph" w:styleId="Plattetekstinspringen">
    <w:name w:val="Body Text Indent"/>
    <w:basedOn w:val="Standaard"/>
    <w:link w:val="PlattetekstinspringenChar"/>
    <w:uiPriority w:val="59"/>
    <w:semiHidden/>
    <w:unhideWhenUsed/>
    <w:rsid w:val="00802144"/>
    <w:pPr>
      <w:spacing w:after="120"/>
      <w:ind w:left="283"/>
    </w:pPr>
  </w:style>
  <w:style w:type="character" w:customStyle="1" w:styleId="PlattetekstinspringenChar">
    <w:name w:val="Platte tekst inspringen Char"/>
    <w:basedOn w:val="Standaardalinea-lettertype"/>
    <w:link w:val="Plattetekstinspringen"/>
    <w:uiPriority w:val="59"/>
    <w:semiHidden/>
    <w:rsid w:val="00802144"/>
    <w:rPr>
      <w:rFonts w:ascii="Merriweather" w:hAnsi="Merriweather"/>
      <w:kern w:val="0"/>
      <w:sz w:val="17"/>
      <w:szCs w:val="20"/>
      <w:lang w:val="en-US"/>
      <w14:ligatures w14:val="none"/>
    </w:rPr>
  </w:style>
  <w:style w:type="paragraph" w:styleId="Platteteksteersteinspringing2">
    <w:name w:val="Body Text First Indent 2"/>
    <w:basedOn w:val="Plattetekstinspringen"/>
    <w:link w:val="Platteteksteersteinspringing2Char"/>
    <w:uiPriority w:val="59"/>
    <w:semiHidden/>
    <w:unhideWhenUsed/>
    <w:rsid w:val="0080214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59"/>
    <w:semiHidden/>
    <w:rsid w:val="00802144"/>
    <w:rPr>
      <w:rFonts w:ascii="Merriweather" w:hAnsi="Merriweather"/>
      <w:kern w:val="0"/>
      <w:sz w:val="17"/>
      <w:szCs w:val="20"/>
      <w:lang w:val="en-US"/>
      <w14:ligatures w14:val="none"/>
    </w:rPr>
  </w:style>
  <w:style w:type="paragraph" w:styleId="Plattetekstinspringen2">
    <w:name w:val="Body Text Indent 2"/>
    <w:basedOn w:val="Standaard"/>
    <w:link w:val="Plattetekstinspringen2Char"/>
    <w:uiPriority w:val="59"/>
    <w:semiHidden/>
    <w:unhideWhenUsed/>
    <w:rsid w:val="00802144"/>
    <w:pPr>
      <w:spacing w:after="120" w:line="480" w:lineRule="auto"/>
      <w:ind w:left="283"/>
    </w:pPr>
  </w:style>
  <w:style w:type="character" w:customStyle="1" w:styleId="Plattetekstinspringen2Char">
    <w:name w:val="Platte tekst inspringen 2 Char"/>
    <w:basedOn w:val="Standaardalinea-lettertype"/>
    <w:link w:val="Plattetekstinspringen2"/>
    <w:uiPriority w:val="59"/>
    <w:semiHidden/>
    <w:rsid w:val="00802144"/>
    <w:rPr>
      <w:rFonts w:ascii="Merriweather" w:hAnsi="Merriweather"/>
      <w:kern w:val="0"/>
      <w:sz w:val="17"/>
      <w:szCs w:val="20"/>
      <w:lang w:val="en-US"/>
      <w14:ligatures w14:val="none"/>
    </w:rPr>
  </w:style>
  <w:style w:type="paragraph" w:styleId="Plattetekstinspringen3">
    <w:name w:val="Body Text Indent 3"/>
    <w:basedOn w:val="Standaard"/>
    <w:link w:val="Plattetekstinspringen3Char"/>
    <w:uiPriority w:val="59"/>
    <w:semiHidden/>
    <w:unhideWhenUsed/>
    <w:rsid w:val="0080214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59"/>
    <w:semiHidden/>
    <w:rsid w:val="00802144"/>
    <w:rPr>
      <w:rFonts w:ascii="Merriweather" w:hAnsi="Merriweather"/>
      <w:kern w:val="0"/>
      <w:sz w:val="16"/>
      <w:szCs w:val="16"/>
      <w:lang w:val="en-US"/>
      <w14:ligatures w14:val="none"/>
    </w:rPr>
  </w:style>
  <w:style w:type="table" w:styleId="Professioneletabel">
    <w:name w:val="Table Professional"/>
    <w:basedOn w:val="Standaardtabel"/>
    <w:uiPriority w:val="59"/>
    <w:semiHidden/>
    <w:unhideWhenUsed/>
    <w:rsid w:val="00802144"/>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Rastertabel1licht">
    <w:name w:val="Grid Table 1 Light"/>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73D1AC" w:themeColor="accent1" w:themeTint="66"/>
        <w:left w:val="single" w:sz="4" w:space="0" w:color="73D1AC" w:themeColor="accent1" w:themeTint="66"/>
        <w:bottom w:val="single" w:sz="4" w:space="0" w:color="73D1AC" w:themeColor="accent1" w:themeTint="66"/>
        <w:right w:val="single" w:sz="4" w:space="0" w:color="73D1AC" w:themeColor="accent1" w:themeTint="66"/>
        <w:insideH w:val="single" w:sz="4" w:space="0" w:color="73D1AC" w:themeColor="accent1" w:themeTint="66"/>
        <w:insideV w:val="single" w:sz="4" w:space="0" w:color="73D1AC" w:themeColor="accent1" w:themeTint="66"/>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2" w:space="0" w:color="39B080"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4CFFBB" w:themeColor="accent2" w:themeTint="66"/>
        <w:left w:val="single" w:sz="4" w:space="0" w:color="4CFFBB" w:themeColor="accent2" w:themeTint="66"/>
        <w:bottom w:val="single" w:sz="4" w:space="0" w:color="4CFFBB" w:themeColor="accent2" w:themeTint="66"/>
        <w:right w:val="single" w:sz="4" w:space="0" w:color="4CFFBB" w:themeColor="accent2" w:themeTint="66"/>
        <w:insideH w:val="single" w:sz="4" w:space="0" w:color="4CFFBB" w:themeColor="accent2" w:themeTint="66"/>
        <w:insideV w:val="single" w:sz="4" w:space="0" w:color="4CFFBB" w:themeColor="accent2" w:themeTint="66"/>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2" w:space="0" w:color="00F297"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BFBF8" w:themeColor="accent3" w:themeTint="66"/>
        <w:left w:val="single" w:sz="4" w:space="0" w:color="FBFBF8" w:themeColor="accent3" w:themeTint="66"/>
        <w:bottom w:val="single" w:sz="4" w:space="0" w:color="FBFBF8" w:themeColor="accent3" w:themeTint="66"/>
        <w:right w:val="single" w:sz="4" w:space="0" w:color="FBFBF8" w:themeColor="accent3" w:themeTint="66"/>
        <w:insideH w:val="single" w:sz="4" w:space="0" w:color="FBFBF8" w:themeColor="accent3" w:themeTint="66"/>
        <w:insideV w:val="single" w:sz="4" w:space="0" w:color="FBFBF8" w:themeColor="accent3" w:themeTint="66"/>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2" w:space="0" w:color="FAFAF4"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AF6F2" w:themeColor="accent4" w:themeTint="66"/>
        <w:left w:val="single" w:sz="4" w:space="0" w:color="FAF6F2" w:themeColor="accent4" w:themeTint="66"/>
        <w:bottom w:val="single" w:sz="4" w:space="0" w:color="FAF6F2" w:themeColor="accent4" w:themeTint="66"/>
        <w:right w:val="single" w:sz="4" w:space="0" w:color="FAF6F2" w:themeColor="accent4" w:themeTint="66"/>
        <w:insideH w:val="single" w:sz="4" w:space="0" w:color="FAF6F2" w:themeColor="accent4" w:themeTint="66"/>
        <w:insideV w:val="single" w:sz="4" w:space="0" w:color="FAF6F2" w:themeColor="accent4" w:themeTint="66"/>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2" w:space="0" w:color="F7F2E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B897" w:themeColor="accent5" w:themeTint="66"/>
        <w:left w:val="single" w:sz="4" w:space="0" w:color="FFB897" w:themeColor="accent5" w:themeTint="66"/>
        <w:bottom w:val="single" w:sz="4" w:space="0" w:color="FFB897" w:themeColor="accent5" w:themeTint="66"/>
        <w:right w:val="single" w:sz="4" w:space="0" w:color="FFB897" w:themeColor="accent5" w:themeTint="66"/>
        <w:insideH w:val="single" w:sz="4" w:space="0" w:color="FFB897" w:themeColor="accent5" w:themeTint="66"/>
        <w:insideV w:val="single" w:sz="4" w:space="0" w:color="FFB897" w:themeColor="accent5" w:themeTint="66"/>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2" w:space="0" w:color="FF9564"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39B080" w:themeColor="accent1" w:themeTint="99"/>
        <w:bottom w:val="single" w:sz="2" w:space="0" w:color="39B080" w:themeColor="accent1" w:themeTint="99"/>
        <w:insideH w:val="single" w:sz="2" w:space="0" w:color="39B080" w:themeColor="accent1" w:themeTint="99"/>
        <w:insideV w:val="single" w:sz="2" w:space="0" w:color="39B080" w:themeColor="accent1" w:themeTint="99"/>
      </w:tblBorders>
    </w:tblPr>
    <w:tblStylePr w:type="firstRow">
      <w:rPr>
        <w:b/>
        <w:bCs/>
      </w:rPr>
      <w:tblPr/>
      <w:tcPr>
        <w:tcBorders>
          <w:top w:val="nil"/>
          <w:bottom w:val="single" w:sz="12" w:space="0" w:color="39B080" w:themeColor="accent1" w:themeTint="99"/>
          <w:insideH w:val="nil"/>
          <w:insideV w:val="nil"/>
        </w:tcBorders>
        <w:shd w:val="clear" w:color="auto" w:fill="FFFFFF" w:themeFill="background1"/>
      </w:tcPr>
    </w:tblStylePr>
    <w:tblStylePr w:type="lastRow">
      <w:rPr>
        <w:b/>
        <w:bCs/>
      </w:rPr>
      <w:tblPr/>
      <w:tcPr>
        <w:tcBorders>
          <w:top w:val="double" w:sz="2" w:space="0" w:color="39B08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2-Accent2">
    <w:name w:val="Grid Table 2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00F297" w:themeColor="accent2" w:themeTint="99"/>
        <w:bottom w:val="single" w:sz="2" w:space="0" w:color="00F297" w:themeColor="accent2" w:themeTint="99"/>
        <w:insideH w:val="single" w:sz="2" w:space="0" w:color="00F297" w:themeColor="accent2" w:themeTint="99"/>
        <w:insideV w:val="single" w:sz="2" w:space="0" w:color="00F297" w:themeColor="accent2" w:themeTint="99"/>
      </w:tblBorders>
    </w:tblPr>
    <w:tblStylePr w:type="firstRow">
      <w:rPr>
        <w:b/>
        <w:bCs/>
      </w:rPr>
      <w:tblPr/>
      <w:tcPr>
        <w:tcBorders>
          <w:top w:val="nil"/>
          <w:bottom w:val="single" w:sz="12" w:space="0" w:color="00F297" w:themeColor="accent2" w:themeTint="99"/>
          <w:insideH w:val="nil"/>
          <w:insideV w:val="nil"/>
        </w:tcBorders>
        <w:shd w:val="clear" w:color="auto" w:fill="FFFFFF" w:themeFill="background1"/>
      </w:tcPr>
    </w:tblStylePr>
    <w:tblStylePr w:type="lastRow">
      <w:rPr>
        <w:b/>
        <w:bCs/>
      </w:rPr>
      <w:tblPr/>
      <w:tcPr>
        <w:tcBorders>
          <w:top w:val="double" w:sz="2" w:space="0" w:color="00F29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2-Accent3">
    <w:name w:val="Grid Table 2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FAFAF4" w:themeColor="accent3" w:themeTint="99"/>
        <w:bottom w:val="single" w:sz="2" w:space="0" w:color="FAFAF4" w:themeColor="accent3" w:themeTint="99"/>
        <w:insideH w:val="single" w:sz="2" w:space="0" w:color="FAFAF4" w:themeColor="accent3" w:themeTint="99"/>
        <w:insideV w:val="single" w:sz="2" w:space="0" w:color="FAFAF4" w:themeColor="accent3" w:themeTint="99"/>
      </w:tblBorders>
    </w:tblPr>
    <w:tblStylePr w:type="firstRow">
      <w:rPr>
        <w:b/>
        <w:bCs/>
      </w:rPr>
      <w:tblPr/>
      <w:tcPr>
        <w:tcBorders>
          <w:top w:val="nil"/>
          <w:bottom w:val="single" w:sz="12" w:space="0" w:color="FAFAF4" w:themeColor="accent3" w:themeTint="99"/>
          <w:insideH w:val="nil"/>
          <w:insideV w:val="nil"/>
        </w:tcBorders>
        <w:shd w:val="clear" w:color="auto" w:fill="FFFFFF" w:themeFill="background1"/>
      </w:tcPr>
    </w:tblStylePr>
    <w:tblStylePr w:type="lastRow">
      <w:rPr>
        <w:b/>
        <w:bCs/>
      </w:rPr>
      <w:tblPr/>
      <w:tcPr>
        <w:tcBorders>
          <w:top w:val="double" w:sz="2" w:space="0" w:color="FAFA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2-Accent4">
    <w:name w:val="Grid Table 2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F7F2EC" w:themeColor="accent4" w:themeTint="99"/>
        <w:bottom w:val="single" w:sz="2" w:space="0" w:color="F7F2EC" w:themeColor="accent4" w:themeTint="99"/>
        <w:insideH w:val="single" w:sz="2" w:space="0" w:color="F7F2EC" w:themeColor="accent4" w:themeTint="99"/>
        <w:insideV w:val="single" w:sz="2" w:space="0" w:color="F7F2EC" w:themeColor="accent4" w:themeTint="99"/>
      </w:tblBorders>
    </w:tblPr>
    <w:tblStylePr w:type="firstRow">
      <w:rPr>
        <w:b/>
        <w:bCs/>
      </w:rPr>
      <w:tblPr/>
      <w:tcPr>
        <w:tcBorders>
          <w:top w:val="nil"/>
          <w:bottom w:val="single" w:sz="12" w:space="0" w:color="F7F2EC" w:themeColor="accent4" w:themeTint="99"/>
          <w:insideH w:val="nil"/>
          <w:insideV w:val="nil"/>
        </w:tcBorders>
        <w:shd w:val="clear" w:color="auto" w:fill="FFFFFF" w:themeFill="background1"/>
      </w:tcPr>
    </w:tblStylePr>
    <w:tblStylePr w:type="lastRow">
      <w:rPr>
        <w:b/>
        <w:bCs/>
      </w:rPr>
      <w:tblPr/>
      <w:tcPr>
        <w:tcBorders>
          <w:top w:val="double" w:sz="2" w:space="0" w:color="F7F2E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2-Accent5">
    <w:name w:val="Grid Table 2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FF9564" w:themeColor="accent5" w:themeTint="99"/>
        <w:bottom w:val="single" w:sz="2" w:space="0" w:color="FF9564" w:themeColor="accent5" w:themeTint="99"/>
        <w:insideH w:val="single" w:sz="2" w:space="0" w:color="FF9564" w:themeColor="accent5" w:themeTint="99"/>
        <w:insideV w:val="single" w:sz="2" w:space="0" w:color="FF9564" w:themeColor="accent5" w:themeTint="99"/>
      </w:tblBorders>
    </w:tblPr>
    <w:tblStylePr w:type="firstRow">
      <w:rPr>
        <w:b/>
        <w:bCs/>
      </w:rPr>
      <w:tblPr/>
      <w:tcPr>
        <w:tcBorders>
          <w:top w:val="nil"/>
          <w:bottom w:val="single" w:sz="12" w:space="0" w:color="FF9564" w:themeColor="accent5" w:themeTint="99"/>
          <w:insideH w:val="nil"/>
          <w:insideV w:val="nil"/>
        </w:tcBorders>
        <w:shd w:val="clear" w:color="auto" w:fill="FFFFFF" w:themeFill="background1"/>
      </w:tcPr>
    </w:tblStylePr>
    <w:tblStylePr w:type="lastRow">
      <w:rPr>
        <w:b/>
        <w:bCs/>
      </w:rPr>
      <w:tblPr/>
      <w:tcPr>
        <w:tcBorders>
          <w:top w:val="double" w:sz="2" w:space="0" w:color="FF956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2-Accent6">
    <w:name w:val="Grid Table 2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2" w:space="0" w:color="FFFFFF" w:themeColor="accent6" w:themeTint="99"/>
        <w:bottom w:val="single" w:sz="2" w:space="0" w:color="FFFFFF" w:themeColor="accent6" w:themeTint="99"/>
        <w:insideH w:val="single" w:sz="2" w:space="0" w:color="FFFFFF" w:themeColor="accent6" w:themeTint="99"/>
        <w:insideV w:val="single" w:sz="2" w:space="0" w:color="FFFFFF" w:themeColor="accent6" w:themeTint="99"/>
      </w:tblBorders>
    </w:tblPr>
    <w:tblStylePr w:type="firstRow">
      <w:rPr>
        <w:b/>
        <w:bCs/>
      </w:rPr>
      <w:tblPr/>
      <w:tcPr>
        <w:tcBorders>
          <w:top w:val="nil"/>
          <w:bottom w:val="single" w:sz="12" w:space="0" w:color="FFFFFF" w:themeColor="accent6" w:themeTint="99"/>
          <w:insideH w:val="nil"/>
          <w:insideV w:val="nil"/>
        </w:tcBorders>
        <w:shd w:val="clear" w:color="auto" w:fill="FFFFFF" w:themeFill="background1"/>
      </w:tcPr>
    </w:tblStylePr>
    <w:tblStylePr w:type="lastRow">
      <w:rPr>
        <w:b/>
        <w:bCs/>
      </w:rPr>
      <w:tblPr/>
      <w:tcPr>
        <w:tcBorders>
          <w:top w:val="double" w:sz="2" w:space="0" w:color="FFF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3">
    <w:name w:val="Grid Table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3-Accent2">
    <w:name w:val="Grid Table 3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3-Accent3">
    <w:name w:val="Grid Table 3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3-Accent4">
    <w:name w:val="Grid Table 3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3-Accent5">
    <w:name w:val="Grid Table 3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3-Accent6">
    <w:name w:val="Grid Table 3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Rastertabel4">
    <w:name w:val="Grid Table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color w:val="FFFFFF" w:themeColor="background1"/>
      </w:rPr>
      <w:tblPr/>
      <w:tcPr>
        <w:tcBorders>
          <w:top w:val="single" w:sz="4" w:space="0" w:color="0C251B" w:themeColor="accent1"/>
          <w:left w:val="single" w:sz="4" w:space="0" w:color="0C251B" w:themeColor="accent1"/>
          <w:bottom w:val="single" w:sz="4" w:space="0" w:color="0C251B" w:themeColor="accent1"/>
          <w:right w:val="single" w:sz="4" w:space="0" w:color="0C251B" w:themeColor="accent1"/>
          <w:insideH w:val="nil"/>
          <w:insideV w:val="nil"/>
        </w:tcBorders>
        <w:shd w:val="clear" w:color="auto" w:fill="0C251B" w:themeFill="accent1"/>
      </w:tcPr>
    </w:tblStylePr>
    <w:tblStylePr w:type="lastRow">
      <w:rPr>
        <w:b/>
        <w:bCs/>
      </w:rPr>
      <w:tblPr/>
      <w:tcPr>
        <w:tcBorders>
          <w:top w:val="double" w:sz="4" w:space="0" w:color="0C251B" w:themeColor="accent1"/>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4-Accent2">
    <w:name w:val="Grid Table 4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color w:val="FFFFFF" w:themeColor="background1"/>
      </w:rPr>
      <w:tblPr/>
      <w:tcPr>
        <w:tcBorders>
          <w:top w:val="single" w:sz="4" w:space="0" w:color="004028" w:themeColor="accent2"/>
          <w:left w:val="single" w:sz="4" w:space="0" w:color="004028" w:themeColor="accent2"/>
          <w:bottom w:val="single" w:sz="4" w:space="0" w:color="004028" w:themeColor="accent2"/>
          <w:right w:val="single" w:sz="4" w:space="0" w:color="004028" w:themeColor="accent2"/>
          <w:insideH w:val="nil"/>
          <w:insideV w:val="nil"/>
        </w:tcBorders>
        <w:shd w:val="clear" w:color="auto" w:fill="004028" w:themeFill="accent2"/>
      </w:tcPr>
    </w:tblStylePr>
    <w:tblStylePr w:type="lastRow">
      <w:rPr>
        <w:b/>
        <w:bCs/>
      </w:rPr>
      <w:tblPr/>
      <w:tcPr>
        <w:tcBorders>
          <w:top w:val="double" w:sz="4" w:space="0" w:color="004028" w:themeColor="accent2"/>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4-Accent3">
    <w:name w:val="Grid Table 4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color w:val="FFFFFF" w:themeColor="background1"/>
      </w:rPr>
      <w:tblPr/>
      <w:tcPr>
        <w:tcBorders>
          <w:top w:val="single" w:sz="4" w:space="0" w:color="F7F7EE" w:themeColor="accent3"/>
          <w:left w:val="single" w:sz="4" w:space="0" w:color="F7F7EE" w:themeColor="accent3"/>
          <w:bottom w:val="single" w:sz="4" w:space="0" w:color="F7F7EE" w:themeColor="accent3"/>
          <w:right w:val="single" w:sz="4" w:space="0" w:color="F7F7EE" w:themeColor="accent3"/>
          <w:insideH w:val="nil"/>
          <w:insideV w:val="nil"/>
        </w:tcBorders>
        <w:shd w:val="clear" w:color="auto" w:fill="F7F7EE" w:themeFill="accent3"/>
      </w:tcPr>
    </w:tblStylePr>
    <w:tblStylePr w:type="lastRow">
      <w:rPr>
        <w:b/>
        <w:bCs/>
      </w:rPr>
      <w:tblPr/>
      <w:tcPr>
        <w:tcBorders>
          <w:top w:val="double" w:sz="4" w:space="0" w:color="F7F7EE" w:themeColor="accent3"/>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4-Accent4">
    <w:name w:val="Grid Table 4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color w:val="FFFFFF" w:themeColor="background1"/>
      </w:rPr>
      <w:tblPr/>
      <w:tcPr>
        <w:tcBorders>
          <w:top w:val="single" w:sz="4" w:space="0" w:color="F3EAE1" w:themeColor="accent4"/>
          <w:left w:val="single" w:sz="4" w:space="0" w:color="F3EAE1" w:themeColor="accent4"/>
          <w:bottom w:val="single" w:sz="4" w:space="0" w:color="F3EAE1" w:themeColor="accent4"/>
          <w:right w:val="single" w:sz="4" w:space="0" w:color="F3EAE1" w:themeColor="accent4"/>
          <w:insideH w:val="nil"/>
          <w:insideV w:val="nil"/>
        </w:tcBorders>
        <w:shd w:val="clear" w:color="auto" w:fill="F3EAE1" w:themeFill="accent4"/>
      </w:tcPr>
    </w:tblStylePr>
    <w:tblStylePr w:type="lastRow">
      <w:rPr>
        <w:b/>
        <w:bCs/>
      </w:rPr>
      <w:tblPr/>
      <w:tcPr>
        <w:tcBorders>
          <w:top w:val="double" w:sz="4" w:space="0" w:color="F3EAE1" w:themeColor="accent4"/>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4-Accent5">
    <w:name w:val="Grid Table 4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color w:val="FFFFFF" w:themeColor="background1"/>
      </w:rPr>
      <w:tblPr/>
      <w:tcPr>
        <w:tcBorders>
          <w:top w:val="single" w:sz="4" w:space="0" w:color="FC5200" w:themeColor="accent5"/>
          <w:left w:val="single" w:sz="4" w:space="0" w:color="FC5200" w:themeColor="accent5"/>
          <w:bottom w:val="single" w:sz="4" w:space="0" w:color="FC5200" w:themeColor="accent5"/>
          <w:right w:val="single" w:sz="4" w:space="0" w:color="FC5200" w:themeColor="accent5"/>
          <w:insideH w:val="nil"/>
          <w:insideV w:val="nil"/>
        </w:tcBorders>
        <w:shd w:val="clear" w:color="auto" w:fill="FC5200" w:themeFill="accent5"/>
      </w:tcPr>
    </w:tblStylePr>
    <w:tblStylePr w:type="lastRow">
      <w:rPr>
        <w:b/>
        <w:bCs/>
      </w:rPr>
      <w:tblPr/>
      <w:tcPr>
        <w:tcBorders>
          <w:top w:val="double" w:sz="4" w:space="0" w:color="FC5200" w:themeColor="accent5"/>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4-Accent6">
    <w:name w:val="Grid Table 4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5donker">
    <w:name w:val="Grid Table 5 Dark"/>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8D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251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251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251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251B" w:themeFill="accent1"/>
      </w:tcPr>
    </w:tblStylePr>
    <w:tblStylePr w:type="band1Vert">
      <w:tblPr/>
      <w:tcPr>
        <w:shd w:val="clear" w:color="auto" w:fill="73D1AC" w:themeFill="accent1" w:themeFillTint="66"/>
      </w:tcPr>
    </w:tblStylePr>
    <w:tblStylePr w:type="band1Horz">
      <w:tblPr/>
      <w:tcPr>
        <w:shd w:val="clear" w:color="auto" w:fill="73D1AC" w:themeFill="accent1" w:themeFillTint="66"/>
      </w:tcPr>
    </w:tblStylePr>
  </w:style>
  <w:style w:type="table" w:styleId="Rastertabel5donker-Accent2">
    <w:name w:val="Grid Table 5 Dark Accent 2"/>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5FF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02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02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02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028" w:themeFill="accent2"/>
      </w:tcPr>
    </w:tblStylePr>
    <w:tblStylePr w:type="band1Vert">
      <w:tblPr/>
      <w:tcPr>
        <w:shd w:val="clear" w:color="auto" w:fill="4CFFBB" w:themeFill="accent2" w:themeFillTint="66"/>
      </w:tcPr>
    </w:tblStylePr>
    <w:tblStylePr w:type="band1Horz">
      <w:tblPr/>
      <w:tcPr>
        <w:shd w:val="clear" w:color="auto" w:fill="4CFFBB" w:themeFill="accent2" w:themeFillTint="66"/>
      </w:tcPr>
    </w:tblStylePr>
  </w:style>
  <w:style w:type="table" w:styleId="Rastertabel5donker-Accent3">
    <w:name w:val="Grid Table 5 Dark Accent 3"/>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F7E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F7E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F7E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F7EE" w:themeFill="accent3"/>
      </w:tcPr>
    </w:tblStylePr>
    <w:tblStylePr w:type="band1Vert">
      <w:tblPr/>
      <w:tcPr>
        <w:shd w:val="clear" w:color="auto" w:fill="FBFBF8" w:themeFill="accent3" w:themeFillTint="66"/>
      </w:tcPr>
    </w:tblStylePr>
    <w:tblStylePr w:type="band1Horz">
      <w:tblPr/>
      <w:tcPr>
        <w:shd w:val="clear" w:color="auto" w:fill="FBFBF8" w:themeFill="accent3" w:themeFillTint="66"/>
      </w:tcPr>
    </w:tblStylePr>
  </w:style>
  <w:style w:type="table" w:styleId="Rastertabel5donker-Accent4">
    <w:name w:val="Grid Table 5 Dark Accent 4"/>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3EAE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3EAE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3EAE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3EAE1" w:themeFill="accent4"/>
      </w:tcPr>
    </w:tblStylePr>
    <w:tblStylePr w:type="band1Vert">
      <w:tblPr/>
      <w:tcPr>
        <w:shd w:val="clear" w:color="auto" w:fill="FAF6F2" w:themeFill="accent4" w:themeFillTint="66"/>
      </w:tcPr>
    </w:tblStylePr>
    <w:tblStylePr w:type="band1Horz">
      <w:tblPr/>
      <w:tcPr>
        <w:shd w:val="clear" w:color="auto" w:fill="FAF6F2" w:themeFill="accent4" w:themeFillTint="66"/>
      </w:tcPr>
    </w:tblStylePr>
  </w:style>
  <w:style w:type="table" w:styleId="Rastertabel5donker-Accent5">
    <w:name w:val="Grid Table 5 Dark Accent 5"/>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B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C52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C52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C52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C5200" w:themeFill="accent5"/>
      </w:tcPr>
    </w:tblStylePr>
    <w:tblStylePr w:type="band1Vert">
      <w:tblPr/>
      <w:tcPr>
        <w:shd w:val="clear" w:color="auto" w:fill="FFB897" w:themeFill="accent5" w:themeFillTint="66"/>
      </w:tcPr>
    </w:tblStylePr>
    <w:tblStylePr w:type="band1Horz">
      <w:tblPr/>
      <w:tcPr>
        <w:shd w:val="clear" w:color="auto" w:fill="FFB897" w:themeFill="accent5" w:themeFillTint="66"/>
      </w:tcPr>
    </w:tblStylePr>
  </w:style>
  <w:style w:type="table" w:styleId="Rastertabel5donker-Accent6">
    <w:name w:val="Grid Table 5 Dark Accent 6"/>
    <w:basedOn w:val="Standaardtabel"/>
    <w:uiPriority w:val="59"/>
    <w:rsid w:val="00802144"/>
    <w:pPr>
      <w:spacing w:after="0" w:line="240" w:lineRule="auto"/>
    </w:pPr>
    <w:rPr>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styleId="Rastertabel6kleurrijk">
    <w:name w:val="Grid Table 6 Colorful"/>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9"/>
    <w:rsid w:val="00802144"/>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bottom w:val="single" w:sz="12" w:space="0" w:color="39B080" w:themeColor="accent1" w:themeTint="99"/>
        </w:tcBorders>
      </w:tcPr>
    </w:tblStylePr>
    <w:tblStylePr w:type="lastRow">
      <w:rPr>
        <w:b/>
        <w:bCs/>
      </w:rPr>
      <w:tblPr/>
      <w:tcPr>
        <w:tcBorders>
          <w:top w:val="double" w:sz="4" w:space="0" w:color="39B080" w:themeColor="accent1" w:themeTint="99"/>
        </w:tcBorders>
      </w:tcPr>
    </w:tblStylePr>
    <w:tblStylePr w:type="firstCol">
      <w:rPr>
        <w:b/>
        <w:bCs/>
      </w:rPr>
    </w:tblStylePr>
    <w:tblStylePr w:type="lastCol">
      <w:rPr>
        <w:b/>
        <w:bCs/>
      </w:rPr>
    </w:tblStylePr>
    <w:tblStylePr w:type="band1Vert">
      <w:tblPr/>
      <w:tcPr>
        <w:shd w:val="clear" w:color="auto" w:fill="B9E8D5" w:themeFill="accent1" w:themeFillTint="33"/>
      </w:tcPr>
    </w:tblStylePr>
    <w:tblStylePr w:type="band1Horz">
      <w:tblPr/>
      <w:tcPr>
        <w:shd w:val="clear" w:color="auto" w:fill="B9E8D5" w:themeFill="accent1" w:themeFillTint="33"/>
      </w:tcPr>
    </w:tblStylePr>
  </w:style>
  <w:style w:type="table" w:styleId="Rastertabel6kleurrijk-Accent2">
    <w:name w:val="Grid Table 6 Colorful Accent 2"/>
    <w:basedOn w:val="Standaardtabel"/>
    <w:uiPriority w:val="59"/>
    <w:rsid w:val="00802144"/>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bottom w:val="single" w:sz="12" w:space="0" w:color="00F297" w:themeColor="accent2" w:themeTint="99"/>
        </w:tcBorders>
      </w:tcPr>
    </w:tblStylePr>
    <w:tblStylePr w:type="lastRow">
      <w:rPr>
        <w:b/>
        <w:bCs/>
      </w:rPr>
      <w:tblPr/>
      <w:tcPr>
        <w:tcBorders>
          <w:top w:val="double" w:sz="4" w:space="0" w:color="00F297" w:themeColor="accent2" w:themeTint="99"/>
        </w:tcBorders>
      </w:tcPr>
    </w:tblStylePr>
    <w:tblStylePr w:type="firstCol">
      <w:rPr>
        <w:b/>
        <w:bCs/>
      </w:rPr>
    </w:tblStylePr>
    <w:tblStylePr w:type="lastCol">
      <w:rPr>
        <w:b/>
        <w:bCs/>
      </w:rPr>
    </w:tblStylePr>
    <w:tblStylePr w:type="band1Vert">
      <w:tblPr/>
      <w:tcPr>
        <w:shd w:val="clear" w:color="auto" w:fill="A5FFDD" w:themeFill="accent2" w:themeFillTint="33"/>
      </w:tcPr>
    </w:tblStylePr>
    <w:tblStylePr w:type="band1Horz">
      <w:tblPr/>
      <w:tcPr>
        <w:shd w:val="clear" w:color="auto" w:fill="A5FFDD" w:themeFill="accent2" w:themeFillTint="33"/>
      </w:tcPr>
    </w:tblStylePr>
  </w:style>
  <w:style w:type="table" w:styleId="Rastertabel6kleurrijk-Accent3">
    <w:name w:val="Grid Table 6 Colorful Accent 3"/>
    <w:basedOn w:val="Standaardtabel"/>
    <w:uiPriority w:val="59"/>
    <w:rsid w:val="00802144"/>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bottom w:val="single" w:sz="12" w:space="0" w:color="FAFAF4" w:themeColor="accent3" w:themeTint="99"/>
        </w:tcBorders>
      </w:tcPr>
    </w:tblStylePr>
    <w:tblStylePr w:type="lastRow">
      <w:rPr>
        <w:b/>
        <w:bCs/>
      </w:rPr>
      <w:tblPr/>
      <w:tcPr>
        <w:tcBorders>
          <w:top w:val="double" w:sz="4" w:space="0" w:color="FAFAF4" w:themeColor="accent3" w:themeTint="99"/>
        </w:tcBorders>
      </w:tcPr>
    </w:tblStylePr>
    <w:tblStylePr w:type="firstCol">
      <w:rPr>
        <w:b/>
        <w:bCs/>
      </w:rPr>
    </w:tblStylePr>
    <w:tblStylePr w:type="lastCol">
      <w:rPr>
        <w:b/>
        <w:bCs/>
      </w:rPr>
    </w:tblStylePr>
    <w:tblStylePr w:type="band1Vert">
      <w:tblPr/>
      <w:tcPr>
        <w:shd w:val="clear" w:color="auto" w:fill="FDFDFB" w:themeFill="accent3" w:themeFillTint="33"/>
      </w:tcPr>
    </w:tblStylePr>
    <w:tblStylePr w:type="band1Horz">
      <w:tblPr/>
      <w:tcPr>
        <w:shd w:val="clear" w:color="auto" w:fill="FDFDFB" w:themeFill="accent3" w:themeFillTint="33"/>
      </w:tcPr>
    </w:tblStylePr>
  </w:style>
  <w:style w:type="table" w:styleId="Rastertabel6kleurrijk-Accent4">
    <w:name w:val="Grid Table 6 Colorful Accent 4"/>
    <w:basedOn w:val="Standaardtabel"/>
    <w:uiPriority w:val="59"/>
    <w:rsid w:val="00802144"/>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bottom w:val="single" w:sz="12" w:space="0" w:color="F7F2EC" w:themeColor="accent4" w:themeTint="99"/>
        </w:tcBorders>
      </w:tcPr>
    </w:tblStylePr>
    <w:tblStylePr w:type="lastRow">
      <w:rPr>
        <w:b/>
        <w:bCs/>
      </w:rPr>
      <w:tblPr/>
      <w:tcPr>
        <w:tcBorders>
          <w:top w:val="double" w:sz="4" w:space="0" w:color="F7F2EC" w:themeColor="accent4" w:themeTint="99"/>
        </w:tcBorders>
      </w:tcPr>
    </w:tblStylePr>
    <w:tblStylePr w:type="firstCol">
      <w:rPr>
        <w:b/>
        <w:bCs/>
      </w:rPr>
    </w:tblStylePr>
    <w:tblStylePr w:type="lastCol">
      <w:rPr>
        <w:b/>
        <w:bCs/>
      </w:rPr>
    </w:tblStylePr>
    <w:tblStylePr w:type="band1Vert">
      <w:tblPr/>
      <w:tcPr>
        <w:shd w:val="clear" w:color="auto" w:fill="FCFAF8" w:themeFill="accent4" w:themeFillTint="33"/>
      </w:tcPr>
    </w:tblStylePr>
    <w:tblStylePr w:type="band1Horz">
      <w:tblPr/>
      <w:tcPr>
        <w:shd w:val="clear" w:color="auto" w:fill="FCFAF8" w:themeFill="accent4" w:themeFillTint="33"/>
      </w:tcPr>
    </w:tblStylePr>
  </w:style>
  <w:style w:type="table" w:styleId="Rastertabel6kleurrijk-Accent5">
    <w:name w:val="Grid Table 6 Colorful Accent 5"/>
    <w:basedOn w:val="Standaardtabel"/>
    <w:uiPriority w:val="59"/>
    <w:rsid w:val="00802144"/>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bottom w:val="single" w:sz="12" w:space="0" w:color="FF9564" w:themeColor="accent5" w:themeTint="99"/>
        </w:tcBorders>
      </w:tcPr>
    </w:tblStylePr>
    <w:tblStylePr w:type="lastRow">
      <w:rPr>
        <w:b/>
        <w:bCs/>
      </w:rPr>
      <w:tblPr/>
      <w:tcPr>
        <w:tcBorders>
          <w:top w:val="double" w:sz="4" w:space="0" w:color="FF9564" w:themeColor="accent5" w:themeTint="99"/>
        </w:tcBorders>
      </w:tcPr>
    </w:tblStylePr>
    <w:tblStylePr w:type="firstCol">
      <w:rPr>
        <w:b/>
        <w:bCs/>
      </w:rPr>
    </w:tblStylePr>
    <w:tblStylePr w:type="lastCol">
      <w:rPr>
        <w:b/>
        <w:bCs/>
      </w:rPr>
    </w:tblStylePr>
    <w:tblStylePr w:type="band1Vert">
      <w:tblPr/>
      <w:tcPr>
        <w:shd w:val="clear" w:color="auto" w:fill="FFDBCB" w:themeFill="accent5" w:themeFillTint="33"/>
      </w:tcPr>
    </w:tblStylePr>
    <w:tblStylePr w:type="band1Horz">
      <w:tblPr/>
      <w:tcPr>
        <w:shd w:val="clear" w:color="auto" w:fill="FFDBCB" w:themeFill="accent5" w:themeFillTint="33"/>
      </w:tcPr>
    </w:tblStylePr>
  </w:style>
  <w:style w:type="table" w:styleId="Rastertabel6kleurrijk-Accent6">
    <w:name w:val="Grid Table 6 Colorful Accent 6"/>
    <w:basedOn w:val="Standaardtabel"/>
    <w:uiPriority w:val="59"/>
    <w:rsid w:val="00802144"/>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Rastertabel7kleurrijk">
    <w:name w:val="Grid Table 7 Colorful"/>
    <w:basedOn w:val="Standaardtabel"/>
    <w:uiPriority w:val="59"/>
    <w:rsid w:val="00802144"/>
    <w:pPr>
      <w:spacing w:after="0" w:line="240" w:lineRule="auto"/>
    </w:pPr>
    <w:rPr>
      <w:color w:val="000000" w:themeColor="text1"/>
      <w:kern w:val="0"/>
      <w:sz w:val="20"/>
      <w:szCs w:val="2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9"/>
    <w:rsid w:val="00802144"/>
    <w:pPr>
      <w:spacing w:after="0" w:line="240" w:lineRule="auto"/>
    </w:pPr>
    <w:rPr>
      <w:color w:val="091B14" w:themeColor="accent1" w:themeShade="BF"/>
      <w:kern w:val="0"/>
      <w:sz w:val="20"/>
      <w:szCs w:val="20"/>
      <w:lang w:val="en-US"/>
      <w14:ligatures w14:val="none"/>
    </w:rPr>
    <w:tblPr>
      <w:tblStyleRowBandSize w:val="1"/>
      <w:tblStyleColBandSize w:val="1"/>
      <w:tblBorders>
        <w:top w:val="single" w:sz="4" w:space="0" w:color="39B080" w:themeColor="accent1" w:themeTint="99"/>
        <w:left w:val="single" w:sz="4" w:space="0" w:color="39B080" w:themeColor="accent1" w:themeTint="99"/>
        <w:bottom w:val="single" w:sz="4" w:space="0" w:color="39B080" w:themeColor="accent1" w:themeTint="99"/>
        <w:right w:val="single" w:sz="4" w:space="0" w:color="39B080" w:themeColor="accent1" w:themeTint="99"/>
        <w:insideH w:val="single" w:sz="4" w:space="0" w:color="39B080" w:themeColor="accent1" w:themeTint="99"/>
        <w:insideV w:val="single" w:sz="4" w:space="0" w:color="39B08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8D5" w:themeFill="accent1" w:themeFillTint="33"/>
      </w:tcPr>
    </w:tblStylePr>
    <w:tblStylePr w:type="band1Horz">
      <w:tblPr/>
      <w:tcPr>
        <w:shd w:val="clear" w:color="auto" w:fill="B9E8D5" w:themeFill="accent1" w:themeFillTint="33"/>
      </w:tcPr>
    </w:tblStylePr>
    <w:tblStylePr w:type="neCell">
      <w:tblPr/>
      <w:tcPr>
        <w:tcBorders>
          <w:bottom w:val="single" w:sz="4" w:space="0" w:color="39B080" w:themeColor="accent1" w:themeTint="99"/>
        </w:tcBorders>
      </w:tcPr>
    </w:tblStylePr>
    <w:tblStylePr w:type="nwCell">
      <w:tblPr/>
      <w:tcPr>
        <w:tcBorders>
          <w:bottom w:val="single" w:sz="4" w:space="0" w:color="39B080" w:themeColor="accent1" w:themeTint="99"/>
        </w:tcBorders>
      </w:tcPr>
    </w:tblStylePr>
    <w:tblStylePr w:type="seCell">
      <w:tblPr/>
      <w:tcPr>
        <w:tcBorders>
          <w:top w:val="single" w:sz="4" w:space="0" w:color="39B080" w:themeColor="accent1" w:themeTint="99"/>
        </w:tcBorders>
      </w:tcPr>
    </w:tblStylePr>
    <w:tblStylePr w:type="swCell">
      <w:tblPr/>
      <w:tcPr>
        <w:tcBorders>
          <w:top w:val="single" w:sz="4" w:space="0" w:color="39B080" w:themeColor="accent1" w:themeTint="99"/>
        </w:tcBorders>
      </w:tcPr>
    </w:tblStylePr>
  </w:style>
  <w:style w:type="table" w:styleId="Rastertabel7kleurrijk-Accent2">
    <w:name w:val="Grid Table 7 Colorful Accent 2"/>
    <w:basedOn w:val="Standaardtabel"/>
    <w:uiPriority w:val="59"/>
    <w:rsid w:val="00802144"/>
    <w:pPr>
      <w:spacing w:after="0" w:line="240" w:lineRule="auto"/>
    </w:pPr>
    <w:rPr>
      <w:color w:val="002F1D" w:themeColor="accent2" w:themeShade="BF"/>
      <w:kern w:val="0"/>
      <w:sz w:val="20"/>
      <w:szCs w:val="20"/>
      <w:lang w:val="en-US"/>
      <w14:ligatures w14:val="none"/>
    </w:rPr>
    <w:tblPr>
      <w:tblStyleRowBandSize w:val="1"/>
      <w:tblStyleColBandSize w:val="1"/>
      <w:tblBorders>
        <w:top w:val="single" w:sz="4" w:space="0" w:color="00F297" w:themeColor="accent2" w:themeTint="99"/>
        <w:left w:val="single" w:sz="4" w:space="0" w:color="00F297" w:themeColor="accent2" w:themeTint="99"/>
        <w:bottom w:val="single" w:sz="4" w:space="0" w:color="00F297" w:themeColor="accent2" w:themeTint="99"/>
        <w:right w:val="single" w:sz="4" w:space="0" w:color="00F297" w:themeColor="accent2" w:themeTint="99"/>
        <w:insideH w:val="single" w:sz="4" w:space="0" w:color="00F297" w:themeColor="accent2" w:themeTint="99"/>
        <w:insideV w:val="single" w:sz="4" w:space="0" w:color="00F29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FFDD" w:themeFill="accent2" w:themeFillTint="33"/>
      </w:tcPr>
    </w:tblStylePr>
    <w:tblStylePr w:type="band1Horz">
      <w:tblPr/>
      <w:tcPr>
        <w:shd w:val="clear" w:color="auto" w:fill="A5FFDD" w:themeFill="accent2" w:themeFillTint="33"/>
      </w:tcPr>
    </w:tblStylePr>
    <w:tblStylePr w:type="neCell">
      <w:tblPr/>
      <w:tcPr>
        <w:tcBorders>
          <w:bottom w:val="single" w:sz="4" w:space="0" w:color="00F297" w:themeColor="accent2" w:themeTint="99"/>
        </w:tcBorders>
      </w:tcPr>
    </w:tblStylePr>
    <w:tblStylePr w:type="nwCell">
      <w:tblPr/>
      <w:tcPr>
        <w:tcBorders>
          <w:bottom w:val="single" w:sz="4" w:space="0" w:color="00F297" w:themeColor="accent2" w:themeTint="99"/>
        </w:tcBorders>
      </w:tcPr>
    </w:tblStylePr>
    <w:tblStylePr w:type="seCell">
      <w:tblPr/>
      <w:tcPr>
        <w:tcBorders>
          <w:top w:val="single" w:sz="4" w:space="0" w:color="00F297" w:themeColor="accent2" w:themeTint="99"/>
        </w:tcBorders>
      </w:tcPr>
    </w:tblStylePr>
    <w:tblStylePr w:type="swCell">
      <w:tblPr/>
      <w:tcPr>
        <w:tcBorders>
          <w:top w:val="single" w:sz="4" w:space="0" w:color="00F297" w:themeColor="accent2" w:themeTint="99"/>
        </w:tcBorders>
      </w:tcPr>
    </w:tblStylePr>
  </w:style>
  <w:style w:type="table" w:styleId="Rastertabel7kleurrijk-Accent3">
    <w:name w:val="Grid Table 7 Colorful Accent 3"/>
    <w:basedOn w:val="Standaardtabel"/>
    <w:uiPriority w:val="59"/>
    <w:rsid w:val="00802144"/>
    <w:pPr>
      <w:spacing w:after="0" w:line="240" w:lineRule="auto"/>
    </w:pPr>
    <w:rPr>
      <w:color w:val="D0D09B" w:themeColor="accent3" w:themeShade="BF"/>
      <w:kern w:val="0"/>
      <w:sz w:val="20"/>
      <w:szCs w:val="20"/>
      <w:lang w:val="en-US"/>
      <w14:ligatures w14:val="none"/>
    </w:rPr>
    <w:tblPr>
      <w:tblStyleRowBandSize w:val="1"/>
      <w:tblStyleColBandSize w:val="1"/>
      <w:tblBorders>
        <w:top w:val="single" w:sz="4" w:space="0" w:color="FAFAF4" w:themeColor="accent3" w:themeTint="99"/>
        <w:left w:val="single" w:sz="4" w:space="0" w:color="FAFAF4" w:themeColor="accent3" w:themeTint="99"/>
        <w:bottom w:val="single" w:sz="4" w:space="0" w:color="FAFAF4" w:themeColor="accent3" w:themeTint="99"/>
        <w:right w:val="single" w:sz="4" w:space="0" w:color="FAFAF4" w:themeColor="accent3" w:themeTint="99"/>
        <w:insideH w:val="single" w:sz="4" w:space="0" w:color="FAFAF4" w:themeColor="accent3" w:themeTint="99"/>
        <w:insideV w:val="single" w:sz="4" w:space="0" w:color="FAFA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B" w:themeFill="accent3" w:themeFillTint="33"/>
      </w:tcPr>
    </w:tblStylePr>
    <w:tblStylePr w:type="band1Horz">
      <w:tblPr/>
      <w:tcPr>
        <w:shd w:val="clear" w:color="auto" w:fill="FDFDFB" w:themeFill="accent3" w:themeFillTint="33"/>
      </w:tcPr>
    </w:tblStylePr>
    <w:tblStylePr w:type="neCell">
      <w:tblPr/>
      <w:tcPr>
        <w:tcBorders>
          <w:bottom w:val="single" w:sz="4" w:space="0" w:color="FAFAF4" w:themeColor="accent3" w:themeTint="99"/>
        </w:tcBorders>
      </w:tcPr>
    </w:tblStylePr>
    <w:tblStylePr w:type="nwCell">
      <w:tblPr/>
      <w:tcPr>
        <w:tcBorders>
          <w:bottom w:val="single" w:sz="4" w:space="0" w:color="FAFAF4" w:themeColor="accent3" w:themeTint="99"/>
        </w:tcBorders>
      </w:tcPr>
    </w:tblStylePr>
    <w:tblStylePr w:type="seCell">
      <w:tblPr/>
      <w:tcPr>
        <w:tcBorders>
          <w:top w:val="single" w:sz="4" w:space="0" w:color="FAFAF4" w:themeColor="accent3" w:themeTint="99"/>
        </w:tcBorders>
      </w:tcPr>
    </w:tblStylePr>
    <w:tblStylePr w:type="swCell">
      <w:tblPr/>
      <w:tcPr>
        <w:tcBorders>
          <w:top w:val="single" w:sz="4" w:space="0" w:color="FAFAF4" w:themeColor="accent3" w:themeTint="99"/>
        </w:tcBorders>
      </w:tcPr>
    </w:tblStylePr>
  </w:style>
  <w:style w:type="table" w:styleId="Rastertabel7kleurrijk-Accent4">
    <w:name w:val="Grid Table 7 Colorful Accent 4"/>
    <w:basedOn w:val="Standaardtabel"/>
    <w:uiPriority w:val="59"/>
    <w:rsid w:val="00802144"/>
    <w:pPr>
      <w:spacing w:after="0" w:line="240" w:lineRule="auto"/>
    </w:pPr>
    <w:rPr>
      <w:color w:val="D1AF8C" w:themeColor="accent4" w:themeShade="BF"/>
      <w:kern w:val="0"/>
      <w:sz w:val="20"/>
      <w:szCs w:val="20"/>
      <w:lang w:val="en-US"/>
      <w14:ligatures w14:val="none"/>
    </w:rPr>
    <w:tblPr>
      <w:tblStyleRowBandSize w:val="1"/>
      <w:tblStyleColBandSize w:val="1"/>
      <w:tblBorders>
        <w:top w:val="single" w:sz="4" w:space="0" w:color="F7F2EC" w:themeColor="accent4" w:themeTint="99"/>
        <w:left w:val="single" w:sz="4" w:space="0" w:color="F7F2EC" w:themeColor="accent4" w:themeTint="99"/>
        <w:bottom w:val="single" w:sz="4" w:space="0" w:color="F7F2EC" w:themeColor="accent4" w:themeTint="99"/>
        <w:right w:val="single" w:sz="4" w:space="0" w:color="F7F2EC" w:themeColor="accent4" w:themeTint="99"/>
        <w:insideH w:val="single" w:sz="4" w:space="0" w:color="F7F2EC" w:themeColor="accent4" w:themeTint="99"/>
        <w:insideV w:val="single" w:sz="4" w:space="0" w:color="F7F2E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AF8" w:themeFill="accent4" w:themeFillTint="33"/>
      </w:tcPr>
    </w:tblStylePr>
    <w:tblStylePr w:type="band1Horz">
      <w:tblPr/>
      <w:tcPr>
        <w:shd w:val="clear" w:color="auto" w:fill="FCFAF8" w:themeFill="accent4" w:themeFillTint="33"/>
      </w:tcPr>
    </w:tblStylePr>
    <w:tblStylePr w:type="neCell">
      <w:tblPr/>
      <w:tcPr>
        <w:tcBorders>
          <w:bottom w:val="single" w:sz="4" w:space="0" w:color="F7F2EC" w:themeColor="accent4" w:themeTint="99"/>
        </w:tcBorders>
      </w:tcPr>
    </w:tblStylePr>
    <w:tblStylePr w:type="nwCell">
      <w:tblPr/>
      <w:tcPr>
        <w:tcBorders>
          <w:bottom w:val="single" w:sz="4" w:space="0" w:color="F7F2EC" w:themeColor="accent4" w:themeTint="99"/>
        </w:tcBorders>
      </w:tcPr>
    </w:tblStylePr>
    <w:tblStylePr w:type="seCell">
      <w:tblPr/>
      <w:tcPr>
        <w:tcBorders>
          <w:top w:val="single" w:sz="4" w:space="0" w:color="F7F2EC" w:themeColor="accent4" w:themeTint="99"/>
        </w:tcBorders>
      </w:tcPr>
    </w:tblStylePr>
    <w:tblStylePr w:type="swCell">
      <w:tblPr/>
      <w:tcPr>
        <w:tcBorders>
          <w:top w:val="single" w:sz="4" w:space="0" w:color="F7F2EC" w:themeColor="accent4" w:themeTint="99"/>
        </w:tcBorders>
      </w:tcPr>
    </w:tblStylePr>
  </w:style>
  <w:style w:type="table" w:styleId="Rastertabel7kleurrijk-Accent5">
    <w:name w:val="Grid Table 7 Colorful Accent 5"/>
    <w:basedOn w:val="Standaardtabel"/>
    <w:uiPriority w:val="59"/>
    <w:rsid w:val="00802144"/>
    <w:pPr>
      <w:spacing w:after="0" w:line="240" w:lineRule="auto"/>
    </w:pPr>
    <w:rPr>
      <w:color w:val="BC3C00" w:themeColor="accent5" w:themeShade="BF"/>
      <w:kern w:val="0"/>
      <w:sz w:val="20"/>
      <w:szCs w:val="20"/>
      <w:lang w:val="en-US"/>
      <w14:ligatures w14:val="none"/>
    </w:rPr>
    <w:tblPr>
      <w:tblStyleRowBandSize w:val="1"/>
      <w:tblStyleColBandSize w:val="1"/>
      <w:tblBorders>
        <w:top w:val="single" w:sz="4" w:space="0" w:color="FF9564" w:themeColor="accent5" w:themeTint="99"/>
        <w:left w:val="single" w:sz="4" w:space="0" w:color="FF9564" w:themeColor="accent5" w:themeTint="99"/>
        <w:bottom w:val="single" w:sz="4" w:space="0" w:color="FF9564" w:themeColor="accent5" w:themeTint="99"/>
        <w:right w:val="single" w:sz="4" w:space="0" w:color="FF9564" w:themeColor="accent5" w:themeTint="99"/>
        <w:insideH w:val="single" w:sz="4" w:space="0" w:color="FF9564" w:themeColor="accent5" w:themeTint="99"/>
        <w:insideV w:val="single" w:sz="4" w:space="0" w:color="FF95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B" w:themeFill="accent5" w:themeFillTint="33"/>
      </w:tcPr>
    </w:tblStylePr>
    <w:tblStylePr w:type="band1Horz">
      <w:tblPr/>
      <w:tcPr>
        <w:shd w:val="clear" w:color="auto" w:fill="FFDBCB" w:themeFill="accent5" w:themeFillTint="33"/>
      </w:tcPr>
    </w:tblStylePr>
    <w:tblStylePr w:type="neCell">
      <w:tblPr/>
      <w:tcPr>
        <w:tcBorders>
          <w:bottom w:val="single" w:sz="4" w:space="0" w:color="FF9564" w:themeColor="accent5" w:themeTint="99"/>
        </w:tcBorders>
      </w:tcPr>
    </w:tblStylePr>
    <w:tblStylePr w:type="nwCell">
      <w:tblPr/>
      <w:tcPr>
        <w:tcBorders>
          <w:bottom w:val="single" w:sz="4" w:space="0" w:color="FF9564" w:themeColor="accent5" w:themeTint="99"/>
        </w:tcBorders>
      </w:tcPr>
    </w:tblStylePr>
    <w:tblStylePr w:type="seCell">
      <w:tblPr/>
      <w:tcPr>
        <w:tcBorders>
          <w:top w:val="single" w:sz="4" w:space="0" w:color="FF9564" w:themeColor="accent5" w:themeTint="99"/>
        </w:tcBorders>
      </w:tcPr>
    </w:tblStylePr>
    <w:tblStylePr w:type="swCell">
      <w:tblPr/>
      <w:tcPr>
        <w:tcBorders>
          <w:top w:val="single" w:sz="4" w:space="0" w:color="FF9564" w:themeColor="accent5" w:themeTint="99"/>
        </w:tcBorders>
      </w:tcPr>
    </w:tblStylePr>
  </w:style>
  <w:style w:type="table" w:styleId="Rastertabel7kleurrijk-Accent6">
    <w:name w:val="Grid Table 7 Colorful Accent 6"/>
    <w:basedOn w:val="Standaardtabel"/>
    <w:uiPriority w:val="59"/>
    <w:rsid w:val="00802144"/>
    <w:pPr>
      <w:spacing w:after="0" w:line="240" w:lineRule="auto"/>
    </w:pPr>
    <w:rPr>
      <w:color w:val="BFBFBF" w:themeColor="accent6" w:themeShade="BF"/>
      <w:kern w:val="0"/>
      <w:sz w:val="20"/>
      <w:szCs w:val="20"/>
      <w:lang w:val="en-US"/>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character" w:styleId="Regelnummer">
    <w:name w:val="line number"/>
    <w:basedOn w:val="Standaardalinea-lettertype"/>
    <w:uiPriority w:val="59"/>
    <w:semiHidden/>
    <w:unhideWhenUsed/>
    <w:rsid w:val="00802144"/>
  </w:style>
  <w:style w:type="character" w:styleId="Slimmehyperlink">
    <w:name w:val="Smart Hyperlink"/>
    <w:basedOn w:val="Standaardalinea-lettertype"/>
    <w:uiPriority w:val="59"/>
    <w:semiHidden/>
    <w:unhideWhenUsed/>
    <w:rsid w:val="00802144"/>
    <w:rPr>
      <w:u w:val="dotted"/>
    </w:rPr>
  </w:style>
  <w:style w:type="character" w:styleId="SmartLink">
    <w:name w:val="Smart Link"/>
    <w:basedOn w:val="Standaardalinea-lettertype"/>
    <w:uiPriority w:val="59"/>
    <w:semiHidden/>
    <w:unhideWhenUsed/>
    <w:rsid w:val="00802144"/>
    <w:rPr>
      <w:color w:val="0000FF"/>
      <w:u w:val="single"/>
      <w:shd w:val="clear" w:color="auto" w:fill="F3F2F1"/>
    </w:rPr>
  </w:style>
  <w:style w:type="character" w:styleId="Subtielebenadrukking">
    <w:name w:val="Subtle Emphasis"/>
    <w:basedOn w:val="Standaardalinea-lettertype"/>
    <w:uiPriority w:val="59"/>
    <w:qFormat/>
    <w:rsid w:val="00802144"/>
    <w:rPr>
      <w:i/>
      <w:iCs/>
      <w:color w:val="404040" w:themeColor="text1" w:themeTint="BF"/>
    </w:rPr>
  </w:style>
  <w:style w:type="character" w:styleId="Subtieleverwijzing">
    <w:name w:val="Subtle Reference"/>
    <w:basedOn w:val="Standaardalinea-lettertype"/>
    <w:uiPriority w:val="59"/>
    <w:qFormat/>
    <w:rsid w:val="00802144"/>
    <w:rPr>
      <w:smallCaps/>
      <w:color w:val="5A5A5A" w:themeColor="text1" w:themeTint="A5"/>
    </w:rPr>
  </w:style>
  <w:style w:type="table" w:styleId="Tabelkolommen1">
    <w:name w:val="Table Columns 1"/>
    <w:basedOn w:val="Standaardtabel"/>
    <w:uiPriority w:val="59"/>
    <w:semiHidden/>
    <w:unhideWhenUsed/>
    <w:rsid w:val="00802144"/>
    <w:pPr>
      <w:spacing w:after="0" w:line="252" w:lineRule="auto"/>
    </w:pPr>
    <w:rPr>
      <w:b/>
      <w:bCs/>
      <w:kern w:val="0"/>
      <w:sz w:val="20"/>
      <w:szCs w:val="20"/>
      <w:lang w:val="en-US"/>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59"/>
    <w:semiHidden/>
    <w:unhideWhenUsed/>
    <w:rsid w:val="00802144"/>
    <w:pPr>
      <w:spacing w:after="0" w:line="252" w:lineRule="auto"/>
    </w:pPr>
    <w:rPr>
      <w:b/>
      <w:bCs/>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59"/>
    <w:semiHidden/>
    <w:unhideWhenUsed/>
    <w:rsid w:val="00802144"/>
    <w:pPr>
      <w:spacing w:after="0" w:line="252" w:lineRule="auto"/>
    </w:pPr>
    <w:rPr>
      <w:b/>
      <w:bCs/>
      <w:kern w:val="0"/>
      <w:sz w:val="20"/>
      <w:szCs w:val="20"/>
      <w:lang w:val="en-US"/>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59"/>
    <w:semiHidden/>
    <w:unhideWhenUsed/>
    <w:rsid w:val="00802144"/>
    <w:pPr>
      <w:spacing w:after="0" w:line="252" w:lineRule="auto"/>
    </w:pPr>
    <w:rPr>
      <w:kern w:val="0"/>
      <w:sz w:val="20"/>
      <w:szCs w:val="20"/>
      <w:lang w:val="en-US"/>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59"/>
    <w:semiHidden/>
    <w:unhideWhenUsed/>
    <w:rsid w:val="00802144"/>
    <w:pPr>
      <w:spacing w:after="0" w:line="252" w:lineRule="auto"/>
    </w:pPr>
    <w:rPr>
      <w:kern w:val="0"/>
      <w:sz w:val="20"/>
      <w:szCs w:val="20"/>
      <w:lang w:val="en-US"/>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59"/>
    <w:semiHidden/>
    <w:unhideWhenUsed/>
    <w:rsid w:val="00802144"/>
    <w:pPr>
      <w:spacing w:after="0" w:line="252" w:lineRule="auto"/>
    </w:pPr>
    <w:rPr>
      <w:kern w:val="0"/>
      <w:sz w:val="20"/>
      <w:szCs w:val="20"/>
      <w:lang w:val="en-US"/>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59"/>
    <w:semiHidden/>
    <w:unhideWhenUsed/>
    <w:rsid w:val="00802144"/>
    <w:pPr>
      <w:spacing w:after="0" w:line="252" w:lineRule="auto"/>
    </w:pPr>
    <w:rPr>
      <w:kern w:val="0"/>
      <w:sz w:val="20"/>
      <w:szCs w:val="20"/>
      <w:lang w:val="en-US"/>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59"/>
    <w:semiHidden/>
    <w:unhideWhenUsed/>
    <w:rsid w:val="00802144"/>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59"/>
    <w:semiHidden/>
    <w:unhideWhenUsed/>
    <w:rsid w:val="00802144"/>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59"/>
    <w:semiHidden/>
    <w:unhideWhenUsed/>
    <w:rsid w:val="00802144"/>
    <w:pPr>
      <w:spacing w:after="0" w:line="252" w:lineRule="auto"/>
    </w:pPr>
    <w:rPr>
      <w:kern w:val="0"/>
      <w:sz w:val="20"/>
      <w:szCs w:val="20"/>
      <w:lang w:val="en-US"/>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59"/>
    <w:semiHidden/>
    <w:unhideWhenUsed/>
    <w:rsid w:val="00802144"/>
    <w:pPr>
      <w:spacing w:after="0" w:line="252" w:lineRule="auto"/>
    </w:pPr>
    <w:rPr>
      <w:kern w:val="0"/>
      <w:sz w:val="20"/>
      <w:szCs w:val="20"/>
      <w:lang w:val="en-US"/>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59"/>
    <w:semiHidden/>
    <w:unhideWhenUsed/>
    <w:rsid w:val="00802144"/>
    <w:pPr>
      <w:spacing w:after="0" w:line="252" w:lineRule="auto"/>
    </w:pPr>
    <w:rPr>
      <w:kern w:val="0"/>
      <w:sz w:val="20"/>
      <w:szCs w:val="2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59"/>
    <w:semiHidden/>
    <w:unhideWhenUsed/>
    <w:rsid w:val="00802144"/>
    <w:pPr>
      <w:spacing w:after="0" w:line="252" w:lineRule="auto"/>
    </w:pPr>
    <w:rPr>
      <w:kern w:val="0"/>
      <w:sz w:val="20"/>
      <w:szCs w:val="20"/>
      <w:lang w:val="en-US"/>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59"/>
    <w:semiHidden/>
    <w:unhideWhenUsed/>
    <w:rsid w:val="00802144"/>
    <w:pPr>
      <w:spacing w:after="0" w:line="252" w:lineRule="auto"/>
    </w:pPr>
    <w:rPr>
      <w:kern w:val="0"/>
      <w:sz w:val="20"/>
      <w:szCs w:val="20"/>
      <w:lang w:val="en-US"/>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59"/>
    <w:semiHidden/>
    <w:unhideWhenUsed/>
    <w:rsid w:val="00802144"/>
    <w:pPr>
      <w:spacing w:after="0" w:line="252" w:lineRule="auto"/>
    </w:pPr>
    <w:rPr>
      <w:kern w:val="0"/>
      <w:sz w:val="20"/>
      <w:szCs w:val="20"/>
      <w:lang w:val="en-US"/>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59"/>
    <w:semiHidden/>
    <w:unhideWhenUsed/>
    <w:rsid w:val="00802144"/>
    <w:pPr>
      <w:spacing w:after="0" w:line="252" w:lineRule="auto"/>
    </w:pPr>
    <w:rPr>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59"/>
    <w:semiHidden/>
    <w:unhideWhenUsed/>
    <w:rsid w:val="00802144"/>
    <w:pPr>
      <w:spacing w:after="0" w:line="252" w:lineRule="auto"/>
    </w:pPr>
    <w:rPr>
      <w:b/>
      <w:bCs/>
      <w:kern w:val="0"/>
      <w:sz w:val="20"/>
      <w:szCs w:val="20"/>
      <w:lang w:val="en-US"/>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59"/>
    <w:semiHidden/>
    <w:unhideWhenUsed/>
    <w:rsid w:val="00802144"/>
    <w:pPr>
      <w:spacing w:after="0" w:line="252" w:lineRule="auto"/>
    </w:pPr>
    <w:rPr>
      <w:kern w:val="0"/>
      <w:sz w:val="20"/>
      <w:szCs w:val="20"/>
      <w:lang w:val="en-US"/>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59"/>
    <w:rsid w:val="00802144"/>
    <w:pPr>
      <w:spacing w:after="0" w:line="240" w:lineRule="auto"/>
    </w:pPr>
    <w:rPr>
      <w:kern w:val="0"/>
      <w:sz w:val="20"/>
      <w:szCs w:val="2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59"/>
    <w:semiHidden/>
    <w:unhideWhenUsed/>
    <w:rsid w:val="00802144"/>
    <w:pPr>
      <w:spacing w:after="0" w:line="252" w:lineRule="auto"/>
    </w:pPr>
    <w:rPr>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59"/>
    <w:semiHidden/>
    <w:rsid w:val="00802144"/>
    <w:rPr>
      <w:color w:val="808080"/>
    </w:rPr>
  </w:style>
  <w:style w:type="paragraph" w:styleId="Tekstzonderopmaak">
    <w:name w:val="Plain Text"/>
    <w:basedOn w:val="Standaard"/>
    <w:link w:val="TekstzonderopmaakChar"/>
    <w:uiPriority w:val="59"/>
    <w:semiHidden/>
    <w:unhideWhenUsed/>
    <w:rsid w:val="00802144"/>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59"/>
    <w:semiHidden/>
    <w:rsid w:val="00802144"/>
    <w:rPr>
      <w:rFonts w:ascii="Consolas" w:hAnsi="Consolas"/>
      <w:kern w:val="0"/>
      <w:sz w:val="21"/>
      <w:szCs w:val="21"/>
      <w:lang w:val="en-US"/>
      <w14:ligatures w14:val="none"/>
    </w:rPr>
  </w:style>
  <w:style w:type="character" w:styleId="Titelvanboek">
    <w:name w:val="Book Title"/>
    <w:basedOn w:val="Standaardalinea-lettertype"/>
    <w:uiPriority w:val="59"/>
    <w:qFormat/>
    <w:rsid w:val="00802144"/>
    <w:rPr>
      <w:b/>
      <w:bCs/>
      <w:i/>
      <w:iCs/>
      <w:spacing w:val="5"/>
    </w:rPr>
  </w:style>
  <w:style w:type="table" w:styleId="Verfijndetabel1">
    <w:name w:val="Table Subtle 1"/>
    <w:basedOn w:val="Standaardtabel"/>
    <w:uiPriority w:val="59"/>
    <w:rsid w:val="00802144"/>
    <w:pPr>
      <w:spacing w:after="0" w:line="252" w:lineRule="auto"/>
    </w:pPr>
    <w:rPr>
      <w:kern w:val="0"/>
      <w:sz w:val="20"/>
      <w:szCs w:val="20"/>
      <w:lang w:val="en-US"/>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59"/>
    <w:semiHidden/>
    <w:unhideWhenUsed/>
    <w:rsid w:val="00802144"/>
    <w:pPr>
      <w:spacing w:after="0" w:line="252" w:lineRule="auto"/>
    </w:pPr>
    <w:rPr>
      <w:kern w:val="0"/>
      <w:sz w:val="20"/>
      <w:szCs w:val="20"/>
      <w:lang w:val="en-US"/>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melding">
    <w:name w:val="Mention"/>
    <w:basedOn w:val="Standaardalinea-lettertype"/>
    <w:uiPriority w:val="59"/>
    <w:semiHidden/>
    <w:unhideWhenUsed/>
    <w:rsid w:val="00802144"/>
    <w:rPr>
      <w:color w:val="2B579A"/>
      <w:shd w:val="clear" w:color="auto" w:fill="E1DFDD"/>
    </w:rPr>
  </w:style>
  <w:style w:type="character" w:styleId="Verwijzingopmerking">
    <w:name w:val="annotation reference"/>
    <w:basedOn w:val="Standaardalinea-lettertype"/>
    <w:uiPriority w:val="59"/>
    <w:semiHidden/>
    <w:unhideWhenUsed/>
    <w:rsid w:val="00802144"/>
    <w:rPr>
      <w:sz w:val="16"/>
      <w:szCs w:val="16"/>
    </w:rPr>
  </w:style>
  <w:style w:type="character" w:styleId="Voetnootmarkering">
    <w:name w:val="footnote reference"/>
    <w:basedOn w:val="Standaardalinea-lettertype"/>
    <w:uiPriority w:val="59"/>
    <w:semiHidden/>
    <w:unhideWhenUsed/>
    <w:rsid w:val="00802144"/>
    <w:rPr>
      <w:vertAlign w:val="superscript"/>
    </w:rPr>
  </w:style>
  <w:style w:type="paragraph" w:styleId="Voetnoottekst">
    <w:name w:val="footnote text"/>
    <w:basedOn w:val="Standaard"/>
    <w:link w:val="VoetnoottekstChar"/>
    <w:uiPriority w:val="59"/>
    <w:semiHidden/>
    <w:unhideWhenUsed/>
    <w:rsid w:val="00802144"/>
    <w:pPr>
      <w:spacing w:line="240" w:lineRule="auto"/>
    </w:pPr>
    <w:rPr>
      <w:sz w:val="15"/>
    </w:rPr>
  </w:style>
  <w:style w:type="character" w:customStyle="1" w:styleId="VoetnoottekstChar">
    <w:name w:val="Voetnoottekst Char"/>
    <w:basedOn w:val="Standaardalinea-lettertype"/>
    <w:link w:val="Voetnoottekst"/>
    <w:uiPriority w:val="59"/>
    <w:semiHidden/>
    <w:rsid w:val="00802144"/>
    <w:rPr>
      <w:rFonts w:ascii="Merriweather" w:hAnsi="Merriweather"/>
      <w:kern w:val="0"/>
      <w:sz w:val="15"/>
      <w:szCs w:val="20"/>
      <w:lang w:val="en-US"/>
      <w14:ligatures w14:val="none"/>
    </w:rPr>
  </w:style>
  <w:style w:type="table" w:styleId="Webtabel1">
    <w:name w:val="Table Web 1"/>
    <w:basedOn w:val="Standaardtabel"/>
    <w:uiPriority w:val="59"/>
    <w:semiHidden/>
    <w:unhideWhenUsed/>
    <w:rsid w:val="00802144"/>
    <w:pPr>
      <w:spacing w:after="0" w:line="252" w:lineRule="auto"/>
    </w:pPr>
    <w:rPr>
      <w:kern w:val="0"/>
      <w:sz w:val="20"/>
      <w:szCs w:val="20"/>
      <w:lang w:val="en-US"/>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59"/>
    <w:rsid w:val="00802144"/>
    <w:pPr>
      <w:spacing w:after="0" w:line="252" w:lineRule="auto"/>
    </w:pPr>
    <w:rPr>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59"/>
    <w:rsid w:val="00802144"/>
    <w:pPr>
      <w:spacing w:after="0" w:line="252" w:lineRule="auto"/>
    </w:pPr>
    <w:rPr>
      <w:kern w:val="0"/>
      <w:sz w:val="20"/>
      <w:szCs w:val="20"/>
      <w:lang w:val="en-US"/>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59"/>
    <w:qFormat/>
    <w:rsid w:val="008021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openxmlformats.org/officeDocument/2006/relationships/customXml" Target="/customXML/item.xml" Id="imanage.xml" /></Relationships>
</file>

<file path=word/theme/theme1.xml><?xml version="1.0" encoding="utf-8"?>
<a:theme xmlns:a="http://schemas.openxmlformats.org/drawingml/2006/main" name="van Doorne">
  <a:themeElements>
    <a:clrScheme name="van Doorne">
      <a:dk1>
        <a:sysClr val="windowText" lastClr="000000"/>
      </a:dk1>
      <a:lt1>
        <a:sysClr val="window" lastClr="FFFFFF"/>
      </a:lt1>
      <a:dk2>
        <a:srgbClr val="0C251B"/>
      </a:dk2>
      <a:lt2>
        <a:srgbClr val="F7F7EE"/>
      </a:lt2>
      <a:accent1>
        <a:srgbClr val="0C251B"/>
      </a:accent1>
      <a:accent2>
        <a:srgbClr val="004028"/>
      </a:accent2>
      <a:accent3>
        <a:srgbClr val="F7F7EE"/>
      </a:accent3>
      <a:accent4>
        <a:srgbClr val="F3EAE1"/>
      </a:accent4>
      <a:accent5>
        <a:srgbClr val="FC5200"/>
      </a:accent5>
      <a:accent6>
        <a:srgbClr val="FFFFFF"/>
      </a:accent6>
      <a:hlink>
        <a:srgbClr val="0C251B"/>
      </a:hlink>
      <a:folHlink>
        <a:srgbClr val="0C251B"/>
      </a:folHlink>
    </a:clrScheme>
    <a:fontScheme name="van Doorne">
      <a:majorFont>
        <a:latin typeface="Merriweather"/>
        <a:ea typeface=""/>
        <a:cs typeface=""/>
      </a:majorFont>
      <a:minorFont>
        <a:latin typeface="Merriweather"/>
        <a:ea typeface=""/>
        <a:cs typeface=""/>
      </a:minorFont>
    </a:fontScheme>
    <a:fmtScheme name="van Doorn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ALGEMEEN!30343069.2</documentid>
  <senderid>10713</senderid>
  <senderemail>BUSCH@VANDOORNE.COM</senderemail>
  <lastmodified>2025-09-17T21:41:00.0000000+02:00</lastmodified>
  <database>ALGEMEEN</database>
</properties>
</file>

<file path=customXML/itemProps.xml><?xml version="1.0" encoding="utf-8"?>
<ds:datastoreItem xmlns:ds="http://schemas.openxmlformats.org/officeDocument/2006/customXml" ds:itemID="{EAA239BC-A6E3-4EAC-ACBF-A8F37536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28</Pages>
  <Words>17470</Words>
  <Characters>96090</Characters>
  <Application>Microsoft Office Word</Application>
  <DocSecurity>0</DocSecurity>
  <Lines>800</Lines>
  <Paragraphs>226</Paragraphs>
  <ScaleCrop>false</ScaleCrop>
  <HeadingPairs>
    <vt:vector size="2" baseType="variant">
      <vt:variant>
        <vt:lpstr>Titel</vt:lpstr>
      </vt:variant>
      <vt:variant>
        <vt:i4>1</vt:i4>
      </vt:variant>
    </vt:vector>
  </HeadingPairs>
  <TitlesOfParts>
    <vt:vector size="1" baseType="lpstr">
      <vt:lpstr/>
    </vt:vector>
  </TitlesOfParts>
  <Company>Van Doorne N.V.</Company>
  <LinksUpToDate>false</LinksUpToDate>
  <CharactersWithSpaces>113334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Doorne </dc:creator>
  <cp:keywords/>
  <dc:description/>
  <cp:lastModifiedBy>Van Doorne </cp:lastModifiedBy>
  <cp:revision>5</cp:revision>
  <dcterms:created xsi:type="dcterms:W3CDTF">2025-09-17T19:00:00Z</dcterms:created>
  <dcterms:modified xsi:type="dcterms:W3CDTF">2025-09-17T19:41:00Z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set</vt:lpwstr>
  </property>
  <property fmtid="{D5CDD505-2E9C-101B-9397-08002B2CF9AE}" pid="3" name="WorksiteDatabase">
    <vt:lpwstr>ALGEMEEN</vt:lpwstr>
  </property>
  <property fmtid="{D5CDD505-2E9C-101B-9397-08002B2CF9AE}" pid="4" name="WorksiteDocNumber">
    <vt:lpwstr>30343069</vt:lpwstr>
  </property>
  <property fmtid="{D5CDD505-2E9C-101B-9397-08002B2CF9AE}" pid="5" name="WorksiteDocVersion">
    <vt:lpwstr>2</vt:lpwstr>
  </property>
  <property fmtid="{D5CDD505-2E9C-101B-9397-08002B2CF9AE}" pid="6" name="WorksiteMatterNumber">
    <vt:lpwstr>202918151</vt:lpwstr>
  </property>
  <property fmtid="{D5CDD505-2E9C-101B-9397-08002B2CF9AE}" pid="7" name="WorksiteMatterName">
    <vt:lpwstr>Gooise Meren/Naarderbos (vestiging erfpacht) / 202918151</vt:lpwstr>
  </property>
  <property fmtid="{D5CDD505-2E9C-101B-9397-08002B2CF9AE}" pid="8" name="WorksiteAuthor">
    <vt:lpwstr>10713</vt:lpwstr>
  </property>
</Properties>
</file>