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0488" w14:textId="70F0414B" w:rsidR="004F36BA" w:rsidRPr="007A45DC" w:rsidRDefault="00EA3E50" w:rsidP="00EA3E50">
      <w:pPr>
        <w:spacing w:line="276" w:lineRule="auto"/>
        <w:rPr>
          <w:b/>
          <w:bCs/>
          <w:snapToGrid w:val="0"/>
          <w:kern w:val="0"/>
          <w:sz w:val="24"/>
          <w:szCs w:val="24"/>
          <w:lang w:eastAsia="nl-NL"/>
          <w14:ligatures w14:val="none"/>
        </w:rPr>
      </w:pPr>
      <w:r w:rsidRPr="007A45DC">
        <w:rPr>
          <w:b/>
          <w:bCs/>
          <w:snapToGrid w:val="0"/>
          <w:kern w:val="0"/>
          <w:sz w:val="24"/>
          <w:szCs w:val="24"/>
          <w:lang w:eastAsia="nl-NL"/>
          <w14:ligatures w14:val="none"/>
        </w:rPr>
        <w:t xml:space="preserve">Bijlage </w:t>
      </w:r>
      <w:r w:rsidR="004F36BA" w:rsidRPr="007A45DC">
        <w:rPr>
          <w:b/>
          <w:bCs/>
          <w:snapToGrid w:val="0"/>
          <w:kern w:val="0"/>
          <w:sz w:val="24"/>
          <w:szCs w:val="24"/>
          <w:lang w:eastAsia="nl-NL"/>
          <w14:ligatures w14:val="none"/>
        </w:rPr>
        <w:t xml:space="preserve">15 - </w:t>
      </w:r>
      <w:r w:rsidRPr="007A45DC">
        <w:rPr>
          <w:b/>
          <w:bCs/>
          <w:snapToGrid w:val="0"/>
          <w:kern w:val="0"/>
          <w:sz w:val="24"/>
          <w:szCs w:val="24"/>
          <w:lang w:eastAsia="nl-NL"/>
          <w14:ligatures w14:val="none"/>
        </w:rPr>
        <w:t>Aanvulling op tekst</w:t>
      </w:r>
      <w:r w:rsidR="004F36BA" w:rsidRPr="007A45DC">
        <w:rPr>
          <w:b/>
          <w:bCs/>
          <w:snapToGrid w:val="0"/>
          <w:kern w:val="0"/>
          <w:sz w:val="24"/>
          <w:szCs w:val="24"/>
          <w:lang w:eastAsia="nl-NL"/>
          <w14:ligatures w14:val="none"/>
        </w:rPr>
        <w:t xml:space="preserve"> Selectiecriteria</w:t>
      </w:r>
    </w:p>
    <w:p w14:paraId="6BCF243E" w14:textId="77777777" w:rsidR="004F36BA" w:rsidRDefault="004F36BA" w:rsidP="00EA3E50">
      <w:pPr>
        <w:spacing w:line="276" w:lineRule="auto"/>
        <w:rPr>
          <w:snapToGrid w:val="0"/>
          <w:kern w:val="0"/>
          <w:szCs w:val="18"/>
          <w:lang w:eastAsia="nl-NL"/>
          <w14:ligatures w14:val="none"/>
        </w:rPr>
      </w:pPr>
    </w:p>
    <w:p w14:paraId="5EEED99D" w14:textId="77777777" w:rsidR="007A45DC" w:rsidRDefault="007A45DC" w:rsidP="00EA3E50">
      <w:pPr>
        <w:spacing w:line="276" w:lineRule="auto"/>
        <w:rPr>
          <w:snapToGrid w:val="0"/>
          <w:kern w:val="0"/>
          <w:szCs w:val="18"/>
          <w:lang w:eastAsia="nl-NL"/>
          <w14:ligatures w14:val="none"/>
        </w:rPr>
      </w:pPr>
    </w:p>
    <w:p w14:paraId="60F13D54" w14:textId="2BDD2C07" w:rsidR="00EA3E50" w:rsidRPr="00EA3E50" w:rsidRDefault="004F36BA" w:rsidP="00EA3E50">
      <w:pPr>
        <w:spacing w:line="276" w:lineRule="auto"/>
        <w:rPr>
          <w:snapToGrid w:val="0"/>
          <w:kern w:val="0"/>
          <w:szCs w:val="18"/>
          <w:lang w:eastAsia="nl-NL"/>
          <w14:ligatures w14:val="none"/>
        </w:rPr>
      </w:pPr>
      <w:r>
        <w:rPr>
          <w:snapToGrid w:val="0"/>
          <w:kern w:val="0"/>
          <w:szCs w:val="18"/>
          <w:lang w:eastAsia="nl-NL"/>
          <w14:ligatures w14:val="none"/>
        </w:rPr>
        <w:t xml:space="preserve">In </w:t>
      </w:r>
      <w:r w:rsidR="00EA3E50">
        <w:rPr>
          <w:snapToGrid w:val="0"/>
          <w:kern w:val="0"/>
          <w:szCs w:val="18"/>
          <w:lang w:eastAsia="nl-NL"/>
          <w14:ligatures w14:val="none"/>
        </w:rPr>
        <w:t xml:space="preserve">het </w:t>
      </w:r>
      <w:r>
        <w:rPr>
          <w:snapToGrid w:val="0"/>
          <w:kern w:val="0"/>
          <w:szCs w:val="18"/>
          <w:lang w:eastAsia="nl-NL"/>
          <w14:ligatures w14:val="none"/>
        </w:rPr>
        <w:t>B</w:t>
      </w:r>
      <w:r w:rsidR="00EA3E50">
        <w:rPr>
          <w:snapToGrid w:val="0"/>
          <w:kern w:val="0"/>
          <w:szCs w:val="18"/>
          <w:lang w:eastAsia="nl-NL"/>
          <w14:ligatures w14:val="none"/>
        </w:rPr>
        <w:t xml:space="preserve">eschrijvend document </w:t>
      </w:r>
      <w:r>
        <w:rPr>
          <w:snapToGrid w:val="0"/>
          <w:kern w:val="0"/>
          <w:szCs w:val="18"/>
          <w:lang w:eastAsia="nl-NL"/>
          <w14:ligatures w14:val="none"/>
        </w:rPr>
        <w:t>staat in paragraaf 5.8 Selectiecriteria het volgende:</w:t>
      </w:r>
    </w:p>
    <w:p w14:paraId="41A9A406" w14:textId="77777777" w:rsidR="004F36BA" w:rsidRPr="007A45DC" w:rsidRDefault="004F36BA" w:rsidP="00EA3E50">
      <w:pPr>
        <w:spacing w:line="276" w:lineRule="auto"/>
        <w:rPr>
          <w:bCs/>
          <w:i/>
          <w:iCs/>
          <w:snapToGrid w:val="0"/>
          <w:kern w:val="0"/>
          <w:szCs w:val="18"/>
          <w:lang w:eastAsia="nl-NL"/>
          <w14:ligatures w14:val="none"/>
        </w:rPr>
      </w:pPr>
    </w:p>
    <w:p w14:paraId="4768F591" w14:textId="77777777" w:rsidR="004F36BA" w:rsidRPr="007A45DC" w:rsidRDefault="004F36BA" w:rsidP="007A45DC">
      <w:pPr>
        <w:spacing w:line="240" w:lineRule="exact"/>
        <w:ind w:left="567"/>
        <w:rPr>
          <w:i/>
          <w:iCs/>
        </w:rPr>
      </w:pPr>
      <w:r w:rsidRPr="007A45DC">
        <w:rPr>
          <w:i/>
          <w:iCs/>
        </w:rPr>
        <w:t>Om het totale aantal Gegadigden terug te brengen naar drie Inschrijvers die doorgaan naar de gunningsfase, beoordelen we de door u in te leveren referenties en geven die een score.</w:t>
      </w:r>
    </w:p>
    <w:p w14:paraId="20A18D5A" w14:textId="77777777" w:rsidR="004F36BA" w:rsidRPr="007A45DC" w:rsidRDefault="004F36BA" w:rsidP="007A45DC">
      <w:pPr>
        <w:spacing w:line="240" w:lineRule="exact"/>
        <w:ind w:left="567"/>
        <w:rPr>
          <w:i/>
          <w:iCs/>
        </w:rPr>
      </w:pPr>
    </w:p>
    <w:p w14:paraId="70B868B8" w14:textId="77777777" w:rsidR="004F36BA" w:rsidRPr="007A45DC" w:rsidRDefault="004F36BA" w:rsidP="007A45DC">
      <w:pPr>
        <w:spacing w:line="240" w:lineRule="exact"/>
        <w:ind w:left="567"/>
        <w:rPr>
          <w:i/>
          <w:iCs/>
        </w:rPr>
      </w:pPr>
      <w:r w:rsidRPr="007A45DC">
        <w:rPr>
          <w:i/>
          <w:iCs/>
        </w:rPr>
        <w:t>Het doel is om de Inschrijvers te selecteren die specifieke ervaring hebben met soortgelijke opdrachten (al dan niet in een samenwerkingsverband) zodat succes in deze Opdracht te verwachten is. Hoe dichter de referentie zit bij de kerncompetenties van deze uitvraag, hoe hoger de beoordeling van die referentie.</w:t>
      </w:r>
    </w:p>
    <w:p w14:paraId="226D4E82" w14:textId="7718A3DF" w:rsidR="004F36BA" w:rsidRPr="007A45DC" w:rsidRDefault="004F36BA" w:rsidP="007A45DC">
      <w:pPr>
        <w:spacing w:line="276" w:lineRule="auto"/>
        <w:ind w:left="567"/>
        <w:rPr>
          <w:bCs/>
          <w:i/>
          <w:iCs/>
          <w:snapToGrid w:val="0"/>
          <w:kern w:val="0"/>
          <w:szCs w:val="18"/>
          <w:lang w:eastAsia="nl-NL"/>
          <w14:ligatures w14:val="none"/>
        </w:rPr>
      </w:pPr>
      <w:r w:rsidRPr="007A45DC">
        <w:rPr>
          <w:bCs/>
          <w:i/>
          <w:iCs/>
          <w:snapToGrid w:val="0"/>
          <w:kern w:val="0"/>
          <w:szCs w:val="18"/>
          <w:lang w:eastAsia="nl-NL"/>
          <w14:ligatures w14:val="none"/>
        </w:rPr>
        <w:t xml:space="preserve"> (…)</w:t>
      </w:r>
    </w:p>
    <w:p w14:paraId="13BAFBBE" w14:textId="77777777" w:rsidR="004F36BA" w:rsidRPr="004F36BA" w:rsidRDefault="004F36BA" w:rsidP="007A45DC">
      <w:pPr>
        <w:spacing w:line="240" w:lineRule="exact"/>
        <w:ind w:left="567"/>
        <w:rPr>
          <w:i/>
          <w:iCs/>
          <w:color w:val="000000" w:themeColor="text1"/>
        </w:rPr>
      </w:pPr>
      <w:r w:rsidRPr="004F36BA">
        <w:rPr>
          <w:i/>
          <w:iCs/>
          <w:color w:val="000000" w:themeColor="text1"/>
        </w:rPr>
        <w:t xml:space="preserve">Bij de selectie moet een minimale score van 15 punten behaald worden. Inschrijvers die minder dan 15 punten scoren worden van deelname uitgesloten. </w:t>
      </w:r>
    </w:p>
    <w:p w14:paraId="07585C8D" w14:textId="77777777" w:rsidR="004F36BA" w:rsidRPr="004F36BA" w:rsidRDefault="004F36BA" w:rsidP="007A45DC">
      <w:pPr>
        <w:spacing w:line="240" w:lineRule="exact"/>
        <w:ind w:left="567"/>
        <w:rPr>
          <w:i/>
          <w:iCs/>
        </w:rPr>
      </w:pPr>
      <w:r w:rsidRPr="004F36BA">
        <w:rPr>
          <w:i/>
          <w:iCs/>
        </w:rPr>
        <w:t>De inschrijvers met het hoogste puntenaantal gaan door naar de gunningsfase.</w:t>
      </w:r>
    </w:p>
    <w:p w14:paraId="6648C701" w14:textId="77777777" w:rsidR="004F36BA" w:rsidRDefault="004F36BA" w:rsidP="00EA3E50">
      <w:pPr>
        <w:spacing w:line="276" w:lineRule="auto"/>
        <w:rPr>
          <w:bCs/>
          <w:snapToGrid w:val="0"/>
          <w:kern w:val="0"/>
          <w:szCs w:val="18"/>
          <w:lang w:eastAsia="nl-NL"/>
          <w14:ligatures w14:val="none"/>
        </w:rPr>
      </w:pPr>
    </w:p>
    <w:p w14:paraId="1465F755" w14:textId="77777777" w:rsidR="007A45DC" w:rsidRDefault="007A45DC" w:rsidP="00EA3E50">
      <w:pPr>
        <w:spacing w:line="276" w:lineRule="auto"/>
        <w:rPr>
          <w:bCs/>
          <w:snapToGrid w:val="0"/>
          <w:kern w:val="0"/>
          <w:szCs w:val="18"/>
          <w:lang w:eastAsia="nl-NL"/>
          <w14:ligatures w14:val="none"/>
        </w:rPr>
      </w:pPr>
    </w:p>
    <w:p w14:paraId="6138ABEA" w14:textId="367A0F25" w:rsidR="004F36BA" w:rsidRDefault="007A45DC" w:rsidP="00EA3E50">
      <w:pPr>
        <w:spacing w:line="276" w:lineRule="auto"/>
        <w:rPr>
          <w:bCs/>
          <w:snapToGrid w:val="0"/>
          <w:kern w:val="0"/>
          <w:szCs w:val="18"/>
          <w:lang w:eastAsia="nl-NL"/>
          <w14:ligatures w14:val="none"/>
        </w:rPr>
      </w:pPr>
      <w:r>
        <w:rPr>
          <w:bCs/>
          <w:snapToGrid w:val="0"/>
          <w:kern w:val="0"/>
          <w:szCs w:val="18"/>
          <w:lang w:eastAsia="nl-NL"/>
          <w14:ligatures w14:val="none"/>
        </w:rPr>
        <w:t xml:space="preserve">Aan deze tekst voegen </w:t>
      </w:r>
      <w:r w:rsidR="004F36BA">
        <w:rPr>
          <w:bCs/>
          <w:snapToGrid w:val="0"/>
          <w:kern w:val="0"/>
          <w:szCs w:val="18"/>
          <w:lang w:eastAsia="nl-NL"/>
          <w14:ligatures w14:val="none"/>
        </w:rPr>
        <w:t>wij toe:</w:t>
      </w:r>
    </w:p>
    <w:p w14:paraId="39E5D711" w14:textId="77777777" w:rsidR="00A96A34" w:rsidRDefault="00A96A34" w:rsidP="00EA3E50">
      <w:pPr>
        <w:spacing w:line="276" w:lineRule="auto"/>
        <w:rPr>
          <w:bCs/>
          <w:snapToGrid w:val="0"/>
          <w:kern w:val="0"/>
          <w:szCs w:val="18"/>
          <w:lang w:eastAsia="nl-NL"/>
          <w14:ligatures w14:val="none"/>
        </w:rPr>
      </w:pPr>
    </w:p>
    <w:p w14:paraId="10471708" w14:textId="22B139A6" w:rsidR="004F36BA" w:rsidRPr="00C74597" w:rsidRDefault="00A96A34" w:rsidP="00EA3E50">
      <w:pPr>
        <w:spacing w:line="276" w:lineRule="auto"/>
        <w:rPr>
          <w:b/>
          <w:snapToGrid w:val="0"/>
          <w:kern w:val="0"/>
          <w:szCs w:val="18"/>
          <w:lang w:eastAsia="nl-NL"/>
          <w14:ligatures w14:val="none"/>
        </w:rPr>
      </w:pPr>
      <w:r w:rsidRPr="00C74597">
        <w:rPr>
          <w:b/>
          <w:snapToGrid w:val="0"/>
          <w:kern w:val="0"/>
          <w:szCs w:val="18"/>
          <w:lang w:eastAsia="nl-NL"/>
          <w14:ligatures w14:val="none"/>
        </w:rPr>
        <w:t xml:space="preserve">Als de score zodanig is dat meer dan drie partijen in aanmerking komen voor selectie, dan loten we tussen de partijen met een gelijke score. </w:t>
      </w:r>
    </w:p>
    <w:p w14:paraId="1786CD66" w14:textId="77777777" w:rsidR="00C74597" w:rsidRDefault="00C74597" w:rsidP="00EA3E50">
      <w:pPr>
        <w:spacing w:line="276" w:lineRule="auto"/>
        <w:rPr>
          <w:bCs/>
          <w:snapToGrid w:val="0"/>
          <w:kern w:val="0"/>
          <w:szCs w:val="18"/>
          <w:lang w:eastAsia="nl-NL"/>
          <w14:ligatures w14:val="none"/>
        </w:rPr>
      </w:pPr>
    </w:p>
    <w:p w14:paraId="35484F89" w14:textId="13D96F12" w:rsidR="00C74597" w:rsidRDefault="00A96A34" w:rsidP="00EA3E50">
      <w:pPr>
        <w:spacing w:line="276" w:lineRule="auto"/>
        <w:rPr>
          <w:bCs/>
          <w:snapToGrid w:val="0"/>
          <w:kern w:val="0"/>
          <w:szCs w:val="18"/>
          <w:lang w:eastAsia="nl-NL"/>
          <w14:ligatures w14:val="none"/>
        </w:rPr>
      </w:pPr>
      <w:r w:rsidRPr="00C74597">
        <w:rPr>
          <w:bCs/>
          <w:snapToGrid w:val="0"/>
          <w:kern w:val="0"/>
          <w:szCs w:val="18"/>
          <w:lang w:eastAsia="nl-NL"/>
          <w14:ligatures w14:val="none"/>
        </w:rPr>
        <w:t>Bijvoorbeeld</w:t>
      </w:r>
      <w:r w:rsidR="00C74597" w:rsidRPr="00C74597">
        <w:rPr>
          <w:bCs/>
          <w:snapToGrid w:val="0"/>
          <w:kern w:val="0"/>
          <w:szCs w:val="18"/>
          <w:lang w:eastAsia="nl-NL"/>
          <w14:ligatures w14:val="none"/>
        </w:rPr>
        <w:t>:</w:t>
      </w:r>
      <w:r>
        <w:rPr>
          <w:bCs/>
          <w:snapToGrid w:val="0"/>
          <w:kern w:val="0"/>
          <w:szCs w:val="18"/>
          <w:lang w:eastAsia="nl-NL"/>
          <w14:ligatures w14:val="none"/>
        </w:rPr>
        <w:t xml:space="preserve"> </w:t>
      </w:r>
    </w:p>
    <w:p w14:paraId="2BA0BB7F" w14:textId="46534442" w:rsidR="00A96A34" w:rsidRDefault="00C74597" w:rsidP="00EA3E50">
      <w:pPr>
        <w:spacing w:line="276" w:lineRule="auto"/>
        <w:rPr>
          <w:bCs/>
          <w:snapToGrid w:val="0"/>
          <w:kern w:val="0"/>
          <w:szCs w:val="18"/>
          <w:lang w:eastAsia="nl-NL"/>
          <w14:ligatures w14:val="none"/>
        </w:rPr>
      </w:pPr>
      <w:r>
        <w:rPr>
          <w:bCs/>
          <w:snapToGrid w:val="0"/>
          <w:kern w:val="0"/>
          <w:szCs w:val="18"/>
          <w:lang w:eastAsia="nl-NL"/>
          <w14:ligatures w14:val="none"/>
        </w:rPr>
        <w:t>A</w:t>
      </w:r>
      <w:r w:rsidR="00A96A34">
        <w:rPr>
          <w:bCs/>
          <w:snapToGrid w:val="0"/>
          <w:kern w:val="0"/>
          <w:szCs w:val="18"/>
          <w:lang w:eastAsia="nl-NL"/>
          <w14:ligatures w14:val="none"/>
        </w:rPr>
        <w:t xml:space="preserve">ls 1 en 2 een score hebben van 110 en nummer 3 en 4 een score hebben van 100 dan loten we tussen partij 3 en 4. </w:t>
      </w:r>
    </w:p>
    <w:p w14:paraId="57276B44" w14:textId="2A562C9F" w:rsidR="00A96A34" w:rsidRDefault="00C74597" w:rsidP="00EA3E50">
      <w:pPr>
        <w:spacing w:line="276" w:lineRule="auto"/>
        <w:rPr>
          <w:bCs/>
          <w:snapToGrid w:val="0"/>
          <w:kern w:val="0"/>
          <w:szCs w:val="18"/>
          <w:lang w:eastAsia="nl-NL"/>
          <w14:ligatures w14:val="none"/>
        </w:rPr>
      </w:pPr>
      <w:r>
        <w:rPr>
          <w:bCs/>
          <w:snapToGrid w:val="0"/>
          <w:kern w:val="0"/>
          <w:szCs w:val="18"/>
          <w:lang w:eastAsia="nl-NL"/>
          <w14:ligatures w14:val="none"/>
        </w:rPr>
        <w:t>Als 1, 2, 3 en 4 alle vier een score hebben van 110 dan loten we tussen 1, 2, 3 en 4.</w:t>
      </w:r>
    </w:p>
    <w:p w14:paraId="556E7EAF" w14:textId="0403762E" w:rsidR="00C74597" w:rsidRDefault="00C74597" w:rsidP="00EA3E50">
      <w:pPr>
        <w:spacing w:line="276" w:lineRule="auto"/>
        <w:rPr>
          <w:bCs/>
          <w:snapToGrid w:val="0"/>
          <w:kern w:val="0"/>
          <w:szCs w:val="18"/>
          <w:lang w:eastAsia="nl-NL"/>
          <w14:ligatures w14:val="none"/>
        </w:rPr>
      </w:pPr>
      <w:r>
        <w:rPr>
          <w:bCs/>
          <w:snapToGrid w:val="0"/>
          <w:kern w:val="0"/>
          <w:szCs w:val="18"/>
          <w:lang w:eastAsia="nl-NL"/>
          <w14:ligatures w14:val="none"/>
        </w:rPr>
        <w:t>Als 1 en 2 een score hebben van 110, nummer 3 een score van 100 en nummer 4 een score van 90 dan vindt geen loting plaats en gaan de hoogste drie scores door naar de gunningsfase.</w:t>
      </w:r>
    </w:p>
    <w:p w14:paraId="713D42C4" w14:textId="77777777" w:rsidR="00C74597" w:rsidRPr="004F36BA" w:rsidRDefault="00C74597" w:rsidP="00EA3E50">
      <w:pPr>
        <w:spacing w:line="276" w:lineRule="auto"/>
        <w:rPr>
          <w:bCs/>
          <w:snapToGrid w:val="0"/>
          <w:kern w:val="0"/>
          <w:szCs w:val="18"/>
          <w:lang w:eastAsia="nl-NL"/>
          <w14:ligatures w14:val="none"/>
        </w:rPr>
      </w:pPr>
    </w:p>
    <w:p w14:paraId="0E2E82E8" w14:textId="77777777" w:rsidR="003827BB" w:rsidRPr="008F7062" w:rsidRDefault="003827BB" w:rsidP="008F7062">
      <w:pPr>
        <w:rPr>
          <w:rStyle w:val="Intensieveverwijzing"/>
          <w:b w:val="0"/>
          <w:bCs w:val="0"/>
          <w:smallCaps w:val="0"/>
          <w:color w:val="auto"/>
          <w:spacing w:val="0"/>
        </w:rPr>
      </w:pPr>
    </w:p>
    <w:sectPr w:rsidR="003827BB" w:rsidRPr="008F7062">
      <w:footerReference w:type="default" r:id="rId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E3AA" w14:textId="77777777" w:rsidR="007A45DC" w:rsidRDefault="007A45DC" w:rsidP="007A45DC">
      <w:r>
        <w:separator/>
      </w:r>
    </w:p>
  </w:endnote>
  <w:endnote w:type="continuationSeparator" w:id="0">
    <w:p w14:paraId="56369C38" w14:textId="77777777" w:rsidR="007A45DC" w:rsidRDefault="007A45DC" w:rsidP="007A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DFC0" w14:textId="77777777" w:rsidR="007A45DC" w:rsidRPr="002C5531" w:rsidRDefault="007A45DC" w:rsidP="007A45DC">
    <w:pPr>
      <w:pStyle w:val="Voettekst"/>
      <w:rPr>
        <w:rStyle w:val="Paginanummer"/>
        <w:rFonts w:eastAsiaTheme="majorEastAsia" w:cs="Verdana"/>
        <w:sz w:val="16"/>
        <w:szCs w:val="16"/>
      </w:rPr>
    </w:pPr>
    <w:bookmarkStart w:id="0" w:name="_Hlk208321386"/>
    <w:r w:rsidRPr="002C5531">
      <w:rPr>
        <w:rStyle w:val="Paginanummer"/>
        <w:rFonts w:eastAsiaTheme="majorEastAsia" w:cs="Verdana"/>
        <w:sz w:val="16"/>
        <w:szCs w:val="16"/>
      </w:rPr>
      <w:t>Innovatiepartnerschap Parametrisch model onderwijshuisvesting</w:t>
    </w:r>
  </w:p>
  <w:p w14:paraId="3CA5952D" w14:textId="77777777" w:rsidR="007A45DC" w:rsidRDefault="007A45DC" w:rsidP="007A45DC">
    <w:pPr>
      <w:rPr>
        <w:rStyle w:val="Paginanummer"/>
        <w:rFonts w:eastAsiaTheme="majorEastAsia" w:cs="Verdana"/>
        <w:sz w:val="16"/>
        <w:szCs w:val="16"/>
      </w:rPr>
    </w:pPr>
    <w:r w:rsidRPr="002C5531">
      <w:rPr>
        <w:rStyle w:val="Paginanummer"/>
        <w:rFonts w:eastAsiaTheme="majorEastAsia" w:cs="Verdana"/>
        <w:sz w:val="16"/>
        <w:szCs w:val="16"/>
      </w:rPr>
      <w:t>Kenmerk</w:t>
    </w:r>
    <w:r>
      <w:rPr>
        <w:rStyle w:val="Paginanummer"/>
        <w:rFonts w:eastAsiaTheme="majorEastAsia" w:cs="Verdana"/>
        <w:sz w:val="16"/>
        <w:szCs w:val="16"/>
      </w:rPr>
      <w:t>en:</w:t>
    </w:r>
    <w:r w:rsidRPr="002C5531">
      <w:rPr>
        <w:rStyle w:val="Paginanummer"/>
        <w:rFonts w:eastAsiaTheme="majorEastAsia" w:cs="Verdana"/>
        <w:sz w:val="16"/>
        <w:szCs w:val="16"/>
      </w:rPr>
      <w:t xml:space="preserve"> IUC</w:t>
    </w:r>
    <w:r>
      <w:rPr>
        <w:rStyle w:val="Paginanummer"/>
        <w:rFonts w:eastAsiaTheme="majorEastAsia" w:cs="Verdana"/>
        <w:sz w:val="16"/>
        <w:szCs w:val="16"/>
      </w:rPr>
      <w:t>-</w:t>
    </w:r>
    <w:r w:rsidRPr="002C5531">
      <w:rPr>
        <w:rStyle w:val="Paginanummer"/>
        <w:rFonts w:eastAsiaTheme="majorEastAsia" w:cs="Verdana"/>
        <w:sz w:val="16"/>
        <w:szCs w:val="16"/>
      </w:rPr>
      <w:t>N</w:t>
    </w:r>
    <w:r>
      <w:rPr>
        <w:rStyle w:val="Paginanummer"/>
        <w:rFonts w:eastAsiaTheme="majorEastAsia" w:cs="Verdana"/>
        <w:sz w:val="16"/>
        <w:szCs w:val="16"/>
      </w:rPr>
      <w:t>oord IUCN</w:t>
    </w:r>
    <w:r w:rsidRPr="002C5531">
      <w:rPr>
        <w:rStyle w:val="Paginanummer"/>
        <w:rFonts w:eastAsiaTheme="majorEastAsia" w:cs="Verdana"/>
        <w:sz w:val="16"/>
        <w:szCs w:val="16"/>
      </w:rPr>
      <w:t>24070202</w:t>
    </w:r>
    <w:r>
      <w:rPr>
        <w:rStyle w:val="Paginanummer"/>
        <w:rFonts w:eastAsiaTheme="majorEastAsia" w:cs="Verdana"/>
        <w:sz w:val="16"/>
        <w:szCs w:val="16"/>
      </w:rPr>
      <w:t>,</w:t>
    </w:r>
    <w:r w:rsidRPr="002C5531">
      <w:rPr>
        <w:rStyle w:val="Paginanummer"/>
        <w:rFonts w:eastAsiaTheme="majorEastAsia" w:cs="Verdana"/>
        <w:sz w:val="16"/>
        <w:szCs w:val="16"/>
      </w:rPr>
      <w:t xml:space="preserve"> Tender</w:t>
    </w:r>
    <w:r>
      <w:rPr>
        <w:rStyle w:val="Paginanummer"/>
        <w:rFonts w:eastAsiaTheme="majorEastAsia" w:cs="Verdana"/>
        <w:sz w:val="16"/>
        <w:szCs w:val="16"/>
      </w:rPr>
      <w:t>N</w:t>
    </w:r>
    <w:r w:rsidRPr="002C5531">
      <w:rPr>
        <w:rStyle w:val="Paginanummer"/>
        <w:rFonts w:eastAsiaTheme="majorEastAsia" w:cs="Verdana"/>
        <w:sz w:val="16"/>
        <w:szCs w:val="16"/>
      </w:rPr>
      <w:t>ed</w:t>
    </w:r>
    <w:r>
      <w:rPr>
        <w:rStyle w:val="Paginanummer"/>
        <w:rFonts w:eastAsiaTheme="majorEastAsia" w:cs="Verdana"/>
        <w:sz w:val="16"/>
        <w:szCs w:val="16"/>
      </w:rPr>
      <w:t xml:space="preserve"> </w:t>
    </w:r>
    <w:r w:rsidRPr="002C5531">
      <w:rPr>
        <w:rStyle w:val="Paginanummer"/>
        <w:rFonts w:eastAsiaTheme="majorEastAsia" w:cs="Verdana"/>
        <w:sz w:val="16"/>
        <w:szCs w:val="16"/>
      </w:rPr>
      <w:t>TN 543491</w:t>
    </w:r>
    <w:bookmarkEnd w:id="0"/>
  </w:p>
  <w:p w14:paraId="24DC6D0B" w14:textId="77777777" w:rsidR="007A45DC" w:rsidRDefault="007A45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65A3" w14:textId="77777777" w:rsidR="007A45DC" w:rsidRDefault="007A45DC" w:rsidP="007A45DC">
      <w:r>
        <w:separator/>
      </w:r>
    </w:p>
  </w:footnote>
  <w:footnote w:type="continuationSeparator" w:id="0">
    <w:p w14:paraId="6D248701" w14:textId="77777777" w:rsidR="007A45DC" w:rsidRDefault="007A45DC" w:rsidP="007A4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50"/>
    <w:rsid w:val="002A0244"/>
    <w:rsid w:val="003466AA"/>
    <w:rsid w:val="003827BB"/>
    <w:rsid w:val="004D316F"/>
    <w:rsid w:val="004F36BA"/>
    <w:rsid w:val="006335FD"/>
    <w:rsid w:val="00643461"/>
    <w:rsid w:val="007A45DC"/>
    <w:rsid w:val="008F7062"/>
    <w:rsid w:val="009830C8"/>
    <w:rsid w:val="00A96A34"/>
    <w:rsid w:val="00B3794F"/>
    <w:rsid w:val="00C74597"/>
    <w:rsid w:val="00CF145D"/>
    <w:rsid w:val="00EA3E50"/>
    <w:rsid w:val="00F7047E"/>
    <w:rsid w:val="00FE77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3784D"/>
  <w15:chartTrackingRefBased/>
  <w15:docId w15:val="{B79CB142-A979-4567-9FD4-01FD5A2E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77DB"/>
    <w:rPr>
      <w:rFonts w:ascii="Verdana" w:hAnsi="Verdana"/>
      <w:sz w:val="18"/>
      <w:lang w:eastAsia="en-US"/>
    </w:rPr>
  </w:style>
  <w:style w:type="paragraph" w:styleId="Kop1">
    <w:name w:val="heading 1"/>
    <w:basedOn w:val="Standaard"/>
    <w:next w:val="Standaard"/>
    <w:link w:val="Kop1Char"/>
    <w:qFormat/>
    <w:rsid w:val="00FE77DB"/>
    <w:pPr>
      <w:keepNext/>
      <w:keepLines/>
      <w:spacing w:before="240"/>
      <w:outlineLvl w:val="0"/>
    </w:pPr>
    <w:rPr>
      <w:color w:val="365F91"/>
      <w:sz w:val="32"/>
      <w:szCs w:val="32"/>
    </w:rPr>
  </w:style>
  <w:style w:type="paragraph" w:styleId="Kop2">
    <w:name w:val="heading 2"/>
    <w:basedOn w:val="Standaard"/>
    <w:next w:val="Standaard"/>
    <w:link w:val="Kop2Char"/>
    <w:semiHidden/>
    <w:unhideWhenUsed/>
    <w:qFormat/>
    <w:rsid w:val="00EA3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semiHidden/>
    <w:unhideWhenUsed/>
    <w:qFormat/>
    <w:rsid w:val="00EA3E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semiHidden/>
    <w:unhideWhenUsed/>
    <w:qFormat/>
    <w:rsid w:val="00EA3E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semiHidden/>
    <w:unhideWhenUsed/>
    <w:qFormat/>
    <w:rsid w:val="00EA3E50"/>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semiHidden/>
    <w:unhideWhenUsed/>
    <w:qFormat/>
    <w:rsid w:val="00EA3E5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EA3E5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EA3E5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EA3E5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qFormat/>
    <w:rsid w:val="00FE77DB"/>
    <w:pPr>
      <w:numPr>
        <w:ilvl w:val="1"/>
      </w:numPr>
      <w:spacing w:after="160"/>
    </w:pPr>
    <w:rPr>
      <w:color w:val="5A5A5A"/>
      <w:spacing w:val="15"/>
      <w:szCs w:val="22"/>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rsid w:val="00FE77DB"/>
    <w:rPr>
      <w:rFonts w:ascii="Verdana" w:eastAsia="Times New Roman" w:hAnsi="Verdana" w:cs="Times New Roman"/>
      <w:color w:val="365F91"/>
      <w:sz w:val="32"/>
      <w:szCs w:val="32"/>
      <w:lang w:eastAsia="en-US"/>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character" w:customStyle="1" w:styleId="Kop2Char">
    <w:name w:val="Kop 2 Char"/>
    <w:basedOn w:val="Standaardalinea-lettertype"/>
    <w:link w:val="Kop2"/>
    <w:semiHidden/>
    <w:rsid w:val="00EA3E50"/>
    <w:rPr>
      <w:rFonts w:asciiTheme="majorHAnsi" w:eastAsiaTheme="majorEastAsia" w:hAnsiTheme="majorHAnsi" w:cstheme="majorBidi"/>
      <w:color w:val="0F4761" w:themeColor="accent1" w:themeShade="BF"/>
      <w:sz w:val="32"/>
      <w:szCs w:val="32"/>
      <w:lang w:eastAsia="en-US"/>
    </w:rPr>
  </w:style>
  <w:style w:type="character" w:customStyle="1" w:styleId="Kop3Char">
    <w:name w:val="Kop 3 Char"/>
    <w:basedOn w:val="Standaardalinea-lettertype"/>
    <w:link w:val="Kop3"/>
    <w:semiHidden/>
    <w:rsid w:val="00EA3E50"/>
    <w:rPr>
      <w:rFonts w:asciiTheme="minorHAnsi" w:eastAsiaTheme="majorEastAsia" w:hAnsiTheme="minorHAnsi" w:cstheme="majorBidi"/>
      <w:color w:val="0F4761" w:themeColor="accent1" w:themeShade="BF"/>
      <w:sz w:val="28"/>
      <w:szCs w:val="28"/>
      <w:lang w:eastAsia="en-US"/>
    </w:rPr>
  </w:style>
  <w:style w:type="character" w:customStyle="1" w:styleId="Kop4Char">
    <w:name w:val="Kop 4 Char"/>
    <w:basedOn w:val="Standaardalinea-lettertype"/>
    <w:link w:val="Kop4"/>
    <w:semiHidden/>
    <w:rsid w:val="00EA3E50"/>
    <w:rPr>
      <w:rFonts w:asciiTheme="minorHAnsi" w:eastAsiaTheme="majorEastAsia" w:hAnsiTheme="minorHAnsi" w:cstheme="majorBidi"/>
      <w:i/>
      <w:iCs/>
      <w:color w:val="0F4761" w:themeColor="accent1" w:themeShade="BF"/>
      <w:sz w:val="18"/>
      <w:lang w:eastAsia="en-US"/>
    </w:rPr>
  </w:style>
  <w:style w:type="character" w:customStyle="1" w:styleId="Kop5Char">
    <w:name w:val="Kop 5 Char"/>
    <w:basedOn w:val="Standaardalinea-lettertype"/>
    <w:link w:val="Kop5"/>
    <w:semiHidden/>
    <w:rsid w:val="00EA3E50"/>
    <w:rPr>
      <w:rFonts w:asciiTheme="minorHAnsi" w:eastAsiaTheme="majorEastAsia" w:hAnsiTheme="minorHAnsi" w:cstheme="majorBidi"/>
      <w:color w:val="0F4761" w:themeColor="accent1" w:themeShade="BF"/>
      <w:sz w:val="18"/>
      <w:lang w:eastAsia="en-US"/>
    </w:rPr>
  </w:style>
  <w:style w:type="character" w:customStyle="1" w:styleId="Kop6Char">
    <w:name w:val="Kop 6 Char"/>
    <w:basedOn w:val="Standaardalinea-lettertype"/>
    <w:link w:val="Kop6"/>
    <w:semiHidden/>
    <w:rsid w:val="00EA3E50"/>
    <w:rPr>
      <w:rFonts w:asciiTheme="minorHAnsi" w:eastAsiaTheme="majorEastAsia" w:hAnsiTheme="minorHAnsi" w:cstheme="majorBidi"/>
      <w:i/>
      <w:iCs/>
      <w:color w:val="595959" w:themeColor="text1" w:themeTint="A6"/>
      <w:sz w:val="18"/>
      <w:lang w:eastAsia="en-US"/>
    </w:rPr>
  </w:style>
  <w:style w:type="character" w:customStyle="1" w:styleId="Kop7Char">
    <w:name w:val="Kop 7 Char"/>
    <w:basedOn w:val="Standaardalinea-lettertype"/>
    <w:link w:val="Kop7"/>
    <w:semiHidden/>
    <w:rsid w:val="00EA3E50"/>
    <w:rPr>
      <w:rFonts w:asciiTheme="minorHAnsi" w:eastAsiaTheme="majorEastAsia" w:hAnsiTheme="minorHAnsi" w:cstheme="majorBidi"/>
      <w:color w:val="595959" w:themeColor="text1" w:themeTint="A6"/>
      <w:sz w:val="18"/>
      <w:lang w:eastAsia="en-US"/>
    </w:rPr>
  </w:style>
  <w:style w:type="character" w:customStyle="1" w:styleId="Kop8Char">
    <w:name w:val="Kop 8 Char"/>
    <w:basedOn w:val="Standaardalinea-lettertype"/>
    <w:link w:val="Kop8"/>
    <w:semiHidden/>
    <w:rsid w:val="00EA3E50"/>
    <w:rPr>
      <w:rFonts w:asciiTheme="minorHAnsi" w:eastAsiaTheme="majorEastAsia" w:hAnsiTheme="minorHAnsi" w:cstheme="majorBidi"/>
      <w:i/>
      <w:iCs/>
      <w:color w:val="272727" w:themeColor="text1" w:themeTint="D8"/>
      <w:sz w:val="18"/>
      <w:lang w:eastAsia="en-US"/>
    </w:rPr>
  </w:style>
  <w:style w:type="character" w:customStyle="1" w:styleId="Kop9Char">
    <w:name w:val="Kop 9 Char"/>
    <w:basedOn w:val="Standaardalinea-lettertype"/>
    <w:link w:val="Kop9"/>
    <w:semiHidden/>
    <w:rsid w:val="00EA3E50"/>
    <w:rPr>
      <w:rFonts w:asciiTheme="minorHAnsi" w:eastAsiaTheme="majorEastAsia" w:hAnsiTheme="minorHAnsi" w:cstheme="majorBidi"/>
      <w:color w:val="272727" w:themeColor="text1" w:themeTint="D8"/>
      <w:sz w:val="18"/>
      <w:lang w:eastAsia="en-US"/>
    </w:rPr>
  </w:style>
  <w:style w:type="paragraph" w:styleId="Koptekst">
    <w:name w:val="header"/>
    <w:basedOn w:val="Standaard"/>
    <w:link w:val="KoptekstChar"/>
    <w:unhideWhenUsed/>
    <w:rsid w:val="007A45DC"/>
    <w:pPr>
      <w:tabs>
        <w:tab w:val="center" w:pos="4536"/>
        <w:tab w:val="right" w:pos="9072"/>
      </w:tabs>
    </w:pPr>
  </w:style>
  <w:style w:type="character" w:customStyle="1" w:styleId="KoptekstChar">
    <w:name w:val="Koptekst Char"/>
    <w:basedOn w:val="Standaardalinea-lettertype"/>
    <w:link w:val="Koptekst"/>
    <w:rsid w:val="007A45DC"/>
    <w:rPr>
      <w:rFonts w:ascii="Verdana" w:hAnsi="Verdana"/>
      <w:sz w:val="18"/>
      <w:lang w:eastAsia="en-US"/>
    </w:rPr>
  </w:style>
  <w:style w:type="paragraph" w:styleId="Voettekst">
    <w:name w:val="footer"/>
    <w:basedOn w:val="Standaard"/>
    <w:link w:val="VoettekstChar"/>
    <w:uiPriority w:val="99"/>
    <w:unhideWhenUsed/>
    <w:rsid w:val="007A45DC"/>
    <w:pPr>
      <w:tabs>
        <w:tab w:val="center" w:pos="4536"/>
        <w:tab w:val="right" w:pos="9072"/>
      </w:tabs>
    </w:pPr>
  </w:style>
  <w:style w:type="character" w:customStyle="1" w:styleId="VoettekstChar">
    <w:name w:val="Voettekst Char"/>
    <w:basedOn w:val="Standaardalinea-lettertype"/>
    <w:link w:val="Voettekst"/>
    <w:uiPriority w:val="99"/>
    <w:rsid w:val="007A45DC"/>
    <w:rPr>
      <w:rFonts w:ascii="Verdana" w:hAnsi="Verdana"/>
      <w:sz w:val="18"/>
      <w:lang w:eastAsia="en-US"/>
    </w:rPr>
  </w:style>
  <w:style w:type="character" w:styleId="Paginanummer">
    <w:name w:val="page number"/>
    <w:basedOn w:val="Standaardalinea-lettertype"/>
    <w:rsid w:val="007A45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248</Words>
  <Characters>1187</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Valkenburg, Kees</dc:creator>
  <cp:keywords/>
  <dc:description/>
  <cp:lastModifiedBy>Valkenburg, Kees</cp:lastModifiedBy>
  <cp:revision>2</cp:revision>
  <dcterms:created xsi:type="dcterms:W3CDTF">2025-11-04T10:23:00Z</dcterms:created>
  <dcterms:modified xsi:type="dcterms:W3CDTF">2025-11-04T10:23:00Z</dcterms:modified>
</cp:coreProperties>
</file>