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5891" w:rsidP="00805891" w:rsidRDefault="00805891" w14:paraId="76A6AF22" w14:textId="77777777">
      <w:pPr>
        <w:spacing w:line="360" w:lineRule="auto"/>
        <w:jc w:val="center"/>
        <w:rPr>
          <w:rFonts w:cs="Arial"/>
          <w:b/>
          <w:bCs/>
          <w:sz w:val="24"/>
          <w:lang w:val="en-US"/>
        </w:rPr>
      </w:pPr>
    </w:p>
    <w:p w:rsidR="00805891" w:rsidP="00805891" w:rsidRDefault="00805891" w14:paraId="21117031" w14:textId="77777777">
      <w:pPr>
        <w:spacing w:line="360" w:lineRule="auto"/>
        <w:jc w:val="center"/>
        <w:rPr>
          <w:rFonts w:cs="Arial"/>
          <w:b/>
          <w:bCs/>
          <w:sz w:val="24"/>
          <w:lang w:val="en-US"/>
        </w:rPr>
      </w:pPr>
    </w:p>
    <w:p w:rsidR="00805891" w:rsidP="00805891" w:rsidRDefault="00805891" w14:paraId="53454EBD" w14:textId="77777777">
      <w:pPr>
        <w:spacing w:line="360" w:lineRule="auto"/>
        <w:jc w:val="center"/>
        <w:rPr>
          <w:rFonts w:cs="Arial"/>
          <w:b/>
          <w:bCs/>
          <w:sz w:val="24"/>
          <w:lang w:val="en-US"/>
        </w:rPr>
      </w:pPr>
    </w:p>
    <w:p w:rsidR="00805891" w:rsidP="00805891" w:rsidRDefault="00805891" w14:paraId="5346FE0D" w14:textId="77777777">
      <w:pPr>
        <w:spacing w:line="360" w:lineRule="auto"/>
        <w:jc w:val="center"/>
        <w:rPr>
          <w:rFonts w:cs="Arial"/>
          <w:b/>
          <w:bCs/>
          <w:sz w:val="24"/>
          <w:lang w:val="en-US"/>
        </w:rPr>
      </w:pPr>
    </w:p>
    <w:p w:rsidRPr="00822359" w:rsidR="00805891" w:rsidP="00805891" w:rsidRDefault="00805891" w14:paraId="5DD59F9A" w14:textId="24EA8041">
      <w:pPr>
        <w:spacing w:line="360" w:lineRule="auto"/>
        <w:jc w:val="center"/>
        <w:rPr>
          <w:rFonts w:cs="Arial"/>
          <w:b/>
          <w:bCs/>
          <w:sz w:val="24"/>
          <w:lang w:val="en-US"/>
        </w:rPr>
      </w:pPr>
      <w:r w:rsidRPr="00822359">
        <w:rPr>
          <w:rFonts w:cs="Arial"/>
          <w:b/>
          <w:bCs/>
          <w:sz w:val="24"/>
          <w:lang w:val="en-US"/>
        </w:rPr>
        <w:t>Data</w:t>
      </w:r>
      <w:r>
        <w:rPr>
          <w:rFonts w:cs="Arial"/>
          <w:b/>
          <w:bCs/>
          <w:sz w:val="24"/>
          <w:lang w:val="en-US"/>
        </w:rPr>
        <w:t xml:space="preserve"> p</w:t>
      </w:r>
      <w:r w:rsidRPr="00822359">
        <w:rPr>
          <w:rFonts w:cs="Arial"/>
          <w:b/>
          <w:bCs/>
          <w:sz w:val="24"/>
          <w:lang w:val="en-US"/>
        </w:rPr>
        <w:t>rocessing agreement</w:t>
      </w:r>
    </w:p>
    <w:p w:rsidR="00805891" w:rsidP="00805891" w:rsidRDefault="00805891" w14:paraId="6758AE3C" w14:textId="77777777">
      <w:pPr>
        <w:spacing w:line="360" w:lineRule="auto"/>
        <w:jc w:val="center"/>
        <w:rPr>
          <w:rFonts w:cs="Arial"/>
          <w:b/>
          <w:bCs/>
          <w:sz w:val="24"/>
          <w:lang w:val="en-US"/>
        </w:rPr>
      </w:pPr>
    </w:p>
    <w:p w:rsidR="00457D35" w:rsidP="00805891" w:rsidRDefault="00457D35" w14:paraId="7465749A" w14:textId="77777777">
      <w:pPr>
        <w:spacing w:line="360" w:lineRule="auto"/>
        <w:jc w:val="center"/>
        <w:rPr>
          <w:rFonts w:cs="Arial"/>
          <w:b/>
          <w:bCs/>
          <w:sz w:val="24"/>
          <w:lang w:val="en-US"/>
        </w:rPr>
      </w:pPr>
    </w:p>
    <w:p w:rsidR="00433A73" w:rsidP="00805891" w:rsidRDefault="00457D35" w14:paraId="14557B4D" w14:textId="0E935D95">
      <w:pPr>
        <w:spacing w:line="360" w:lineRule="auto"/>
        <w:jc w:val="center"/>
        <w:rPr>
          <w:rFonts w:cs="Arial"/>
          <w:b/>
          <w:bCs/>
          <w:sz w:val="24"/>
          <w:lang w:val="en-US"/>
        </w:rPr>
      </w:pPr>
      <w:r w:rsidRPr="002D56C7">
        <w:rPr>
          <w:rFonts w:cs="Arial"/>
          <w:b/>
          <w:bCs/>
          <w:sz w:val="24"/>
          <w:lang w:val="en-US"/>
        </w:rPr>
        <w:t>Netherlands Enterprise Agency (</w:t>
      </w:r>
      <w:r w:rsidRPr="002D56C7">
        <w:rPr>
          <w:rFonts w:cs="Arial"/>
          <w:b/>
          <w:bCs/>
          <w:i/>
          <w:iCs/>
          <w:sz w:val="24"/>
          <w:lang w:val="en-US"/>
        </w:rPr>
        <w:t>RVO</w:t>
      </w:r>
      <w:r w:rsidRPr="002D56C7">
        <w:rPr>
          <w:rFonts w:cs="Arial"/>
          <w:b/>
          <w:bCs/>
          <w:sz w:val="24"/>
          <w:lang w:val="en-US"/>
        </w:rPr>
        <w:t>)-</w:t>
      </w:r>
      <w:r w:rsidRPr="002D56C7" w:rsidR="00433A73">
        <w:rPr>
          <w:rFonts w:cs="Arial"/>
          <w:b/>
          <w:bCs/>
          <w:sz w:val="24"/>
          <w:lang w:val="en-US"/>
        </w:rPr>
        <w:t xml:space="preserve">directorate </w:t>
      </w:r>
      <w:bookmarkStart w:name="_Hlk207264606" w:id="0"/>
      <w:r w:rsidRPr="002D56C7" w:rsidR="00B93B18">
        <w:rPr>
          <w:rFonts w:cs="Arial"/>
          <w:b/>
          <w:bCs/>
          <w:sz w:val="24"/>
          <w:lang w:val="en-US"/>
        </w:rPr>
        <w:t xml:space="preserve">Innovation and </w:t>
      </w:r>
      <w:r w:rsidRPr="002D56C7" w:rsidR="00433A73">
        <w:rPr>
          <w:rFonts w:cs="Arial"/>
          <w:b/>
          <w:bCs/>
          <w:sz w:val="24"/>
          <w:lang w:val="en-US"/>
        </w:rPr>
        <w:t xml:space="preserve"> </w:t>
      </w:r>
      <w:r w:rsidRPr="002D56C7" w:rsidR="00B93B18">
        <w:rPr>
          <w:rFonts w:cs="Arial"/>
          <w:b/>
          <w:bCs/>
          <w:sz w:val="24"/>
          <w:lang w:val="en-US"/>
        </w:rPr>
        <w:t>Entrepreneurship</w:t>
      </w:r>
      <w:bookmarkEnd w:id="0"/>
      <w:r w:rsidRPr="002D56C7" w:rsidR="00B93B18">
        <w:rPr>
          <w:rFonts w:cs="Arial"/>
          <w:b/>
          <w:bCs/>
          <w:sz w:val="24"/>
          <w:lang w:val="en-US"/>
        </w:rPr>
        <w:t xml:space="preserve"> </w:t>
      </w:r>
      <w:r w:rsidRPr="002D56C7" w:rsidR="00433A73">
        <w:rPr>
          <w:rFonts w:cs="Arial"/>
          <w:b/>
          <w:bCs/>
          <w:sz w:val="24"/>
          <w:lang w:val="en-US"/>
        </w:rPr>
        <w:t>(</w:t>
      </w:r>
      <w:r w:rsidRPr="002D56C7" w:rsidR="00B93B18">
        <w:rPr>
          <w:rFonts w:cs="Arial"/>
          <w:b/>
          <w:bCs/>
          <w:i/>
          <w:iCs/>
          <w:sz w:val="24"/>
          <w:lang w:val="en-US"/>
        </w:rPr>
        <w:t>I&amp;O</w:t>
      </w:r>
      <w:r w:rsidRPr="002D56C7" w:rsidR="00433A73">
        <w:rPr>
          <w:rFonts w:cs="Arial"/>
          <w:b/>
          <w:bCs/>
          <w:sz w:val="24"/>
          <w:lang w:val="en-US"/>
        </w:rPr>
        <w:t>)</w:t>
      </w:r>
      <w:r w:rsidR="002D56C7">
        <w:rPr>
          <w:rFonts w:cs="Arial"/>
          <w:b/>
          <w:bCs/>
          <w:sz w:val="24"/>
          <w:lang w:val="en-US"/>
        </w:rPr>
        <w:t>-Netherlands</w:t>
      </w:r>
      <w:r w:rsidRPr="00822359" w:rsidR="00805891">
        <w:rPr>
          <w:rFonts w:cs="Arial"/>
          <w:b/>
          <w:bCs/>
          <w:sz w:val="24"/>
          <w:lang w:val="en-US"/>
        </w:rPr>
        <w:t xml:space="preserve"> </w:t>
      </w:r>
      <w:r w:rsidR="002D56C7">
        <w:rPr>
          <w:rFonts w:cs="Arial"/>
          <w:b/>
          <w:bCs/>
          <w:sz w:val="24"/>
          <w:lang w:val="en-US"/>
        </w:rPr>
        <w:t>Foreign Investment Agency</w:t>
      </w:r>
      <w:r w:rsidR="00F34F78">
        <w:rPr>
          <w:rFonts w:cs="Arial"/>
          <w:b/>
          <w:bCs/>
          <w:sz w:val="24"/>
          <w:lang w:val="en-US"/>
        </w:rPr>
        <w:t xml:space="preserve"> (NFIA)</w:t>
      </w:r>
    </w:p>
    <w:p w:rsidR="00433A73" w:rsidP="00805891" w:rsidRDefault="00805891" w14:paraId="6282597C" w14:textId="77777777">
      <w:pPr>
        <w:spacing w:line="360" w:lineRule="auto"/>
        <w:jc w:val="center"/>
        <w:rPr>
          <w:rFonts w:cs="Arial"/>
          <w:b/>
          <w:bCs/>
          <w:sz w:val="24"/>
          <w:lang w:val="en-US"/>
        </w:rPr>
      </w:pPr>
      <w:r w:rsidRPr="00822359">
        <w:rPr>
          <w:rFonts w:cs="Arial"/>
          <w:b/>
          <w:bCs/>
          <w:sz w:val="24"/>
          <w:lang w:val="en-US"/>
        </w:rPr>
        <w:t>/</w:t>
      </w:r>
    </w:p>
    <w:p w:rsidRPr="00822359" w:rsidR="00805891" w:rsidP="00805891" w:rsidRDefault="00B56A2F" w14:paraId="50212516" w14:textId="0E256D37">
      <w:pPr>
        <w:spacing w:line="360" w:lineRule="auto"/>
        <w:jc w:val="center"/>
        <w:rPr>
          <w:rFonts w:cs="Arial"/>
          <w:b/>
          <w:bCs/>
          <w:sz w:val="24"/>
          <w:lang w:val="en-US"/>
        </w:rPr>
      </w:pPr>
      <w:r w:rsidRPr="00591137">
        <w:rPr>
          <w:rFonts w:cs="Arial"/>
          <w:b/>
          <w:bCs/>
          <w:sz w:val="24"/>
          <w:highlight w:val="cyan"/>
          <w:lang w:val="en-US"/>
        </w:rPr>
        <w:t>&lt;</w:t>
      </w:r>
      <w:r w:rsidRPr="00591137" w:rsidR="00591137">
        <w:rPr>
          <w:rFonts w:cs="Arial"/>
          <w:b/>
          <w:bCs/>
          <w:sz w:val="24"/>
          <w:highlight w:val="cyan"/>
          <w:lang w:val="en-US"/>
        </w:rPr>
        <w:t>name processor&gt;</w:t>
      </w:r>
    </w:p>
    <w:p w:rsidRPr="00D4371E" w:rsidR="00805891" w:rsidP="00805891" w:rsidRDefault="00805891" w14:paraId="7438BF00" w14:textId="025C3EE8">
      <w:pPr>
        <w:spacing w:line="360" w:lineRule="auto"/>
        <w:jc w:val="center"/>
        <w:rPr>
          <w:rFonts w:cs="Arial"/>
          <w:iCs/>
          <w:szCs w:val="18"/>
          <w:lang w:val="en-US"/>
        </w:rPr>
      </w:pPr>
    </w:p>
    <w:p w:rsidRPr="00822359" w:rsidR="00BF1471" w:rsidP="00805891" w:rsidRDefault="00086D3E" w14:paraId="3C6DEFCA" w14:textId="138B30A3">
      <w:pPr>
        <w:spacing w:line="360" w:lineRule="auto"/>
        <w:rPr>
          <w:rFonts w:cs="Arial"/>
          <w:b/>
          <w:bCs/>
          <w:sz w:val="24"/>
          <w:lang w:val="en-US"/>
        </w:rPr>
      </w:pPr>
      <w:r w:rsidRPr="00D4371E">
        <w:rPr>
          <w:rFonts w:cs="Arial"/>
          <w:szCs w:val="18"/>
          <w:lang w:val="en-US"/>
        </w:rPr>
        <w:br w:type="page"/>
      </w:r>
    </w:p>
    <w:p w:rsidRPr="00822359" w:rsidR="00086D3E" w:rsidP="00BF1471" w:rsidRDefault="00086D3E" w14:paraId="50592639" w14:textId="6094EAE1">
      <w:pPr>
        <w:jc w:val="center"/>
        <w:rPr>
          <w:lang w:val="en-US"/>
        </w:rPr>
        <w:sectPr w:rsidRPr="00822359" w:rsidR="00086D3E" w:rsidSect="00805891">
          <w:footerReference w:type="even" r:id="rId11"/>
          <w:footerReference w:type="default" r:id="rId12"/>
          <w:headerReference w:type="first" r:id="rId13"/>
          <w:footerReference w:type="first" r:id="rId14"/>
          <w:pgSz w:w="11907" w:h="16839" w:orient="portrait" w:code="9"/>
          <w:pgMar w:top="1417" w:right="1417" w:bottom="1417" w:left="1417" w:header="720" w:footer="720" w:gutter="0"/>
          <w:cols w:space="720"/>
          <w:titlePg/>
          <w:docGrid w:linePitch="245"/>
        </w:sectPr>
      </w:pPr>
    </w:p>
    <w:p w:rsidRPr="00822359" w:rsidR="00086D3E" w:rsidP="00086D3E" w:rsidRDefault="00086D3E" w14:paraId="24DF0127" w14:textId="19708C13">
      <w:pPr>
        <w:rPr>
          <w:lang w:val="en-US"/>
        </w:rPr>
      </w:pPr>
    </w:p>
    <w:p w:rsidRPr="00D4371E" w:rsidR="00086D3E" w:rsidRDefault="00086D3E" w14:paraId="03F7FB8F" w14:textId="1A3BFFF3">
      <w:pPr>
        <w:overflowPunct/>
        <w:autoSpaceDE/>
        <w:autoSpaceDN/>
        <w:adjustRightInd/>
        <w:textAlignment w:val="auto"/>
        <w:rPr>
          <w:rFonts w:cs="Arial"/>
          <w:iCs/>
          <w:szCs w:val="18"/>
          <w:lang w:val="en-US"/>
        </w:rPr>
      </w:pPr>
    </w:p>
    <w:p w:rsidRPr="00852A8C" w:rsidR="002F120D" w:rsidP="00852A8C" w:rsidRDefault="002F120D" w14:paraId="7ABA12C7" w14:textId="4541263B">
      <w:pPr>
        <w:spacing w:line="360" w:lineRule="auto"/>
        <w:rPr>
          <w:rFonts w:cs="Arial"/>
          <w:i/>
          <w:szCs w:val="18"/>
        </w:rPr>
      </w:pPr>
    </w:p>
    <w:p w:rsidR="00852A8C" w:rsidP="00C13470" w:rsidRDefault="00852A8C" w14:paraId="4CDA0AC8" w14:textId="77777777">
      <w:pPr>
        <w:rPr>
          <w:szCs w:val="18"/>
        </w:rPr>
      </w:pPr>
    </w:p>
    <w:p w:rsidRPr="00471AA7" w:rsidR="00081451" w:rsidP="00C13470" w:rsidRDefault="000330BE" w14:paraId="0F821021" w14:textId="38CAFA0E">
      <w:pPr>
        <w:pStyle w:val="Kopvaninhoudsopgave"/>
        <w:rPr>
          <w:rStyle w:val="Zwaar"/>
          <w:rFonts w:ascii="Verdana" w:hAnsi="Verdana"/>
          <w:b w:val="1"/>
          <w:bCs w:val="1"/>
          <w:color w:val="000000" w:themeColor="text1"/>
          <w:lang w:val="en-US"/>
        </w:rPr>
      </w:pPr>
      <w:bookmarkStart w:name="_Toc484590185" w:id="1"/>
      <w:bookmarkStart w:name="_Toc484590364" w:id="2"/>
      <w:bookmarkStart w:name="_Toc484590450" w:id="3"/>
      <w:r w:rsidRPr="0CA5132C" w:rsidR="000330BE">
        <w:rPr>
          <w:rStyle w:val="Zwaar"/>
          <w:rFonts w:ascii="Verdana" w:hAnsi="Verdana"/>
          <w:b w:val="1"/>
          <w:bCs w:val="1"/>
          <w:color w:val="000000" w:themeColor="text1" w:themeTint="FF" w:themeShade="FF"/>
          <w:sz w:val="24"/>
          <w:szCs w:val="24"/>
          <w:lang w:val="en-US"/>
        </w:rPr>
        <w:t>Data processing agreement ARVODI-20</w:t>
      </w:r>
      <w:r w:rsidRPr="0CA5132C" w:rsidR="0FB0FA15">
        <w:rPr>
          <w:rStyle w:val="Zwaar"/>
          <w:rFonts w:ascii="Verdana" w:hAnsi="Verdana"/>
          <w:b w:val="1"/>
          <w:bCs w:val="1"/>
          <w:color w:val="000000" w:themeColor="text1" w:themeTint="FF" w:themeShade="FF"/>
          <w:sz w:val="24"/>
          <w:szCs w:val="24"/>
          <w:lang w:val="en-US"/>
        </w:rPr>
        <w:t>18</w:t>
      </w:r>
      <w:bookmarkEnd w:id="1"/>
      <w:bookmarkEnd w:id="2"/>
      <w:bookmarkEnd w:id="3"/>
    </w:p>
    <w:p w:rsidRPr="00471AA7" w:rsidR="00081451" w:rsidP="00A6396C" w:rsidRDefault="00BB410B" w14:paraId="0BB16AFA" w14:textId="77777777">
      <w:pPr>
        <w:spacing w:line="276" w:lineRule="auto"/>
        <w:rPr>
          <w:szCs w:val="18"/>
          <w:lang w:val="en-US"/>
        </w:rPr>
      </w:pPr>
      <w:bookmarkStart w:name="_Toc484590186" w:id="4"/>
      <w:bookmarkStart w:name="_Toc484590365" w:id="5"/>
      <w:bookmarkStart w:name="_Toc484590451" w:id="6"/>
      <w:r w:rsidRPr="00471AA7">
        <w:rPr>
          <w:szCs w:val="18"/>
          <w:lang w:val="en-US"/>
        </w:rPr>
        <w:t>Contract number: [...].</w:t>
      </w:r>
      <w:bookmarkEnd w:id="4"/>
      <w:bookmarkEnd w:id="5"/>
      <w:bookmarkEnd w:id="6"/>
    </w:p>
    <w:p w:rsidRPr="00471AA7" w:rsidR="00081451" w:rsidP="00A6396C" w:rsidRDefault="00081451" w14:paraId="3061BA02" w14:textId="77777777">
      <w:pPr>
        <w:spacing w:line="276" w:lineRule="auto"/>
        <w:rPr>
          <w:rFonts w:cs="Helvetica"/>
          <w:szCs w:val="18"/>
          <w:lang w:val="en-US"/>
        </w:rPr>
      </w:pPr>
    </w:p>
    <w:p w:rsidRPr="00471AA7" w:rsidR="007E2A2F" w:rsidP="00A6396C" w:rsidRDefault="007E2A2F" w14:paraId="1CA3956A" w14:textId="77777777">
      <w:pPr>
        <w:spacing w:line="276" w:lineRule="auto"/>
        <w:rPr>
          <w:rFonts w:cs="Helvetica"/>
          <w:szCs w:val="18"/>
          <w:lang w:val="en-US"/>
        </w:rPr>
      </w:pPr>
    </w:p>
    <w:p w:rsidRPr="00471AA7" w:rsidR="00081451" w:rsidP="00A6396C" w:rsidRDefault="00BB410B" w14:paraId="4BC2A289" w14:textId="77777777">
      <w:pPr>
        <w:spacing w:line="276" w:lineRule="auto"/>
        <w:rPr>
          <w:rStyle w:val="Zwaar"/>
          <w:szCs w:val="18"/>
          <w:lang w:val="en-US"/>
        </w:rPr>
      </w:pPr>
      <w:bookmarkStart w:name="_Toc484590187" w:id="7"/>
      <w:bookmarkStart w:name="_Toc484590366" w:id="8"/>
      <w:bookmarkStart w:name="_Toc484590452" w:id="9"/>
      <w:r w:rsidRPr="00471AA7">
        <w:rPr>
          <w:rStyle w:val="Zwaar"/>
          <w:szCs w:val="18"/>
          <w:lang w:val="en-US"/>
        </w:rPr>
        <w:t>The undersigned:</w:t>
      </w:r>
      <w:bookmarkEnd w:id="7"/>
      <w:bookmarkEnd w:id="8"/>
      <w:bookmarkEnd w:id="9"/>
    </w:p>
    <w:p w:rsidRPr="00471AA7" w:rsidR="00081451" w:rsidP="00A6396C" w:rsidRDefault="00081451" w14:paraId="04E24E32" w14:textId="77777777">
      <w:pPr>
        <w:spacing w:line="276" w:lineRule="auto"/>
        <w:rPr>
          <w:rFonts w:cs="Arial"/>
          <w:szCs w:val="18"/>
          <w:lang w:val="en-US"/>
        </w:rPr>
      </w:pPr>
    </w:p>
    <w:p w:rsidRPr="00471AA7" w:rsidR="00081451" w:rsidP="00EA20CB" w:rsidRDefault="00BB410B" w14:paraId="78DE8145" w14:textId="77777777">
      <w:pPr>
        <w:rPr>
          <w:rFonts w:cs="Arial"/>
          <w:szCs w:val="18"/>
          <w:lang w:val="en-US"/>
        </w:rPr>
      </w:pPr>
      <w:bookmarkStart w:name="_Toc484590188" w:id="10"/>
      <w:bookmarkStart w:name="_Toc484590367" w:id="11"/>
      <w:bookmarkStart w:name="_Toc484590453" w:id="12"/>
      <w:r w:rsidRPr="00471AA7">
        <w:rPr>
          <w:rFonts w:cs="Arial"/>
          <w:szCs w:val="18"/>
          <w:lang w:val="en-US"/>
        </w:rPr>
        <w:t xml:space="preserve">1. The State of the Netherlands, whose registered office is in The Hague, </w:t>
      </w:r>
      <w:bookmarkEnd w:id="10"/>
      <w:bookmarkEnd w:id="11"/>
      <w:bookmarkEnd w:id="12"/>
    </w:p>
    <w:p w:rsidRPr="00471AA7" w:rsidR="00081451" w:rsidP="00EA20CB" w:rsidRDefault="00383781" w14:paraId="0B121B3F" w14:textId="142F4B5F">
      <w:pPr>
        <w:rPr>
          <w:rFonts w:cs="Arial"/>
          <w:szCs w:val="18"/>
          <w:lang w:val="en-US"/>
        </w:rPr>
      </w:pPr>
      <w:r w:rsidRPr="00471AA7">
        <w:rPr>
          <w:rFonts w:cs="Arial"/>
          <w:szCs w:val="18"/>
          <w:lang w:val="en-US"/>
        </w:rPr>
        <w:t xml:space="preserve">hereby represented by </w:t>
      </w:r>
      <w:r w:rsidRPr="00822359" w:rsidR="00086D3E">
        <w:rPr>
          <w:lang w:val="en-US"/>
        </w:rPr>
        <w:t>the Minister of</w:t>
      </w:r>
      <w:r w:rsidRPr="00822359" w:rsidR="00086D3E">
        <w:rPr>
          <w:b/>
          <w:sz w:val="22"/>
          <w:szCs w:val="22"/>
          <w:lang w:val="en-US"/>
        </w:rPr>
        <w:t xml:space="preserve"> </w:t>
      </w:r>
      <w:r w:rsidRPr="00822359" w:rsidR="00086D3E">
        <w:rPr>
          <w:szCs w:val="18"/>
          <w:lang w:val="en-US"/>
        </w:rPr>
        <w:t>Economic Affairs</w:t>
      </w:r>
      <w:r w:rsidRPr="00471AA7" w:rsidR="00BB410B">
        <w:rPr>
          <w:rFonts w:cs="Arial"/>
          <w:szCs w:val="18"/>
          <w:lang w:val="en-US"/>
        </w:rPr>
        <w:t>,</w:t>
      </w:r>
    </w:p>
    <w:p w:rsidR="00081451" w:rsidP="00EA20CB" w:rsidRDefault="00BB410B" w14:paraId="50ABF802" w14:textId="77777777">
      <w:pPr>
        <w:rPr>
          <w:rFonts w:cs="Arial"/>
          <w:szCs w:val="18"/>
          <w:lang w:val="en-US"/>
        </w:rPr>
      </w:pPr>
      <w:r w:rsidRPr="00471AA7">
        <w:rPr>
          <w:rFonts w:cs="Arial"/>
          <w:szCs w:val="18"/>
          <w:lang w:val="en-US"/>
        </w:rPr>
        <w:t>on behalf of these,</w:t>
      </w:r>
    </w:p>
    <w:p w:rsidRPr="00122C63" w:rsidR="0036071D" w:rsidP="0036071D" w:rsidRDefault="0036071D" w14:paraId="289AA492" w14:textId="69F90B35">
      <w:pPr>
        <w:spacing w:line="276" w:lineRule="auto"/>
        <w:rPr>
          <w:rFonts w:cs="Arial"/>
          <w:szCs w:val="18"/>
          <w:lang w:val="en-US"/>
        </w:rPr>
      </w:pPr>
      <w:r w:rsidRPr="00122C63">
        <w:rPr>
          <w:rFonts w:cs="Arial"/>
          <w:szCs w:val="18"/>
          <w:lang w:val="en-US"/>
        </w:rPr>
        <w:t>Netherlands Enterprise Agency (</w:t>
      </w:r>
      <w:r w:rsidRPr="00122C63" w:rsidR="0002243C">
        <w:rPr>
          <w:rFonts w:cs="Arial"/>
          <w:i/>
          <w:iCs/>
          <w:szCs w:val="18"/>
          <w:lang w:val="en-US"/>
        </w:rPr>
        <w:t>Rijksdienst voor Ondernemend Nederland,</w:t>
      </w:r>
      <w:r w:rsidRPr="00122C63" w:rsidR="0002243C">
        <w:rPr>
          <w:rFonts w:cs="Arial"/>
          <w:szCs w:val="18"/>
          <w:lang w:val="en-US"/>
        </w:rPr>
        <w:t xml:space="preserve"> </w:t>
      </w:r>
      <w:r w:rsidRPr="00122C63">
        <w:rPr>
          <w:rFonts w:cs="Arial"/>
          <w:i/>
          <w:iCs/>
          <w:szCs w:val="18"/>
          <w:lang w:val="en-US"/>
        </w:rPr>
        <w:t>RVO</w:t>
      </w:r>
      <w:r w:rsidRPr="00122C63">
        <w:rPr>
          <w:rFonts w:cs="Arial"/>
          <w:szCs w:val="18"/>
          <w:lang w:val="en-US"/>
        </w:rPr>
        <w:t>)</w:t>
      </w:r>
    </w:p>
    <w:p w:rsidRPr="0036071D" w:rsidR="0036071D" w:rsidP="0036071D" w:rsidRDefault="0036071D" w14:paraId="13CA6440" w14:textId="7778E005">
      <w:pPr>
        <w:spacing w:line="276" w:lineRule="auto"/>
        <w:rPr>
          <w:lang w:val="en-US"/>
        </w:rPr>
      </w:pPr>
      <w:r w:rsidRPr="00822359">
        <w:rPr>
          <w:lang w:val="en-US"/>
        </w:rPr>
        <w:t xml:space="preserve">Directorate </w:t>
      </w:r>
      <w:r w:rsidRPr="00B93B18">
        <w:rPr>
          <w:lang w:val="en-US"/>
        </w:rPr>
        <w:t>Innovation and Entrepreneurship</w:t>
      </w:r>
    </w:p>
    <w:p w:rsidRPr="00F34F78" w:rsidR="00086D3E" w:rsidP="00086D3E" w:rsidRDefault="00F34F78" w14:paraId="4646442F" w14:textId="5C7C0E59">
      <w:pPr>
        <w:spacing w:line="276" w:lineRule="auto"/>
      </w:pPr>
      <w:r w:rsidRPr="00F34F78">
        <w:t>Hi</w:t>
      </w:r>
      <w:r>
        <w:t>lde van der meer</w:t>
      </w:r>
    </w:p>
    <w:p w:rsidRPr="00F34F78" w:rsidR="00086D3E" w:rsidP="00086D3E" w:rsidRDefault="00086D3E" w14:paraId="10B2A175" w14:textId="43E9DB89">
      <w:pPr>
        <w:spacing w:line="276" w:lineRule="auto"/>
        <w:rPr>
          <w:lang w:val="en-US"/>
        </w:rPr>
      </w:pPr>
      <w:r w:rsidRPr="00F34F78">
        <w:rPr>
          <w:lang w:val="en-US"/>
        </w:rPr>
        <w:t xml:space="preserve">Head of </w:t>
      </w:r>
      <w:r w:rsidRPr="00F34F78" w:rsidR="00F34F78">
        <w:rPr>
          <w:lang w:val="en-US"/>
        </w:rPr>
        <w:t>Netherlands Foreign I</w:t>
      </w:r>
      <w:r w:rsidR="00F34F78">
        <w:rPr>
          <w:lang w:val="en-US"/>
        </w:rPr>
        <w:t>nvestment Agency (NFIA)</w:t>
      </w:r>
    </w:p>
    <w:p w:rsidRPr="00471AA7" w:rsidR="00081451" w:rsidP="00EA20CB" w:rsidRDefault="00BB410B" w14:paraId="37F2EF1E" w14:textId="77777777">
      <w:pPr>
        <w:rPr>
          <w:rFonts w:cs="Arial"/>
          <w:szCs w:val="18"/>
          <w:lang w:val="en-US"/>
        </w:rPr>
      </w:pPr>
      <w:r w:rsidRPr="00471AA7">
        <w:rPr>
          <w:rFonts w:cs="Arial"/>
          <w:szCs w:val="18"/>
          <w:lang w:val="en-US"/>
        </w:rPr>
        <w:t>hereinafter referred to as: Client,</w:t>
      </w:r>
    </w:p>
    <w:p w:rsidRPr="00471AA7" w:rsidR="00081451" w:rsidP="00A6396C" w:rsidRDefault="00081451" w14:paraId="7DCC110F" w14:textId="77777777">
      <w:pPr>
        <w:spacing w:line="276" w:lineRule="auto"/>
        <w:rPr>
          <w:rFonts w:cs="Arial"/>
          <w:szCs w:val="18"/>
          <w:lang w:val="en-US"/>
        </w:rPr>
      </w:pPr>
    </w:p>
    <w:p w:rsidRPr="00471AA7" w:rsidR="00081451" w:rsidP="00A6396C" w:rsidRDefault="00BB410B" w14:paraId="18B77160" w14:textId="77777777">
      <w:pPr>
        <w:spacing w:line="276" w:lineRule="auto"/>
        <w:rPr>
          <w:rStyle w:val="Zwaar"/>
          <w:szCs w:val="18"/>
          <w:lang w:val="en-US"/>
        </w:rPr>
      </w:pPr>
      <w:r w:rsidRPr="00471AA7">
        <w:rPr>
          <w:rStyle w:val="Zwaar"/>
          <w:szCs w:val="18"/>
          <w:lang w:val="en-US"/>
        </w:rPr>
        <w:t>and</w:t>
      </w:r>
    </w:p>
    <w:p w:rsidRPr="00471AA7" w:rsidR="00081451" w:rsidP="00A6396C" w:rsidRDefault="00081451" w14:paraId="50852C57" w14:textId="77777777">
      <w:pPr>
        <w:spacing w:line="276" w:lineRule="auto"/>
        <w:rPr>
          <w:rFonts w:cs="Arial"/>
          <w:szCs w:val="18"/>
          <w:lang w:val="en-US"/>
        </w:rPr>
      </w:pPr>
    </w:p>
    <w:p w:rsidRPr="00471AA7" w:rsidR="00081451" w:rsidP="00EA20CB" w:rsidRDefault="00BB410B" w14:paraId="2002F5DA" w14:textId="2C8077CB">
      <w:pPr>
        <w:rPr>
          <w:rFonts w:cs="Arial"/>
          <w:szCs w:val="18"/>
          <w:lang w:val="en-US"/>
        </w:rPr>
      </w:pPr>
      <w:bookmarkStart w:name="_Toc484590189" w:id="13"/>
      <w:bookmarkStart w:name="_Toc484590368" w:id="14"/>
      <w:bookmarkStart w:name="_Toc484590454" w:id="15"/>
      <w:r w:rsidRPr="00471AA7">
        <w:rPr>
          <w:rFonts w:cs="Arial"/>
          <w:szCs w:val="18"/>
          <w:lang w:val="en-US"/>
        </w:rPr>
        <w:t xml:space="preserve">2. </w:t>
      </w:r>
      <w:r w:rsidRPr="00471AA7">
        <w:rPr>
          <w:rFonts w:cs="Arial"/>
          <w:szCs w:val="18"/>
          <w:highlight w:val="cyan"/>
          <w:lang w:val="en-US"/>
        </w:rPr>
        <w:t>[full name and legal form of the Contractor]</w:t>
      </w:r>
      <w:r w:rsidRPr="00471AA7">
        <w:rPr>
          <w:rFonts w:cs="Arial"/>
          <w:szCs w:val="18"/>
          <w:lang w:val="en-US"/>
        </w:rPr>
        <w:t>,</w:t>
      </w:r>
      <w:bookmarkEnd w:id="13"/>
      <w:bookmarkEnd w:id="14"/>
      <w:bookmarkEnd w:id="15"/>
    </w:p>
    <w:p w:rsidRPr="00471AA7" w:rsidR="00081451" w:rsidP="00EA20CB" w:rsidRDefault="00BB410B" w14:paraId="2C9E636B" w14:textId="7B563851">
      <w:pPr>
        <w:rPr>
          <w:rFonts w:cs="Arial"/>
          <w:szCs w:val="18"/>
          <w:lang w:val="en-US"/>
        </w:rPr>
      </w:pPr>
      <w:r w:rsidRPr="00471AA7">
        <w:rPr>
          <w:rFonts w:cs="Arial"/>
          <w:szCs w:val="18"/>
          <w:lang w:val="en-US"/>
        </w:rPr>
        <w:t xml:space="preserve">(statutory) with its registered office in </w:t>
      </w:r>
      <w:r w:rsidRPr="00471AA7">
        <w:rPr>
          <w:rFonts w:cs="Arial"/>
          <w:szCs w:val="18"/>
          <w:highlight w:val="cyan"/>
          <w:lang w:val="en-US"/>
        </w:rPr>
        <w:t>[...]</w:t>
      </w:r>
      <w:r w:rsidRPr="00471AA7">
        <w:rPr>
          <w:rFonts w:cs="Arial"/>
          <w:szCs w:val="18"/>
          <w:lang w:val="en-US"/>
        </w:rPr>
        <w:t>,</w:t>
      </w:r>
    </w:p>
    <w:p w:rsidRPr="00471AA7" w:rsidR="00081451" w:rsidP="00EA20CB" w:rsidRDefault="005F284E" w14:paraId="5358D4B0" w14:textId="35BB75DC">
      <w:pPr>
        <w:rPr>
          <w:rFonts w:cs="Arial"/>
          <w:szCs w:val="18"/>
          <w:lang w:val="en-US"/>
        </w:rPr>
      </w:pPr>
      <w:r w:rsidRPr="00471AA7">
        <w:rPr>
          <w:rFonts w:cs="Arial"/>
          <w:szCs w:val="18"/>
          <w:lang w:val="en-US"/>
        </w:rPr>
        <w:t>represented by</w:t>
      </w:r>
    </w:p>
    <w:p w:rsidRPr="00471AA7" w:rsidR="00081451" w:rsidP="00EA20CB" w:rsidRDefault="00BB410B" w14:paraId="11E45575" w14:textId="73A54B44">
      <w:pPr>
        <w:rPr>
          <w:rFonts w:cs="Arial"/>
          <w:szCs w:val="18"/>
          <w:lang w:val="en-US"/>
        </w:rPr>
      </w:pPr>
      <w:r w:rsidRPr="00471AA7">
        <w:rPr>
          <w:rFonts w:cs="Arial"/>
          <w:szCs w:val="18"/>
          <w:highlight w:val="cyan"/>
          <w:lang w:val="en-US"/>
        </w:rPr>
        <w:t>[name of signatory]</w:t>
      </w:r>
    </w:p>
    <w:p w:rsidRPr="00471AA7" w:rsidR="00081451" w:rsidP="00EA20CB" w:rsidRDefault="00BB410B" w14:paraId="7FAF2418" w14:textId="3F045CBC">
      <w:pPr>
        <w:rPr>
          <w:rFonts w:cs="Arial"/>
          <w:szCs w:val="18"/>
          <w:lang w:val="en-US"/>
        </w:rPr>
      </w:pPr>
      <w:r w:rsidRPr="00471AA7">
        <w:rPr>
          <w:rFonts w:cs="Arial"/>
          <w:szCs w:val="18"/>
          <w:lang w:val="en-US"/>
        </w:rPr>
        <w:t>hereinafter referred to as: Contractor,</w:t>
      </w:r>
    </w:p>
    <w:p w:rsidRPr="00471AA7" w:rsidR="00081451" w:rsidP="00EA20CB" w:rsidRDefault="00081451" w14:paraId="7D08AE91" w14:textId="250E5159">
      <w:pPr>
        <w:rPr>
          <w:rFonts w:cs="Arial"/>
          <w:szCs w:val="18"/>
          <w:lang w:val="en-US"/>
        </w:rPr>
      </w:pPr>
    </w:p>
    <w:p w:rsidRPr="00471AA7" w:rsidR="00DF189A" w:rsidP="00EA20CB" w:rsidRDefault="00DF189A" w14:paraId="31539501" w14:textId="77777777">
      <w:pPr>
        <w:rPr>
          <w:rFonts w:cs="Arial"/>
          <w:szCs w:val="18"/>
          <w:lang w:val="en-US"/>
        </w:rPr>
      </w:pPr>
    </w:p>
    <w:p w:rsidRPr="00471AA7" w:rsidR="00081451" w:rsidP="00EA20CB" w:rsidRDefault="00081451" w14:paraId="037287B7" w14:textId="3F790F34">
      <w:pPr>
        <w:rPr>
          <w:rFonts w:cs="Arial"/>
          <w:szCs w:val="18"/>
          <w:lang w:val="en-US"/>
        </w:rPr>
      </w:pPr>
    </w:p>
    <w:p w:rsidRPr="00471AA7" w:rsidR="007E2A2F" w:rsidP="00A6396C" w:rsidRDefault="007E2A2F" w14:paraId="2249115D" w14:textId="77777777">
      <w:pPr>
        <w:spacing w:line="276" w:lineRule="auto"/>
        <w:rPr>
          <w:rFonts w:cs="Arial"/>
          <w:szCs w:val="18"/>
          <w:lang w:val="en-US"/>
        </w:rPr>
      </w:pPr>
    </w:p>
    <w:p w:rsidRPr="00471AA7" w:rsidR="00081451" w:rsidP="00A6396C" w:rsidRDefault="00081451" w14:paraId="5BCD2A6E" w14:textId="77777777">
      <w:pPr>
        <w:spacing w:line="276" w:lineRule="auto"/>
        <w:rPr>
          <w:rFonts w:cs="Arial"/>
          <w:szCs w:val="18"/>
          <w:lang w:val="en-US"/>
        </w:rPr>
      </w:pPr>
    </w:p>
    <w:p w:rsidRPr="00A6396C" w:rsidR="00081451" w:rsidP="00A6396C" w:rsidRDefault="00BB410B" w14:paraId="68E1AB94" w14:textId="77777777">
      <w:pPr>
        <w:spacing w:line="276" w:lineRule="auto"/>
        <w:rPr>
          <w:rStyle w:val="Zwaar"/>
          <w:szCs w:val="18"/>
        </w:rPr>
      </w:pPr>
      <w:bookmarkStart w:name="_Toc484590190" w:id="16"/>
      <w:bookmarkStart w:name="_Toc484590369" w:id="17"/>
      <w:bookmarkStart w:name="_Toc484590455" w:id="18"/>
      <w:r w:rsidRPr="00A6396C">
        <w:rPr>
          <w:rStyle w:val="Zwaar"/>
          <w:szCs w:val="18"/>
        </w:rPr>
        <w:t>WHEREAS:</w:t>
      </w:r>
      <w:bookmarkEnd w:id="16"/>
      <w:bookmarkEnd w:id="17"/>
      <w:bookmarkEnd w:id="18"/>
    </w:p>
    <w:p w:rsidRPr="00A6396C" w:rsidR="00081451" w:rsidP="00A6396C" w:rsidRDefault="00081451" w14:paraId="34804301" w14:textId="77777777">
      <w:pPr>
        <w:spacing w:line="276" w:lineRule="auto"/>
        <w:rPr>
          <w:rFonts w:cs="Arial"/>
          <w:szCs w:val="18"/>
          <w:lang w:val="nl"/>
        </w:rPr>
      </w:pPr>
    </w:p>
    <w:p w:rsidRPr="00471AA7" w:rsidR="00466EAF" w:rsidP="00EA20CB" w:rsidRDefault="00F06AC0" w14:paraId="379748F7" w14:textId="127AB118">
      <w:pPr>
        <w:pStyle w:val="Lijstalinea"/>
        <w:numPr>
          <w:ilvl w:val="0"/>
          <w:numId w:val="13"/>
        </w:numPr>
        <w:ind w:left="357" w:hanging="357"/>
        <w:rPr>
          <w:rFonts w:cs="Arial"/>
          <w:szCs w:val="18"/>
          <w:lang w:val="en-US"/>
        </w:rPr>
      </w:pPr>
      <w:r w:rsidRPr="00471AA7">
        <w:rPr>
          <w:rFonts w:cs="Arial"/>
          <w:szCs w:val="18"/>
          <w:lang w:val="en-US"/>
        </w:rPr>
        <w:t>insofar as the Contractor Processes Personal Data on behalf of the Client in the context of the Agreement, the Client qualifies as the Controller for the Processing of Personal Data and the Contractor as the Processor;</w:t>
      </w:r>
    </w:p>
    <w:p w:rsidRPr="00471AA7" w:rsidR="00466EAF" w:rsidP="00EA20CB" w:rsidRDefault="00BB410B" w14:paraId="41D71022" w14:textId="0B7F3CBF">
      <w:pPr>
        <w:pStyle w:val="Lijstalinea"/>
        <w:numPr>
          <w:ilvl w:val="0"/>
          <w:numId w:val="13"/>
        </w:numPr>
        <w:ind w:left="357" w:hanging="357"/>
        <w:rPr>
          <w:lang w:val="en-US"/>
        </w:rPr>
      </w:pPr>
      <w:r w:rsidRPr="00471AA7">
        <w:rPr>
          <w:rFonts w:cs="Arial"/>
          <w:szCs w:val="18"/>
          <w:lang w:val="en-US"/>
        </w:rPr>
        <w:t>The parties in this Data Processing Agreement, as referred to in Article 28, third paragraph, of the Regulation, wish to record their agreements about the Processing of Personal Data by the Contractor.</w:t>
      </w:r>
    </w:p>
    <w:p w:rsidRPr="00471AA7" w:rsidR="004257FE" w:rsidP="00A6396C" w:rsidRDefault="004257FE" w14:paraId="7292D179" w14:textId="77777777">
      <w:pPr>
        <w:spacing w:line="276" w:lineRule="auto"/>
        <w:rPr>
          <w:rFonts w:cs="Arial"/>
          <w:szCs w:val="18"/>
          <w:lang w:val="en-US"/>
        </w:rPr>
      </w:pPr>
    </w:p>
    <w:p w:rsidR="006D4E1F" w:rsidP="00852A8C" w:rsidRDefault="006D4E1F" w14:paraId="5FC66118" w14:textId="77777777">
      <w:pPr>
        <w:tabs>
          <w:tab w:val="left" w:pos="2235"/>
          <w:tab w:val="left" w:pos="2385"/>
        </w:tabs>
        <w:spacing w:line="276" w:lineRule="auto"/>
        <w:rPr>
          <w:rFonts w:cs="Arial"/>
          <w:szCs w:val="18"/>
          <w:lang w:val="en-US"/>
        </w:rPr>
      </w:pPr>
    </w:p>
    <w:p w:rsidR="006D4E1F" w:rsidP="00852A8C" w:rsidRDefault="006D4E1F" w14:paraId="6B35724A" w14:textId="77777777">
      <w:pPr>
        <w:tabs>
          <w:tab w:val="left" w:pos="2235"/>
          <w:tab w:val="left" w:pos="2385"/>
        </w:tabs>
        <w:spacing w:line="276" w:lineRule="auto"/>
        <w:rPr>
          <w:rFonts w:cs="Arial"/>
          <w:szCs w:val="18"/>
          <w:lang w:val="en-US"/>
        </w:rPr>
      </w:pPr>
    </w:p>
    <w:p w:rsidRPr="00471AA7" w:rsidR="0000012C" w:rsidP="00852A8C" w:rsidRDefault="00852A8C" w14:paraId="76A90ABB" w14:textId="5887C24A">
      <w:pPr>
        <w:tabs>
          <w:tab w:val="left" w:pos="2235"/>
          <w:tab w:val="left" w:pos="2385"/>
        </w:tabs>
        <w:spacing w:line="276" w:lineRule="auto"/>
        <w:rPr>
          <w:rFonts w:cs="Arial"/>
          <w:szCs w:val="18"/>
          <w:lang w:val="en-US"/>
        </w:rPr>
      </w:pPr>
      <w:r w:rsidRPr="00471AA7">
        <w:rPr>
          <w:rFonts w:cs="Arial"/>
          <w:szCs w:val="18"/>
          <w:lang w:val="en-US"/>
        </w:rPr>
        <w:tab/>
      </w:r>
    </w:p>
    <w:p w:rsidRPr="00471AA7" w:rsidR="0000012C" w:rsidP="00A6396C" w:rsidRDefault="0000012C" w14:paraId="08669DFB" w14:textId="77777777">
      <w:pPr>
        <w:spacing w:line="276" w:lineRule="auto"/>
        <w:rPr>
          <w:rFonts w:cs="Arial"/>
          <w:szCs w:val="18"/>
          <w:lang w:val="en-US"/>
        </w:rPr>
      </w:pPr>
    </w:p>
    <w:p w:rsidRPr="00471AA7" w:rsidR="00081451" w:rsidP="00A6396C" w:rsidRDefault="00BB410B" w14:paraId="5C189431" w14:textId="77777777">
      <w:pPr>
        <w:spacing w:line="276" w:lineRule="auto"/>
        <w:rPr>
          <w:rStyle w:val="Zwaar"/>
          <w:szCs w:val="18"/>
          <w:lang w:val="en-US"/>
        </w:rPr>
      </w:pPr>
      <w:r w:rsidRPr="00471AA7">
        <w:rPr>
          <w:rStyle w:val="Zwaar"/>
          <w:szCs w:val="18"/>
          <w:lang w:val="en-US"/>
        </w:rPr>
        <w:t xml:space="preserve">AGREE: </w:t>
      </w:r>
    </w:p>
    <w:p w:rsidRPr="00471AA7" w:rsidR="00061638" w:rsidP="00A6396C" w:rsidRDefault="00061638" w14:paraId="35F9F7AA" w14:textId="77777777">
      <w:pPr>
        <w:spacing w:line="276" w:lineRule="auto"/>
        <w:rPr>
          <w:rFonts w:cs="Arial"/>
          <w:szCs w:val="18"/>
          <w:lang w:val="en-US"/>
        </w:rPr>
      </w:pPr>
    </w:p>
    <w:p w:rsidRPr="00471AA7" w:rsidR="00B130D9" w:rsidP="00A6396C" w:rsidRDefault="002A54AA" w14:paraId="519F02C2" w14:textId="77777777">
      <w:pPr>
        <w:pStyle w:val="Kop3"/>
        <w:rPr>
          <w:rStyle w:val="Zwaar"/>
          <w:rFonts w:ascii="Verdana" w:hAnsi="Verdana"/>
          <w:b/>
          <w:sz w:val="18"/>
          <w:szCs w:val="18"/>
          <w:lang w:val="en-US"/>
        </w:rPr>
      </w:pPr>
      <w:bookmarkStart w:name="_Toc484590370" w:id="19"/>
      <w:bookmarkStart w:name="_Toc484590456" w:id="20"/>
      <w:bookmarkStart w:name="_Toc497994155" w:id="21"/>
      <w:bookmarkStart w:name="_Toc499733027" w:id="22"/>
      <w:r w:rsidRPr="00471AA7">
        <w:rPr>
          <w:rStyle w:val="Zwaar"/>
          <w:rFonts w:ascii="Verdana" w:hAnsi="Verdana"/>
          <w:b/>
          <w:sz w:val="18"/>
          <w:szCs w:val="18"/>
          <w:lang w:val="en-US"/>
        </w:rPr>
        <w:t>Article 1. Concepts</w:t>
      </w:r>
      <w:bookmarkEnd w:id="19"/>
      <w:bookmarkEnd w:id="20"/>
      <w:bookmarkEnd w:id="21"/>
      <w:bookmarkEnd w:id="22"/>
    </w:p>
    <w:p w:rsidRPr="00471AA7" w:rsidR="008E3899" w:rsidP="0CA5132C" w:rsidRDefault="00786B9D" w14:paraId="77CE0646" w14:textId="40237B47">
      <w:pPr>
        <w:rPr>
          <w:rFonts w:cs="Arial"/>
          <w:lang w:val="en-US"/>
        </w:rPr>
      </w:pPr>
      <w:r w:rsidRPr="0CA5132C" w:rsidR="00786B9D">
        <w:rPr>
          <w:rFonts w:cs="Arial"/>
          <w:lang w:val="en-US"/>
        </w:rPr>
        <w:t xml:space="preserve">In this Data Processing Agreement, </w:t>
      </w:r>
      <w:r w:rsidRPr="0CA5132C" w:rsidR="00786B9D">
        <w:rPr>
          <w:rFonts w:cs="Arial"/>
          <w:lang w:val="en-US"/>
        </w:rPr>
        <w:t>a number of</w:t>
      </w:r>
      <w:r w:rsidRPr="0CA5132C" w:rsidR="00786B9D">
        <w:rPr>
          <w:rFonts w:cs="Arial"/>
          <w:lang w:val="en-US"/>
        </w:rPr>
        <w:t xml:space="preserve"> terms are used with </w:t>
      </w:r>
      <w:r w:rsidRPr="0CA5132C" w:rsidR="00786B9D">
        <w:rPr>
          <w:rFonts w:cs="Arial"/>
          <w:lang w:val="en-US"/>
        </w:rPr>
        <w:t>an initial</w:t>
      </w:r>
      <w:r w:rsidRPr="0CA5132C" w:rsidR="00786B9D">
        <w:rPr>
          <w:rFonts w:cs="Arial"/>
          <w:lang w:val="en-US"/>
        </w:rPr>
        <w:t xml:space="preserve"> capital letter. These terms have the meaning given to them in the ARVODI-20</w:t>
      </w:r>
      <w:r w:rsidRPr="0CA5132C" w:rsidR="2180555B">
        <w:rPr>
          <w:rFonts w:cs="Arial"/>
          <w:lang w:val="en-US"/>
        </w:rPr>
        <w:t xml:space="preserve">18 </w:t>
      </w:r>
      <w:r w:rsidRPr="0CA5132C" w:rsidR="00786B9D">
        <w:rPr>
          <w:rFonts w:cs="Arial"/>
          <w:lang w:val="en-US"/>
        </w:rPr>
        <w:t xml:space="preserve">or the Regulation, on the understanding that </w:t>
      </w:r>
      <w:r w:rsidRPr="0CA5132C" w:rsidR="00786B9D">
        <w:rPr>
          <w:rFonts w:cs="Arial"/>
          <w:lang w:val="en-US"/>
        </w:rPr>
        <w:t>a number of</w:t>
      </w:r>
      <w:r w:rsidRPr="0CA5132C" w:rsidR="00786B9D">
        <w:rPr>
          <w:rFonts w:cs="Arial"/>
          <w:lang w:val="en-US"/>
        </w:rPr>
        <w:t xml:space="preserve"> terms are focused on the Data Processing Agreement. Thus, and in addition thereto, the following terms, regardless of whether they are used in the plural or singular, or as a verb or noun, are understood in this Data Processing Agreement to mean:</w:t>
      </w:r>
    </w:p>
    <w:p w:rsidRPr="00471AA7" w:rsidR="00786B9D" w:rsidP="00786B9D" w:rsidRDefault="00786B9D" w14:paraId="0F2EA996" w14:textId="14E51498">
      <w:pPr>
        <w:suppressAutoHyphens/>
        <w:ind w:right="-1"/>
        <w:rPr>
          <w:rFonts w:cs="Arial"/>
          <w:szCs w:val="18"/>
          <w:lang w:val="en-US"/>
        </w:rPr>
      </w:pPr>
      <w:r w:rsidRPr="00471AA7">
        <w:rPr>
          <w:rFonts w:cs="Arial"/>
          <w:szCs w:val="18"/>
          <w:lang w:val="en-US"/>
        </w:rPr>
        <w:t xml:space="preserve"> </w:t>
      </w:r>
    </w:p>
    <w:p w:rsidRPr="00471AA7" w:rsidR="002875EA" w:rsidP="00A6396C" w:rsidRDefault="002875EA" w14:paraId="2B2F9D48" w14:textId="7564D26F">
      <w:pPr>
        <w:spacing w:line="276" w:lineRule="auto"/>
        <w:rPr>
          <w:rFonts w:cs="Arial"/>
          <w:szCs w:val="18"/>
          <w:lang w:val="en-US"/>
        </w:rPr>
      </w:pPr>
    </w:p>
    <w:p w:rsidRPr="00471AA7" w:rsidR="00EC13DC" w:rsidP="0CA5132C" w:rsidRDefault="00EC13DC" w14:paraId="37E9D8BF" w14:textId="0D7FD6A6">
      <w:pPr>
        <w:pStyle w:val="Lijstalinea"/>
        <w:numPr>
          <w:ilvl w:val="1"/>
          <w:numId w:val="19"/>
        </w:numPr>
        <w:rPr>
          <w:lang w:val="en-US"/>
        </w:rPr>
      </w:pPr>
      <w:r w:rsidRPr="0CA5132C" w:rsidR="00EC13DC">
        <w:rPr>
          <w:rFonts w:cs="Arial"/>
          <w:u w:val="single"/>
          <w:lang w:val="en-US"/>
        </w:rPr>
        <w:t>ARVODI-20</w:t>
      </w:r>
      <w:r w:rsidRPr="0CA5132C" w:rsidR="6CC7828C">
        <w:rPr>
          <w:rFonts w:cs="Arial"/>
          <w:u w:val="single"/>
          <w:lang w:val="en-US"/>
        </w:rPr>
        <w:t>18</w:t>
      </w:r>
      <w:r w:rsidRPr="0CA5132C" w:rsidR="00EC13DC">
        <w:rPr>
          <w:rFonts w:cs="Arial"/>
          <w:lang w:val="en-US"/>
        </w:rPr>
        <w:t xml:space="preserve">: </w:t>
      </w:r>
      <w:r w:rsidRPr="0CA5132C" w:rsidR="00EC13DC">
        <w:rPr>
          <w:lang w:val="en-US"/>
        </w:rPr>
        <w:t>General Government Terms and Conditions for the Granting of Assignments to Perform Services 20</w:t>
      </w:r>
      <w:r w:rsidRPr="0CA5132C" w:rsidR="0BC6B06C">
        <w:rPr>
          <w:lang w:val="en-US"/>
        </w:rPr>
        <w:t>18</w:t>
      </w:r>
      <w:r w:rsidRPr="0CA5132C" w:rsidR="00EC13DC">
        <w:rPr>
          <w:lang w:val="en-US"/>
        </w:rPr>
        <w:t>.</w:t>
      </w:r>
    </w:p>
    <w:p w:rsidRPr="00471AA7" w:rsidR="00EC13DC" w:rsidP="008D5A0C" w:rsidRDefault="00EC13DC" w14:paraId="09101777" w14:textId="77777777">
      <w:pPr>
        <w:pStyle w:val="Lijstalinea"/>
        <w:ind w:left="705"/>
        <w:rPr>
          <w:rFonts w:cs="Arial"/>
          <w:szCs w:val="18"/>
          <w:lang w:val="en-US"/>
        </w:rPr>
      </w:pPr>
    </w:p>
    <w:p w:rsidRPr="00471AA7" w:rsidR="004A4CAE" w:rsidP="008D5A0C" w:rsidRDefault="002875EA" w14:paraId="5CB18C8D" w14:textId="6E5A7D2A">
      <w:pPr>
        <w:rPr>
          <w:szCs w:val="18"/>
          <w:lang w:val="en-US"/>
        </w:rPr>
      </w:pPr>
      <w:r w:rsidRPr="00471AA7">
        <w:rPr>
          <w:szCs w:val="18"/>
          <w:lang w:val="en-US"/>
        </w:rPr>
        <w:t xml:space="preserve">1.2 </w:t>
      </w:r>
      <w:r w:rsidRPr="00471AA7">
        <w:rPr>
          <w:szCs w:val="18"/>
          <w:lang w:val="en-US"/>
        </w:rPr>
        <w:tab/>
      </w:r>
      <w:r w:rsidRPr="00471AA7">
        <w:rPr>
          <w:szCs w:val="18"/>
          <w:u w:val="single"/>
          <w:lang w:val="en-US"/>
        </w:rPr>
        <w:t>Person concerned</w:t>
      </w:r>
      <w:r w:rsidRPr="00471AA7">
        <w:rPr>
          <w:szCs w:val="18"/>
          <w:lang w:val="en-US"/>
        </w:rPr>
        <w:t>: the person to whom Personal Data relates.</w:t>
      </w:r>
    </w:p>
    <w:p w:rsidRPr="00471AA7" w:rsidR="004A4CAE" w:rsidP="008D5A0C" w:rsidRDefault="004A4CAE" w14:paraId="2269DC4F" w14:textId="3C9040F6">
      <w:pPr>
        <w:rPr>
          <w:szCs w:val="18"/>
          <w:lang w:val="en-US"/>
        </w:rPr>
      </w:pPr>
    </w:p>
    <w:p w:rsidRPr="00471AA7" w:rsidR="000A3E38" w:rsidP="008D5A0C" w:rsidRDefault="00EC13DC" w14:paraId="0518ECF2" w14:textId="315B762B">
      <w:pPr>
        <w:ind w:left="705" w:hanging="705"/>
        <w:rPr>
          <w:szCs w:val="18"/>
          <w:lang w:val="en-US"/>
        </w:rPr>
      </w:pPr>
      <w:r w:rsidRPr="00471AA7">
        <w:rPr>
          <w:szCs w:val="18"/>
          <w:lang w:val="en-US"/>
        </w:rPr>
        <w:t>1.3</w:t>
      </w:r>
      <w:r w:rsidRPr="00471AA7" w:rsidR="000A3E38">
        <w:rPr>
          <w:szCs w:val="18"/>
          <w:lang w:val="en-US"/>
        </w:rPr>
        <w:tab/>
      </w:r>
      <w:r w:rsidRPr="004114A7" w:rsidR="00B93B18">
        <w:rPr>
          <w:szCs w:val="18"/>
          <w:u w:val="single"/>
          <w:lang w:val="en-US"/>
        </w:rPr>
        <w:t>EEA</w:t>
      </w:r>
      <w:r w:rsidR="00B93B18">
        <w:rPr>
          <w:szCs w:val="18"/>
          <w:lang w:val="en-US"/>
        </w:rPr>
        <w:t xml:space="preserve">: </w:t>
      </w:r>
      <w:r w:rsidRPr="00471AA7" w:rsidR="000A3E38">
        <w:rPr>
          <w:szCs w:val="18"/>
          <w:lang w:val="en-US"/>
        </w:rPr>
        <w:t>European Economic Area, i.e. all EU countries plus Liechtenstein, Norway and Iceland.</w:t>
      </w:r>
    </w:p>
    <w:p w:rsidRPr="00471AA7" w:rsidR="000A3E38" w:rsidP="008D5A0C" w:rsidRDefault="000A3E38" w14:paraId="0C99C7E0" w14:textId="77777777">
      <w:pPr>
        <w:rPr>
          <w:szCs w:val="18"/>
          <w:lang w:val="en-US"/>
        </w:rPr>
      </w:pPr>
    </w:p>
    <w:p w:rsidRPr="00471AA7" w:rsidR="002875EA" w:rsidP="008D5A0C" w:rsidRDefault="002875EA" w14:paraId="5235896E" w14:textId="04614700">
      <w:pPr>
        <w:ind w:left="705" w:hanging="705"/>
        <w:rPr>
          <w:szCs w:val="18"/>
          <w:lang w:val="en-US"/>
        </w:rPr>
      </w:pPr>
      <w:r w:rsidRPr="00471AA7">
        <w:rPr>
          <w:szCs w:val="18"/>
          <w:lang w:val="en-US"/>
        </w:rPr>
        <w:t>1.4</w:t>
      </w:r>
      <w:r w:rsidRPr="00471AA7">
        <w:rPr>
          <w:szCs w:val="18"/>
          <w:lang w:val="en-US"/>
        </w:rPr>
        <w:tab/>
      </w:r>
      <w:r w:rsidRPr="00471AA7" w:rsidR="008A5405">
        <w:rPr>
          <w:szCs w:val="18"/>
          <w:u w:val="single"/>
          <w:lang w:val="en-US"/>
        </w:rPr>
        <w:t>Personal Data Breach</w:t>
      </w:r>
      <w:r w:rsidRPr="00471AA7">
        <w:rPr>
          <w:szCs w:val="18"/>
          <w:lang w:val="en-US"/>
        </w:rPr>
        <w:t xml:space="preserve">: a breach of security that accidentally or unlawfully leads to the destruction, loss, alteration, unauthorized disclosure of, or unauthorized access to, data transmitted, stored or otherwise processed. </w:t>
      </w:r>
    </w:p>
    <w:p w:rsidRPr="00471AA7" w:rsidR="000A3E38" w:rsidP="008D5A0C" w:rsidRDefault="000A3E38" w14:paraId="094471F3" w14:textId="7A131D41">
      <w:pPr>
        <w:rPr>
          <w:szCs w:val="18"/>
          <w:lang w:val="en-US"/>
        </w:rPr>
      </w:pPr>
    </w:p>
    <w:p w:rsidRPr="00471AA7" w:rsidR="000A3E38" w:rsidP="008D5A0C" w:rsidRDefault="00EC13DC" w14:paraId="4A5638F4" w14:textId="30DD1CD3">
      <w:pPr>
        <w:ind w:left="705" w:hanging="705"/>
        <w:rPr>
          <w:szCs w:val="18"/>
          <w:lang w:val="en-US"/>
        </w:rPr>
      </w:pPr>
      <w:r w:rsidRPr="00471AA7">
        <w:rPr>
          <w:szCs w:val="18"/>
          <w:lang w:val="en-US"/>
        </w:rPr>
        <w:t xml:space="preserve">1.5 </w:t>
      </w:r>
      <w:r w:rsidRPr="00471AA7" w:rsidR="000A3E38">
        <w:rPr>
          <w:szCs w:val="18"/>
          <w:lang w:val="en-US"/>
        </w:rPr>
        <w:tab/>
      </w:r>
      <w:r w:rsidRPr="00471AA7" w:rsidR="000A3E38">
        <w:rPr>
          <w:szCs w:val="18"/>
          <w:u w:val="single"/>
          <w:lang w:val="en-US"/>
        </w:rPr>
        <w:t>Recipient</w:t>
      </w:r>
      <w:r w:rsidRPr="00471AA7" w:rsidR="000A3E38">
        <w:rPr>
          <w:szCs w:val="18"/>
          <w:lang w:val="en-US"/>
        </w:rPr>
        <w:t>: a natural or legal person, public authority, agency or other body, whether a third party or not, to whom the Personal Data are disclosed. However, public authorities that may receive Personal Data in the context of a particular investigation in accordance with Union or Member State law do not qualify as Recipients; the Processing of such data by those public authorities is in accordance with the data protection rules applicable to the respective Processing purpose.</w:t>
      </w:r>
    </w:p>
    <w:p w:rsidRPr="00471AA7" w:rsidR="002875EA" w:rsidP="008D5A0C" w:rsidRDefault="002875EA" w14:paraId="6AE62CC8" w14:textId="77777777">
      <w:pPr>
        <w:rPr>
          <w:szCs w:val="18"/>
          <w:lang w:val="en-US"/>
        </w:rPr>
      </w:pPr>
    </w:p>
    <w:p w:rsidRPr="00471AA7" w:rsidR="00260B08" w:rsidP="008D5A0C" w:rsidRDefault="002875EA" w14:paraId="1B50DD1C" w14:textId="05FC736D">
      <w:pPr>
        <w:ind w:left="705" w:hanging="705"/>
        <w:rPr>
          <w:szCs w:val="18"/>
          <w:lang w:val="en-US"/>
        </w:rPr>
      </w:pPr>
      <w:r w:rsidRPr="00471AA7">
        <w:rPr>
          <w:szCs w:val="18"/>
          <w:lang w:val="en-US"/>
        </w:rPr>
        <w:t>1.6</w:t>
      </w:r>
      <w:r w:rsidRPr="00471AA7">
        <w:rPr>
          <w:szCs w:val="18"/>
          <w:lang w:val="en-US"/>
        </w:rPr>
        <w:tab/>
      </w:r>
      <w:r w:rsidRPr="00471AA7" w:rsidR="00260B08">
        <w:rPr>
          <w:szCs w:val="18"/>
          <w:u w:val="single"/>
          <w:lang w:val="en-US"/>
        </w:rPr>
        <w:t>Agreement</w:t>
      </w:r>
      <w:r w:rsidRPr="00471AA7" w:rsidR="00260B08">
        <w:rPr>
          <w:szCs w:val="18"/>
          <w:lang w:val="en-US"/>
        </w:rPr>
        <w:t>: the agreement between the Client and the Contractor [</w:t>
      </w:r>
      <w:r w:rsidRPr="000A08C5" w:rsidR="00260B08">
        <w:rPr>
          <w:szCs w:val="18"/>
          <w:highlight w:val="cyan"/>
          <w:lang w:val="en-US"/>
        </w:rPr>
        <w:t>title</w:t>
      </w:r>
      <w:r w:rsidRPr="00471AA7" w:rsidR="00260B08">
        <w:rPr>
          <w:szCs w:val="18"/>
          <w:lang w:val="en-US"/>
        </w:rPr>
        <w:t>] of [</w:t>
      </w:r>
      <w:r w:rsidRPr="000A08C5" w:rsidR="00260B08">
        <w:rPr>
          <w:szCs w:val="18"/>
          <w:highlight w:val="cyan"/>
          <w:lang w:val="en-US"/>
        </w:rPr>
        <w:t>date</w:t>
      </w:r>
      <w:r w:rsidRPr="00471AA7" w:rsidR="00260B08">
        <w:rPr>
          <w:szCs w:val="18"/>
          <w:lang w:val="en-US"/>
        </w:rPr>
        <w:t>], with reference [</w:t>
      </w:r>
      <w:r w:rsidRPr="000A08C5" w:rsidR="00260B08">
        <w:rPr>
          <w:szCs w:val="18"/>
          <w:highlight w:val="cyan"/>
          <w:lang w:val="en-US"/>
        </w:rPr>
        <w:t>reference</w:t>
      </w:r>
      <w:r w:rsidRPr="00471AA7" w:rsidR="00260B08">
        <w:rPr>
          <w:szCs w:val="18"/>
          <w:lang w:val="en-US"/>
        </w:rPr>
        <w:t>].</w:t>
      </w:r>
    </w:p>
    <w:p w:rsidRPr="00471AA7" w:rsidR="00260B08" w:rsidP="008D5A0C" w:rsidRDefault="00260B08" w14:paraId="083F36BE" w14:textId="77777777">
      <w:pPr>
        <w:rPr>
          <w:szCs w:val="18"/>
          <w:lang w:val="en-US"/>
        </w:rPr>
      </w:pPr>
    </w:p>
    <w:p w:rsidRPr="00471AA7" w:rsidR="002875EA" w:rsidP="008D5A0C" w:rsidRDefault="00260B08" w14:paraId="7C23DA02" w14:textId="23F8671F">
      <w:pPr>
        <w:ind w:left="705" w:hanging="705"/>
        <w:rPr>
          <w:szCs w:val="18"/>
          <w:lang w:val="en-US"/>
        </w:rPr>
      </w:pPr>
      <w:r w:rsidRPr="00471AA7">
        <w:rPr>
          <w:szCs w:val="18"/>
          <w:lang w:val="en-US"/>
        </w:rPr>
        <w:t xml:space="preserve">1.7 </w:t>
      </w:r>
      <w:r w:rsidRPr="00471AA7">
        <w:rPr>
          <w:szCs w:val="18"/>
          <w:lang w:val="en-US"/>
        </w:rPr>
        <w:tab/>
      </w:r>
      <w:r w:rsidRPr="00471AA7" w:rsidR="002875EA">
        <w:rPr>
          <w:szCs w:val="18"/>
          <w:u w:val="single"/>
          <w:lang w:val="en-US"/>
        </w:rPr>
        <w:t>Personal data</w:t>
      </w:r>
      <w:r w:rsidRPr="00471AA7" w:rsidR="002875EA">
        <w:rPr>
          <w:szCs w:val="18"/>
          <w:lang w:val="en-US"/>
        </w:rPr>
        <w:t>: all information about an identified or identifiable natural person that the Contractor Processes on behalf of the Client in the context of the Agreement.</w:t>
      </w:r>
      <w:r w:rsidRPr="00471AA7" w:rsidR="004D7614">
        <w:rPr>
          <w:szCs w:val="18"/>
          <w:lang w:val="en-US"/>
        </w:rPr>
        <w:tab/>
      </w:r>
    </w:p>
    <w:p w:rsidRPr="00471AA7" w:rsidR="000A3E38" w:rsidP="008D5A0C" w:rsidRDefault="000A3E38" w14:paraId="58C34C8B" w14:textId="6C0DC879">
      <w:pPr>
        <w:rPr>
          <w:szCs w:val="18"/>
          <w:lang w:val="en-US"/>
        </w:rPr>
      </w:pPr>
    </w:p>
    <w:p w:rsidRPr="00471AA7" w:rsidR="000A3E38" w:rsidP="008D5A0C" w:rsidRDefault="00EC13DC" w14:paraId="67D0C057" w14:textId="5C22563E">
      <w:pPr>
        <w:ind w:left="705" w:hanging="705"/>
        <w:rPr>
          <w:szCs w:val="18"/>
          <w:lang w:val="en-US"/>
        </w:rPr>
      </w:pPr>
      <w:r w:rsidRPr="00471AA7">
        <w:rPr>
          <w:szCs w:val="18"/>
          <w:lang w:val="en-US"/>
        </w:rPr>
        <w:t>1.8</w:t>
      </w:r>
      <w:r w:rsidRPr="00471AA7" w:rsidR="000A3E38">
        <w:rPr>
          <w:szCs w:val="18"/>
          <w:lang w:val="en-US"/>
        </w:rPr>
        <w:tab/>
      </w:r>
      <w:r w:rsidRPr="00471AA7" w:rsidR="000A3E38">
        <w:rPr>
          <w:szCs w:val="18"/>
          <w:u w:val="single"/>
          <w:lang w:val="en-US"/>
        </w:rPr>
        <w:t>Supervisory authority</w:t>
      </w:r>
      <w:r w:rsidRPr="00471AA7" w:rsidR="000A3E38">
        <w:rPr>
          <w:szCs w:val="18"/>
          <w:lang w:val="en-US"/>
        </w:rPr>
        <w:t>: an independent public authority established by a Member State pursuant to Article 51 of the Regulation.</w:t>
      </w:r>
    </w:p>
    <w:p w:rsidRPr="00471AA7" w:rsidR="00786B9D" w:rsidP="008D5A0C" w:rsidRDefault="00786B9D" w14:paraId="1F623884" w14:textId="77777777">
      <w:pPr>
        <w:rPr>
          <w:szCs w:val="18"/>
          <w:lang w:val="en-US"/>
        </w:rPr>
      </w:pPr>
    </w:p>
    <w:p w:rsidRPr="00471AA7" w:rsidR="002875EA" w:rsidP="008D5A0C" w:rsidRDefault="002875EA" w14:paraId="066F6768" w14:textId="7537382C">
      <w:pPr>
        <w:ind w:left="705" w:hanging="705"/>
        <w:rPr>
          <w:szCs w:val="18"/>
          <w:lang w:val="en-US"/>
        </w:rPr>
      </w:pPr>
      <w:r w:rsidRPr="00471AA7">
        <w:rPr>
          <w:szCs w:val="18"/>
          <w:lang w:val="en-US"/>
        </w:rPr>
        <w:t>1.9</w:t>
      </w:r>
      <w:r w:rsidRPr="00471AA7">
        <w:rPr>
          <w:szCs w:val="18"/>
          <w:lang w:val="en-US"/>
        </w:rPr>
        <w:tab/>
      </w:r>
      <w:r w:rsidRPr="00471AA7">
        <w:rPr>
          <w:szCs w:val="18"/>
          <w:u w:val="single"/>
          <w:lang w:val="en-US"/>
        </w:rPr>
        <w:t>Regulation</w:t>
      </w:r>
      <w:r w:rsidRPr="00471AA7">
        <w:rPr>
          <w:szCs w:val="18"/>
          <w:lang w:val="en-US"/>
        </w:rPr>
        <w:t>: 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p w:rsidRPr="00471AA7" w:rsidR="000A3E38" w:rsidP="008D5A0C" w:rsidRDefault="000A3E38" w14:paraId="10748975" w14:textId="6A5118C4">
      <w:pPr>
        <w:rPr>
          <w:szCs w:val="18"/>
          <w:lang w:val="en-US"/>
        </w:rPr>
      </w:pPr>
    </w:p>
    <w:p w:rsidRPr="00471AA7" w:rsidR="000A3E38" w:rsidP="008D5A0C" w:rsidRDefault="00EC13DC" w14:paraId="469D9D3E" w14:textId="3A850390">
      <w:pPr>
        <w:ind w:left="705" w:hanging="705"/>
        <w:rPr>
          <w:szCs w:val="18"/>
          <w:lang w:val="en-US"/>
        </w:rPr>
      </w:pPr>
      <w:r w:rsidRPr="00471AA7">
        <w:rPr>
          <w:szCs w:val="18"/>
          <w:lang w:val="en-US"/>
        </w:rPr>
        <w:t>1.10</w:t>
      </w:r>
      <w:r w:rsidRPr="00471AA7" w:rsidR="000A3E38">
        <w:rPr>
          <w:szCs w:val="18"/>
          <w:lang w:val="en-US"/>
        </w:rPr>
        <w:tab/>
      </w:r>
      <w:r w:rsidRPr="00471AA7" w:rsidR="000A3E38">
        <w:rPr>
          <w:szCs w:val="18"/>
          <w:u w:val="single"/>
          <w:lang w:val="en-US"/>
        </w:rPr>
        <w:t>Processor</w:t>
      </w:r>
      <w:r w:rsidRPr="00471AA7" w:rsidR="00EE6729">
        <w:rPr>
          <w:szCs w:val="18"/>
          <w:lang w:val="en-US"/>
        </w:rPr>
        <w:t>: a natural or legal person, public authority, agency or other body which Processes Personal Data on behalf of the Controller.</w:t>
      </w:r>
    </w:p>
    <w:p w:rsidRPr="00471AA7" w:rsidR="002875EA" w:rsidP="008D5A0C" w:rsidRDefault="002875EA" w14:paraId="7ADEAAD0" w14:textId="77777777">
      <w:pPr>
        <w:rPr>
          <w:szCs w:val="18"/>
          <w:lang w:val="en-US"/>
        </w:rPr>
      </w:pPr>
      <w:r w:rsidRPr="00471AA7" w:rsidDel="000E3DF3">
        <w:rPr>
          <w:szCs w:val="18"/>
          <w:u w:val="single"/>
          <w:lang w:val="en-US"/>
        </w:rPr>
        <w:t xml:space="preserve"> </w:t>
      </w:r>
    </w:p>
    <w:p w:rsidRPr="00471AA7" w:rsidR="002875EA" w:rsidP="008D5A0C" w:rsidRDefault="00B17DB6" w14:paraId="4B4BE9F1" w14:textId="6272DB94">
      <w:pPr>
        <w:ind w:left="705" w:hanging="705"/>
        <w:rPr>
          <w:szCs w:val="18"/>
          <w:lang w:val="en-US"/>
        </w:rPr>
      </w:pPr>
      <w:r w:rsidRPr="00471AA7">
        <w:rPr>
          <w:szCs w:val="18"/>
          <w:lang w:val="en-US"/>
        </w:rPr>
        <w:t>1.11</w:t>
      </w:r>
      <w:r w:rsidRPr="00471AA7">
        <w:rPr>
          <w:szCs w:val="18"/>
          <w:lang w:val="en-US"/>
        </w:rPr>
        <w:tab/>
      </w:r>
      <w:r w:rsidRPr="00471AA7" w:rsidR="002875EA">
        <w:rPr>
          <w:szCs w:val="18"/>
          <w:u w:val="single"/>
          <w:lang w:val="en-US"/>
        </w:rPr>
        <w:t>Data processing agreement</w:t>
      </w:r>
      <w:r w:rsidRPr="00471AA7" w:rsidR="002875EA">
        <w:rPr>
          <w:szCs w:val="18"/>
          <w:lang w:val="en-US"/>
        </w:rPr>
        <w:t>: this Agreement including recitals and its appendices.</w:t>
      </w:r>
    </w:p>
    <w:p w:rsidRPr="00471AA7" w:rsidR="00EE6729" w:rsidP="008D5A0C" w:rsidRDefault="00EE6729" w14:paraId="7F5FAAE3" w14:textId="72891122">
      <w:pPr>
        <w:rPr>
          <w:szCs w:val="18"/>
          <w:lang w:val="en-US"/>
        </w:rPr>
      </w:pPr>
    </w:p>
    <w:p w:rsidRPr="00471AA7" w:rsidR="002875EA" w:rsidP="008D5A0C" w:rsidRDefault="00B17DB6" w14:paraId="4430D757" w14:textId="6B5EB6AC">
      <w:pPr>
        <w:ind w:left="705" w:hanging="705"/>
        <w:rPr>
          <w:szCs w:val="18"/>
          <w:lang w:val="en-US"/>
        </w:rPr>
      </w:pPr>
      <w:r w:rsidRPr="00471AA7">
        <w:rPr>
          <w:szCs w:val="18"/>
          <w:lang w:val="en-US"/>
        </w:rPr>
        <w:t>1.12</w:t>
      </w:r>
      <w:r w:rsidRPr="00471AA7">
        <w:rPr>
          <w:szCs w:val="18"/>
          <w:lang w:val="en-US"/>
        </w:rPr>
        <w:tab/>
      </w:r>
      <w:r w:rsidRPr="00471AA7" w:rsidR="002875EA">
        <w:rPr>
          <w:szCs w:val="18"/>
          <w:u w:val="single"/>
          <w:lang w:val="en-US"/>
        </w:rPr>
        <w:t>Processing</w:t>
      </w:r>
      <w:r w:rsidRPr="00471AA7" w:rsidR="002875EA">
        <w:rPr>
          <w:szCs w:val="18"/>
          <w:lang w:val="en-US"/>
        </w:rPr>
        <w:t>: any operation or set of operations carried out under the Agreement on Personal Data, or a set of Personal Data, whether or not by automated means, such as collection, recording, organisation, structuring, storage, adaptation or alteration, retrieval, consultation, use, disclosure by transmission, dissemination or otherwise making available, alignment or combination,  blocking, erasing or destroying data.</w:t>
      </w:r>
    </w:p>
    <w:p w:rsidRPr="00471AA7" w:rsidR="00EE6729" w:rsidP="008D5A0C" w:rsidRDefault="00EE6729" w14:paraId="00035F6F" w14:textId="732576D6">
      <w:pPr>
        <w:rPr>
          <w:szCs w:val="18"/>
          <w:lang w:val="en-US"/>
        </w:rPr>
      </w:pPr>
    </w:p>
    <w:p w:rsidRPr="00471AA7" w:rsidR="00EE6729" w:rsidP="008D5A0C" w:rsidRDefault="00EC13DC" w14:paraId="7F4CE8AC" w14:textId="1CD1D54A">
      <w:pPr>
        <w:ind w:left="705" w:hanging="705"/>
        <w:rPr>
          <w:szCs w:val="18"/>
          <w:lang w:val="en-US"/>
        </w:rPr>
      </w:pPr>
      <w:r w:rsidRPr="00471AA7">
        <w:rPr>
          <w:szCs w:val="18"/>
          <w:lang w:val="en-US"/>
        </w:rPr>
        <w:t>1.13</w:t>
      </w:r>
      <w:r w:rsidRPr="00471AA7" w:rsidR="00EE6729">
        <w:rPr>
          <w:szCs w:val="18"/>
          <w:lang w:val="en-US"/>
        </w:rPr>
        <w:tab/>
      </w:r>
      <w:r w:rsidRPr="00471AA7" w:rsidR="00EE6729">
        <w:rPr>
          <w:szCs w:val="18"/>
          <w:u w:val="single"/>
          <w:lang w:val="en-US"/>
        </w:rPr>
        <w:t>Data controller</w:t>
      </w:r>
      <w:r w:rsidRPr="00471AA7" w:rsidR="00EE6729">
        <w:rPr>
          <w:szCs w:val="18"/>
          <w:lang w:val="en-US"/>
        </w:rPr>
        <w:t>: a natural or legal person, public authority, agency or other body which, alone or jointly with others, determines the purposes and means of the Processing of Personal Data; where the purposes and means of such Processing are determined by Union or Member State law, the Controller may be identified or the criteria for its designation.</w:t>
      </w:r>
    </w:p>
    <w:p w:rsidRPr="00471AA7" w:rsidR="003063A4" w:rsidP="009D4F2B" w:rsidRDefault="003063A4" w14:paraId="20C20617" w14:textId="77777777">
      <w:pPr>
        <w:spacing w:line="276" w:lineRule="auto"/>
        <w:rPr>
          <w:szCs w:val="18"/>
          <w:lang w:val="en-US"/>
        </w:rPr>
      </w:pPr>
    </w:p>
    <w:p w:rsidRPr="00471AA7" w:rsidR="00A6396C" w:rsidP="00A6396C" w:rsidRDefault="002A54AA" w14:paraId="4E705FE5" w14:textId="77777777">
      <w:pPr>
        <w:pStyle w:val="Kop3"/>
        <w:rPr>
          <w:rFonts w:ascii="Verdana" w:hAnsi="Verdana"/>
          <w:sz w:val="18"/>
          <w:szCs w:val="18"/>
          <w:lang w:val="en-US"/>
        </w:rPr>
      </w:pPr>
      <w:bookmarkStart w:name="_Toc497994156" w:id="23"/>
      <w:bookmarkStart w:name="_Toc499733028" w:id="24"/>
      <w:bookmarkStart w:name="_Toc484590371" w:id="25"/>
      <w:bookmarkStart w:name="_Toc484590457" w:id="26"/>
      <w:r w:rsidRPr="00471AA7">
        <w:rPr>
          <w:rFonts w:ascii="Verdana" w:hAnsi="Verdana"/>
          <w:sz w:val="18"/>
          <w:szCs w:val="18"/>
          <w:lang w:val="en-US"/>
        </w:rPr>
        <w:t xml:space="preserve">Article 2. Object of this Data Processing Agreement </w:t>
      </w:r>
      <w:bookmarkEnd w:id="23"/>
      <w:bookmarkEnd w:id="24"/>
    </w:p>
    <w:bookmarkEnd w:id="25"/>
    <w:bookmarkEnd w:id="26"/>
    <w:p w:rsidRPr="00471AA7" w:rsidR="002875EA" w:rsidP="008D5A0C" w:rsidRDefault="002875EA" w14:paraId="481BAF3B" w14:textId="3AA744ED">
      <w:pPr>
        <w:ind w:left="705" w:hanging="705"/>
        <w:rPr>
          <w:i/>
          <w:lang w:val="en-US"/>
        </w:rPr>
      </w:pPr>
      <w:r w:rsidRPr="00471AA7">
        <w:rPr>
          <w:szCs w:val="18"/>
          <w:lang w:val="en-US"/>
        </w:rPr>
        <w:t>2.1</w:t>
      </w:r>
      <w:r w:rsidRPr="00471AA7">
        <w:rPr>
          <w:szCs w:val="18"/>
          <w:lang w:val="en-US"/>
        </w:rPr>
        <w:tab/>
      </w:r>
      <w:r w:rsidRPr="00471AA7">
        <w:rPr>
          <w:szCs w:val="18"/>
          <w:lang w:val="en-US"/>
        </w:rPr>
        <w:t xml:space="preserve">This Data Processing Agreement regulates the Processing by the Contractor in the context of the Agreement </w:t>
      </w:r>
      <w:r w:rsidRPr="00471AA7" w:rsidR="007C72F6">
        <w:rPr>
          <w:lang w:val="en-US"/>
        </w:rPr>
        <w:t>and is inextricably linked to the Agreement</w:t>
      </w:r>
      <w:r w:rsidRPr="00471AA7">
        <w:rPr>
          <w:szCs w:val="18"/>
          <w:lang w:val="en-US"/>
        </w:rPr>
        <w:t xml:space="preserve">. </w:t>
      </w:r>
    </w:p>
    <w:p w:rsidRPr="00471AA7" w:rsidR="002875EA" w:rsidP="008D5A0C" w:rsidRDefault="002875EA" w14:paraId="691E3882" w14:textId="77777777">
      <w:pPr>
        <w:rPr>
          <w:i/>
          <w:szCs w:val="18"/>
          <w:lang w:val="en-US"/>
        </w:rPr>
      </w:pPr>
    </w:p>
    <w:p w:rsidRPr="00471AA7" w:rsidR="002875EA" w:rsidP="008D5A0C" w:rsidRDefault="002875EA" w14:paraId="476AB768" w14:textId="3E0C1B27">
      <w:pPr>
        <w:ind w:left="705" w:hanging="705"/>
        <w:rPr>
          <w:szCs w:val="18"/>
          <w:lang w:val="en-US"/>
        </w:rPr>
      </w:pPr>
      <w:r w:rsidRPr="00471AA7">
        <w:rPr>
          <w:szCs w:val="18"/>
          <w:lang w:val="en-US"/>
        </w:rPr>
        <w:t>2.2</w:t>
      </w:r>
      <w:r w:rsidRPr="00471AA7">
        <w:rPr>
          <w:szCs w:val="18"/>
          <w:lang w:val="en-US"/>
        </w:rPr>
        <w:tab/>
      </w:r>
      <w:r w:rsidRPr="00471AA7" w:rsidR="00260B08">
        <w:rPr>
          <w:szCs w:val="18"/>
          <w:lang w:val="en-US"/>
        </w:rPr>
        <w:t xml:space="preserve">The nature and purpose of the Processing, the type of Personal Data and the categories of Personal Data, Data Subjects and Recipients are described in Appendix 1. </w:t>
      </w:r>
    </w:p>
    <w:p w:rsidRPr="00471AA7" w:rsidR="00AD703F" w:rsidP="008D5A0C" w:rsidRDefault="00AD703F" w14:paraId="640AE500" w14:textId="77777777">
      <w:pPr>
        <w:rPr>
          <w:szCs w:val="18"/>
          <w:lang w:val="en-US"/>
        </w:rPr>
      </w:pPr>
    </w:p>
    <w:p w:rsidRPr="00471AA7" w:rsidR="00AD703F" w:rsidP="008D5A0C" w:rsidRDefault="00AD703F" w14:paraId="11001123" w14:textId="03FD3A6D">
      <w:pPr>
        <w:ind w:left="705" w:hanging="705"/>
        <w:rPr>
          <w:szCs w:val="18"/>
          <w:lang w:val="en-US"/>
        </w:rPr>
      </w:pPr>
      <w:r w:rsidRPr="00471AA7">
        <w:rPr>
          <w:szCs w:val="18"/>
          <w:lang w:val="en-US"/>
        </w:rPr>
        <w:t>2.3</w:t>
      </w:r>
      <w:r w:rsidRPr="00471AA7">
        <w:rPr>
          <w:szCs w:val="18"/>
          <w:lang w:val="en-US"/>
        </w:rPr>
        <w:tab/>
      </w:r>
      <w:r w:rsidRPr="00471AA7" w:rsidR="005B5660">
        <w:rPr>
          <w:szCs w:val="18"/>
          <w:lang w:val="en-US"/>
        </w:rPr>
        <w:t>The Contractor guarantees the application of appropriate technical and organizational measures to ensure that the Processing meets the requirements of the Regulation and the protection of the rights of the Data Subject is guaranteed.</w:t>
      </w:r>
    </w:p>
    <w:p w:rsidRPr="00471AA7" w:rsidR="00131571" w:rsidP="008D5A0C" w:rsidRDefault="00131571" w14:paraId="4A9E20EA" w14:textId="77777777">
      <w:pPr>
        <w:rPr>
          <w:szCs w:val="18"/>
          <w:lang w:val="en-US"/>
        </w:rPr>
      </w:pPr>
    </w:p>
    <w:p w:rsidRPr="00471AA7" w:rsidR="00131571" w:rsidP="008D5A0C" w:rsidRDefault="00131571" w14:paraId="2F618980" w14:textId="18E79E3B">
      <w:pPr>
        <w:ind w:left="705" w:hanging="705"/>
        <w:rPr>
          <w:szCs w:val="18"/>
          <w:lang w:val="en-US"/>
        </w:rPr>
      </w:pPr>
      <w:r w:rsidRPr="00471AA7">
        <w:rPr>
          <w:szCs w:val="18"/>
          <w:lang w:val="en-US"/>
        </w:rPr>
        <w:t>2.4</w:t>
      </w:r>
      <w:r w:rsidRPr="00471AA7">
        <w:rPr>
          <w:szCs w:val="18"/>
          <w:lang w:val="en-US"/>
        </w:rPr>
        <w:tab/>
      </w:r>
      <w:r w:rsidRPr="00471AA7" w:rsidR="005B5660">
        <w:rPr>
          <w:szCs w:val="18"/>
          <w:lang w:val="en-US"/>
        </w:rPr>
        <w:t>The Contractor guarantees to comply with the requirements of the applicable laws and regulations regarding the Processing.</w:t>
      </w:r>
    </w:p>
    <w:p w:rsidRPr="00471AA7" w:rsidR="003063A4" w:rsidP="00A6396C" w:rsidRDefault="003063A4" w14:paraId="4BE4BAD5" w14:textId="77777777">
      <w:pPr>
        <w:spacing w:line="276" w:lineRule="auto"/>
        <w:rPr>
          <w:szCs w:val="18"/>
          <w:lang w:val="en-US"/>
        </w:rPr>
      </w:pPr>
    </w:p>
    <w:p w:rsidRPr="00471AA7" w:rsidR="007538D1" w:rsidP="00A6396C" w:rsidRDefault="002A54AA" w14:paraId="20E05439" w14:textId="3F33DAE1">
      <w:pPr>
        <w:pStyle w:val="Kop3"/>
        <w:rPr>
          <w:rFonts w:ascii="Verdana" w:hAnsi="Verdana"/>
          <w:color w:val="FF0000"/>
          <w:sz w:val="18"/>
          <w:szCs w:val="18"/>
          <w:lang w:val="en-US"/>
        </w:rPr>
      </w:pPr>
      <w:bookmarkStart w:name="_Toc497994157" w:id="27"/>
      <w:bookmarkStart w:name="_Toc484590372" w:id="28"/>
      <w:bookmarkStart w:name="_Toc484590458" w:id="29"/>
      <w:bookmarkStart w:name="_Toc499733029" w:id="30"/>
      <w:r w:rsidRPr="00471AA7">
        <w:rPr>
          <w:rFonts w:ascii="Verdana" w:hAnsi="Verdana"/>
          <w:sz w:val="18"/>
          <w:szCs w:val="18"/>
          <w:lang w:val="en-US"/>
        </w:rPr>
        <w:t>Article 3. Entry into force and duration</w:t>
      </w:r>
      <w:bookmarkEnd w:id="27"/>
      <w:bookmarkEnd w:id="28"/>
      <w:bookmarkEnd w:id="29"/>
      <w:bookmarkEnd w:id="30"/>
    </w:p>
    <w:p w:rsidRPr="00471AA7" w:rsidR="002875EA" w:rsidP="008D5A0C" w:rsidRDefault="009356C7" w14:paraId="590BD630" w14:textId="77777777">
      <w:pPr>
        <w:ind w:left="709" w:hanging="709"/>
        <w:rPr>
          <w:szCs w:val="18"/>
          <w:lang w:val="en-US"/>
        </w:rPr>
      </w:pPr>
      <w:r w:rsidRPr="00471AA7">
        <w:rPr>
          <w:szCs w:val="18"/>
          <w:lang w:val="en-US"/>
        </w:rPr>
        <w:t>3.1</w:t>
      </w:r>
      <w:r w:rsidRPr="00471AA7" w:rsidR="00B17DB6">
        <w:rPr>
          <w:szCs w:val="18"/>
          <w:lang w:val="en-US"/>
        </w:rPr>
        <w:tab/>
      </w:r>
      <w:r w:rsidRPr="00471AA7" w:rsidR="002875EA">
        <w:rPr>
          <w:szCs w:val="18"/>
          <w:lang w:val="en-US"/>
        </w:rPr>
        <w:t>This Data Processing Agreement enters into force at the time it is signed by the Parties.</w:t>
      </w:r>
    </w:p>
    <w:p w:rsidRPr="00471AA7" w:rsidR="002875EA" w:rsidP="008D5A0C" w:rsidRDefault="002875EA" w14:paraId="3624D438" w14:textId="77777777">
      <w:pPr>
        <w:ind w:left="709" w:hanging="709"/>
        <w:rPr>
          <w:szCs w:val="18"/>
          <w:lang w:val="en-US"/>
        </w:rPr>
      </w:pPr>
    </w:p>
    <w:p w:rsidRPr="00471AA7" w:rsidR="002875EA" w:rsidP="008D5A0C" w:rsidRDefault="009356C7" w14:paraId="3DEE2795" w14:textId="20168FA4">
      <w:pPr>
        <w:ind w:left="709" w:hanging="709"/>
        <w:rPr>
          <w:szCs w:val="18"/>
          <w:lang w:val="en-US"/>
        </w:rPr>
      </w:pPr>
      <w:r w:rsidRPr="00471AA7">
        <w:rPr>
          <w:szCs w:val="18"/>
          <w:lang w:val="en-US"/>
        </w:rPr>
        <w:t xml:space="preserve">3.2 </w:t>
      </w:r>
      <w:r w:rsidRPr="00471AA7" w:rsidR="00B17DB6">
        <w:rPr>
          <w:szCs w:val="18"/>
          <w:lang w:val="en-US"/>
        </w:rPr>
        <w:tab/>
      </w:r>
      <w:r w:rsidRPr="00471AA7" w:rsidR="005B5660">
        <w:rPr>
          <w:szCs w:val="18"/>
          <w:lang w:val="en-US"/>
        </w:rPr>
        <w:t>This Data Processing Agreement ends after the Contractor has erased and returned all Personal Data and has deleted existing copies with due observance of Article 10 of this Data Processing Agreement.</w:t>
      </w:r>
    </w:p>
    <w:p w:rsidRPr="00471AA7" w:rsidR="002875EA" w:rsidP="008D5A0C" w:rsidRDefault="002875EA" w14:paraId="747164A7" w14:textId="77777777">
      <w:pPr>
        <w:rPr>
          <w:szCs w:val="18"/>
          <w:lang w:val="en-US"/>
        </w:rPr>
      </w:pPr>
    </w:p>
    <w:p w:rsidRPr="00471AA7" w:rsidR="002875EA" w:rsidP="008D5A0C" w:rsidRDefault="007F5108" w14:paraId="3D2F5F97" w14:textId="50C93A07">
      <w:pPr>
        <w:ind w:left="705" w:hanging="705"/>
        <w:rPr>
          <w:szCs w:val="18"/>
          <w:lang w:val="en-US"/>
        </w:rPr>
      </w:pPr>
      <w:r w:rsidRPr="00471AA7">
        <w:rPr>
          <w:szCs w:val="18"/>
          <w:lang w:val="en-US"/>
        </w:rPr>
        <w:t>3.3</w:t>
      </w:r>
      <w:r w:rsidRPr="00471AA7" w:rsidR="002875EA">
        <w:rPr>
          <w:szCs w:val="18"/>
          <w:lang w:val="en-US"/>
        </w:rPr>
        <w:tab/>
      </w:r>
      <w:r w:rsidRPr="00471AA7" w:rsidR="006364B4">
        <w:rPr>
          <w:szCs w:val="18"/>
          <w:lang w:val="en-US"/>
        </w:rPr>
        <w:t xml:space="preserve">This Data Processing Agreement cannot be terminated prematurely. </w:t>
      </w:r>
    </w:p>
    <w:p w:rsidRPr="00471AA7" w:rsidR="000028C8" w:rsidP="008D5A0C" w:rsidRDefault="000028C8" w14:paraId="5D7306AF" w14:textId="77777777">
      <w:pPr>
        <w:rPr>
          <w:szCs w:val="18"/>
          <w:lang w:val="en-US"/>
        </w:rPr>
      </w:pPr>
    </w:p>
    <w:p w:rsidRPr="00471AA7" w:rsidR="00A6396C" w:rsidP="00A6396C" w:rsidRDefault="002A54AA" w14:paraId="20D457D2" w14:textId="0D8BF631">
      <w:pPr>
        <w:pStyle w:val="Kop3"/>
        <w:rPr>
          <w:rFonts w:ascii="Verdana" w:hAnsi="Verdana"/>
          <w:sz w:val="18"/>
          <w:szCs w:val="18"/>
          <w:lang w:val="en-US"/>
        </w:rPr>
      </w:pPr>
      <w:bookmarkStart w:name="_Toc497994158" w:id="31"/>
      <w:bookmarkStart w:name="_Toc499733030" w:id="32"/>
      <w:bookmarkStart w:name="_Toc484590373" w:id="33"/>
      <w:bookmarkStart w:name="_Toc484590459" w:id="34"/>
      <w:r w:rsidRPr="00471AA7">
        <w:rPr>
          <w:rFonts w:ascii="Verdana" w:hAnsi="Verdana"/>
          <w:sz w:val="18"/>
          <w:szCs w:val="18"/>
          <w:lang w:val="en-US"/>
        </w:rPr>
        <w:t xml:space="preserve">Article 4. Scope of processing authority of the Contractor </w:t>
      </w:r>
      <w:bookmarkEnd w:id="31"/>
      <w:bookmarkEnd w:id="32"/>
    </w:p>
    <w:bookmarkEnd w:id="33"/>
    <w:bookmarkEnd w:id="34"/>
    <w:p w:rsidRPr="00471AA7" w:rsidR="00372E59" w:rsidP="008D5A0C" w:rsidRDefault="00A86CCB" w14:paraId="177DDD2A" w14:textId="3EE1F151">
      <w:pPr>
        <w:ind w:left="703" w:hanging="703"/>
        <w:rPr>
          <w:rFonts w:cs="Arial"/>
          <w:color w:val="FF0000"/>
          <w:szCs w:val="18"/>
          <w:lang w:val="en-US"/>
        </w:rPr>
      </w:pPr>
      <w:r w:rsidRPr="00471AA7">
        <w:rPr>
          <w:rFonts w:cs="Arial"/>
          <w:szCs w:val="18"/>
          <w:lang w:val="en-US"/>
        </w:rPr>
        <w:t>4.1</w:t>
      </w:r>
      <w:r w:rsidRPr="00471AA7" w:rsidR="00F5102F">
        <w:rPr>
          <w:rFonts w:cs="Arial"/>
          <w:szCs w:val="18"/>
          <w:lang w:val="en-US"/>
        </w:rPr>
        <w:tab/>
      </w:r>
      <w:r w:rsidRPr="00471AA7" w:rsidR="005B5660">
        <w:rPr>
          <w:rFonts w:cs="Arial"/>
          <w:szCs w:val="18"/>
          <w:lang w:val="en-US"/>
        </w:rPr>
        <w:t xml:space="preserve">The Contractor Processes the Personal Data exclusively on behalf of and on the basis of written instructions from the Client, unless a statutory provision applicable to the Contractor obliges the Contractor to Process. In that case, the Contractor will notify the Client of that legal provision prior to the Processing, unless that legal provision prohibits this notification for important reasons of public interest. </w:t>
      </w:r>
    </w:p>
    <w:p w:rsidRPr="00471AA7" w:rsidR="00F5102F" w:rsidP="008D5A0C" w:rsidRDefault="00F73AF3" w14:paraId="794863AB" w14:textId="325E73CC">
      <w:pPr>
        <w:ind w:left="703" w:hanging="703"/>
        <w:rPr>
          <w:rFonts w:cs="Arial"/>
          <w:color w:val="FF0000"/>
          <w:szCs w:val="18"/>
          <w:lang w:val="en-US"/>
        </w:rPr>
      </w:pPr>
      <w:r w:rsidRPr="00471AA7">
        <w:rPr>
          <w:rFonts w:cs="Arial"/>
          <w:szCs w:val="18"/>
          <w:lang w:val="en-US"/>
        </w:rPr>
        <w:tab/>
      </w:r>
    </w:p>
    <w:p w:rsidRPr="00471AA7" w:rsidR="003607FF" w:rsidP="008D5A0C" w:rsidRDefault="00CF20AA" w14:paraId="6924894F" w14:textId="6C8D34BF">
      <w:pPr>
        <w:ind w:left="703" w:hanging="703"/>
        <w:rPr>
          <w:rFonts w:cs="Arial"/>
          <w:szCs w:val="18"/>
          <w:lang w:val="en-US"/>
        </w:rPr>
      </w:pPr>
      <w:r w:rsidRPr="00471AA7">
        <w:rPr>
          <w:rFonts w:cs="Arial"/>
          <w:szCs w:val="18"/>
          <w:lang w:val="en-US"/>
        </w:rPr>
        <w:t xml:space="preserve">4.2 </w:t>
      </w:r>
      <w:r w:rsidRPr="00471AA7" w:rsidR="00F5102F">
        <w:rPr>
          <w:rFonts w:cs="Arial"/>
          <w:szCs w:val="18"/>
          <w:lang w:val="en-US"/>
        </w:rPr>
        <w:tab/>
      </w:r>
      <w:r w:rsidRPr="00471AA7" w:rsidR="005B5660">
        <w:rPr>
          <w:rFonts w:cs="Arial"/>
          <w:szCs w:val="18"/>
          <w:lang w:val="en-US"/>
        </w:rPr>
        <w:t xml:space="preserve">The Contractor has no control over the purpose of and the means of the Processing as referred to in the Regulation. </w:t>
      </w:r>
    </w:p>
    <w:p w:rsidRPr="00471AA7" w:rsidR="004901AE" w:rsidP="00A6396C" w:rsidRDefault="004901AE" w14:paraId="39B49502" w14:textId="77777777">
      <w:pPr>
        <w:spacing w:line="276" w:lineRule="auto"/>
        <w:rPr>
          <w:rFonts w:cs="Arial"/>
          <w:color w:val="FF0000"/>
          <w:szCs w:val="18"/>
          <w:lang w:val="en-US"/>
        </w:rPr>
      </w:pPr>
    </w:p>
    <w:p w:rsidRPr="00471AA7" w:rsidR="00A6396C" w:rsidP="00A6396C" w:rsidRDefault="002A54AA" w14:paraId="5FC54A7C" w14:textId="77777777">
      <w:pPr>
        <w:pStyle w:val="Kop3"/>
        <w:rPr>
          <w:rFonts w:ascii="Verdana" w:hAnsi="Verdana"/>
          <w:sz w:val="18"/>
          <w:szCs w:val="18"/>
          <w:lang w:val="en-US"/>
        </w:rPr>
      </w:pPr>
      <w:bookmarkStart w:name="_Toc497994159" w:id="35"/>
      <w:bookmarkStart w:name="_Toc499733031" w:id="36"/>
      <w:bookmarkStart w:name="_Toc484590374" w:id="37"/>
      <w:bookmarkStart w:name="_Toc484590460" w:id="38"/>
      <w:r w:rsidRPr="00471AA7">
        <w:rPr>
          <w:rFonts w:ascii="Verdana" w:hAnsi="Verdana"/>
          <w:sz w:val="18"/>
          <w:szCs w:val="18"/>
          <w:lang w:val="en-US"/>
        </w:rPr>
        <w:t xml:space="preserve">Article 5. Security of the Processing </w:t>
      </w:r>
      <w:bookmarkEnd w:id="35"/>
      <w:bookmarkEnd w:id="36"/>
    </w:p>
    <w:bookmarkEnd w:id="37"/>
    <w:bookmarkEnd w:id="38"/>
    <w:p w:rsidRPr="00471AA7" w:rsidR="0097702C" w:rsidP="008D5A0C" w:rsidRDefault="001E0D08" w14:paraId="2EC7724E" w14:textId="3A85A521">
      <w:pPr>
        <w:ind w:left="705" w:hanging="705"/>
        <w:rPr>
          <w:rFonts w:cs="Arial"/>
          <w:color w:val="FF0000"/>
          <w:szCs w:val="18"/>
          <w:lang w:val="en-US"/>
        </w:rPr>
      </w:pPr>
      <w:r w:rsidRPr="00471AA7">
        <w:rPr>
          <w:rFonts w:cs="Arial"/>
          <w:szCs w:val="18"/>
          <w:lang w:val="en-US"/>
        </w:rPr>
        <w:t>5.1</w:t>
      </w:r>
      <w:r w:rsidRPr="00471AA7" w:rsidR="00F5102F">
        <w:rPr>
          <w:rFonts w:cs="Arial"/>
          <w:szCs w:val="18"/>
          <w:lang w:val="en-US"/>
        </w:rPr>
        <w:tab/>
      </w:r>
      <w:r w:rsidRPr="00471AA7" w:rsidR="00175938">
        <w:rPr>
          <w:rFonts w:cs="Arial"/>
          <w:szCs w:val="18"/>
          <w:lang w:val="en-US"/>
        </w:rPr>
        <w:t>Without prejudice to Article 2.3 of this Data Processing Agreement, the Contractor shall take the technical and organisational security measures as described in Appendix 2.</w:t>
      </w:r>
    </w:p>
    <w:p w:rsidRPr="00471AA7" w:rsidR="0097702C" w:rsidP="008D5A0C" w:rsidRDefault="0097702C" w14:paraId="3478EC75" w14:textId="77777777">
      <w:pPr>
        <w:rPr>
          <w:rFonts w:cs="Arial"/>
          <w:szCs w:val="18"/>
          <w:lang w:val="en-US"/>
        </w:rPr>
      </w:pPr>
    </w:p>
    <w:p w:rsidRPr="00471AA7" w:rsidR="00131571" w:rsidP="008D5A0C" w:rsidRDefault="00131571" w14:paraId="1E142158" w14:textId="635EE182">
      <w:pPr>
        <w:ind w:left="705" w:hanging="705"/>
        <w:rPr>
          <w:rFonts w:cs="Arial"/>
          <w:szCs w:val="18"/>
          <w:lang w:val="en-US"/>
        </w:rPr>
      </w:pPr>
      <w:r w:rsidRPr="00471AA7">
        <w:rPr>
          <w:rFonts w:cs="Arial"/>
          <w:szCs w:val="18"/>
          <w:lang w:val="en-US"/>
        </w:rPr>
        <w:t>5.2</w:t>
      </w:r>
      <w:r w:rsidRPr="00471AA7">
        <w:rPr>
          <w:rFonts w:cs="Arial"/>
          <w:szCs w:val="18"/>
          <w:lang w:val="en-US"/>
        </w:rPr>
        <w:tab/>
      </w:r>
      <w:r w:rsidRPr="00471AA7">
        <w:rPr>
          <w:rFonts w:cs="Arial"/>
          <w:szCs w:val="18"/>
          <w:lang w:val="en-US"/>
        </w:rPr>
        <w:t>The parties acknowledge that ensuring an appropriate level of security may constantly force additional security measures to be taken. The Contractor guarantees a level of security appropriate to the risk.</w:t>
      </w:r>
    </w:p>
    <w:p w:rsidRPr="00471AA7" w:rsidR="00131571" w:rsidP="008D5A0C" w:rsidRDefault="00131571" w14:paraId="4ABB1B6E" w14:textId="6F1EB7A2">
      <w:pPr>
        <w:rPr>
          <w:rFonts w:cs="Arial"/>
          <w:szCs w:val="18"/>
          <w:lang w:val="en-US"/>
        </w:rPr>
      </w:pPr>
    </w:p>
    <w:p w:rsidRPr="00471AA7" w:rsidR="0097702C" w:rsidP="008D5A0C" w:rsidRDefault="0097702C" w14:paraId="0718234E" w14:textId="660ABBF2">
      <w:pPr>
        <w:ind w:left="705" w:hanging="705"/>
        <w:rPr>
          <w:rFonts w:cs="Arial"/>
          <w:szCs w:val="18"/>
          <w:lang w:val="en-US"/>
        </w:rPr>
      </w:pPr>
      <w:r w:rsidRPr="00471AA7">
        <w:rPr>
          <w:rFonts w:cs="Arial"/>
          <w:szCs w:val="18"/>
          <w:lang w:val="en-US"/>
        </w:rPr>
        <w:t>5.3</w:t>
      </w:r>
      <w:r w:rsidRPr="00471AA7">
        <w:rPr>
          <w:rFonts w:cs="Arial"/>
          <w:szCs w:val="18"/>
          <w:lang w:val="en-US"/>
        </w:rPr>
        <w:tab/>
      </w:r>
      <w:r w:rsidRPr="00471AA7" w:rsidR="00807E90">
        <w:rPr>
          <w:rFonts w:cs="Arial"/>
          <w:szCs w:val="18"/>
          <w:lang w:val="en-US"/>
        </w:rPr>
        <w:t xml:space="preserve">Insofar as the Client expressly requests this in writing, the Contractor will take additional measures with a view to the security of the Personal Data. </w:t>
      </w:r>
    </w:p>
    <w:p w:rsidRPr="00471AA7" w:rsidR="00F5102F" w:rsidP="008D5A0C" w:rsidRDefault="00F5102F" w14:paraId="440F20BB" w14:textId="77777777">
      <w:pPr>
        <w:rPr>
          <w:rFonts w:cs="Arial"/>
          <w:szCs w:val="18"/>
          <w:lang w:val="en-US"/>
        </w:rPr>
      </w:pPr>
    </w:p>
    <w:p w:rsidRPr="00471AA7" w:rsidR="00F5102F" w:rsidP="008D5A0C" w:rsidRDefault="001E0D08" w14:paraId="13678505" w14:textId="4A59BE1B">
      <w:pPr>
        <w:ind w:left="705" w:hanging="705"/>
        <w:rPr>
          <w:rFonts w:cs="Arial"/>
          <w:color w:val="FF0000"/>
          <w:szCs w:val="18"/>
          <w:lang w:val="en-US"/>
        </w:rPr>
      </w:pPr>
      <w:r w:rsidRPr="00471AA7">
        <w:rPr>
          <w:rFonts w:cs="Arial"/>
          <w:szCs w:val="18"/>
          <w:lang w:val="en-US"/>
        </w:rPr>
        <w:t>5.4</w:t>
      </w:r>
      <w:r w:rsidRPr="00471AA7" w:rsidR="00F5102F">
        <w:rPr>
          <w:rFonts w:cs="Arial"/>
          <w:szCs w:val="18"/>
          <w:lang w:val="en-US"/>
        </w:rPr>
        <w:tab/>
      </w:r>
      <w:r w:rsidRPr="00471AA7" w:rsidR="005B5660">
        <w:rPr>
          <w:rFonts w:cs="Arial"/>
          <w:szCs w:val="18"/>
          <w:lang w:val="en-US"/>
        </w:rPr>
        <w:t xml:space="preserve">The Contractor shall not Process Personal Data outside the EEA, unless it has obtained explicit written permission from the Client, if necessary accompanied by further conditions, and subject to deviating legal obligations. </w:t>
      </w:r>
    </w:p>
    <w:p w:rsidRPr="00471AA7" w:rsidR="003A33C4" w:rsidP="008D5A0C" w:rsidRDefault="003A33C4" w14:paraId="0566D78D" w14:textId="77777777">
      <w:pPr>
        <w:rPr>
          <w:rFonts w:cs="Arial"/>
          <w:szCs w:val="18"/>
          <w:lang w:val="en-US"/>
        </w:rPr>
      </w:pPr>
    </w:p>
    <w:p w:rsidRPr="00471AA7" w:rsidR="003A33C4" w:rsidP="008D5A0C" w:rsidRDefault="002F71C6" w14:paraId="556801AE" w14:textId="4B8856D2">
      <w:pPr>
        <w:ind w:left="705" w:hanging="705"/>
        <w:rPr>
          <w:rFonts w:cs="Arial"/>
          <w:szCs w:val="18"/>
          <w:lang w:val="en-US"/>
        </w:rPr>
      </w:pPr>
      <w:r w:rsidRPr="00471AA7">
        <w:rPr>
          <w:rFonts w:cs="Arial"/>
          <w:szCs w:val="18"/>
          <w:lang w:val="en-US"/>
        </w:rPr>
        <w:t>5.5</w:t>
      </w:r>
      <w:r w:rsidRPr="00471AA7" w:rsidR="004E412F">
        <w:rPr>
          <w:rFonts w:cs="Arial"/>
          <w:szCs w:val="18"/>
          <w:lang w:val="en-US"/>
        </w:rPr>
        <w:tab/>
      </w:r>
      <w:r w:rsidRPr="00471AA7" w:rsidR="005B5660">
        <w:rPr>
          <w:rFonts w:cs="Arial"/>
          <w:szCs w:val="18"/>
          <w:lang w:val="en-US"/>
        </w:rPr>
        <w:t xml:space="preserve">The Contractor will inform the Client without unreasonable delay as soon as it has become aware of unlawful Processing of Personal Data or fails to comply with (the compliance with) technical and organisational security measures as referred to in the first and second paragraphs. </w:t>
      </w:r>
    </w:p>
    <w:p w:rsidRPr="00471AA7" w:rsidR="00716AB9" w:rsidP="008D5A0C" w:rsidRDefault="00716AB9" w14:paraId="121558AA" w14:textId="77777777">
      <w:pPr>
        <w:rPr>
          <w:rFonts w:cs="Arial"/>
          <w:szCs w:val="18"/>
          <w:lang w:val="en-US"/>
        </w:rPr>
      </w:pPr>
    </w:p>
    <w:p w:rsidRPr="00471AA7" w:rsidR="00716AB9" w:rsidP="008D5A0C" w:rsidRDefault="00716AB9" w14:paraId="57F72D2D" w14:textId="36123C0F">
      <w:pPr>
        <w:ind w:left="705" w:hanging="705"/>
        <w:rPr>
          <w:rFonts w:cs="Arial"/>
          <w:szCs w:val="18"/>
          <w:lang w:val="en-US"/>
        </w:rPr>
      </w:pPr>
      <w:r w:rsidRPr="00471AA7">
        <w:rPr>
          <w:rFonts w:cs="Arial"/>
          <w:szCs w:val="18"/>
          <w:lang w:val="en-US"/>
        </w:rPr>
        <w:t>5.6</w:t>
      </w:r>
      <w:r w:rsidRPr="00471AA7">
        <w:rPr>
          <w:rFonts w:cs="Arial"/>
          <w:szCs w:val="18"/>
          <w:lang w:val="en-US"/>
        </w:rPr>
        <w:tab/>
      </w:r>
      <w:r w:rsidRPr="00471AA7" w:rsidR="005B5660">
        <w:rPr>
          <w:rFonts w:cs="Arial"/>
          <w:szCs w:val="18"/>
          <w:lang w:val="en-US"/>
        </w:rPr>
        <w:t xml:space="preserve">The Contractor shall assist the Client in ensuring compliance with the obligations pursuant to Articles 32 to 36 of the Regulation. </w:t>
      </w:r>
    </w:p>
    <w:p w:rsidRPr="00471AA7" w:rsidR="00716AB9" w:rsidP="00A6396C" w:rsidRDefault="00716AB9" w14:paraId="408CF2C3" w14:textId="77777777">
      <w:pPr>
        <w:spacing w:line="276" w:lineRule="auto"/>
        <w:rPr>
          <w:rFonts w:cs="Arial"/>
          <w:szCs w:val="18"/>
          <w:lang w:val="en-US"/>
        </w:rPr>
      </w:pPr>
    </w:p>
    <w:p w:rsidRPr="00471AA7" w:rsidR="003A33C4" w:rsidP="00BB2BB8" w:rsidRDefault="002A54AA" w14:paraId="7A49ED64" w14:textId="2D611D8A">
      <w:pPr>
        <w:pStyle w:val="Kop3"/>
        <w:rPr>
          <w:rFonts w:ascii="Verdana" w:hAnsi="Verdana"/>
          <w:color w:val="FF0000"/>
          <w:sz w:val="18"/>
          <w:szCs w:val="18"/>
          <w:lang w:val="en-US"/>
        </w:rPr>
      </w:pPr>
      <w:bookmarkStart w:name="_Toc484590375" w:id="39"/>
      <w:bookmarkStart w:name="_Toc484590461" w:id="40"/>
      <w:bookmarkStart w:name="_Toc497994160" w:id="41"/>
      <w:bookmarkStart w:name="_Toc499733032" w:id="42"/>
      <w:r w:rsidRPr="00471AA7">
        <w:rPr>
          <w:rFonts w:ascii="Verdana" w:hAnsi="Verdana"/>
          <w:sz w:val="18"/>
          <w:szCs w:val="18"/>
          <w:lang w:val="en-US"/>
        </w:rPr>
        <w:t>Article 6. Confidentiality by Contractor Personnel</w:t>
      </w:r>
      <w:bookmarkEnd w:id="39"/>
      <w:bookmarkEnd w:id="40"/>
      <w:bookmarkEnd w:id="41"/>
      <w:bookmarkEnd w:id="42"/>
    </w:p>
    <w:p w:rsidRPr="00471AA7" w:rsidR="00F5102F" w:rsidP="008D5A0C" w:rsidRDefault="008133BD" w14:paraId="01250B45" w14:textId="22745CCD">
      <w:pPr>
        <w:ind w:left="705" w:hanging="705"/>
        <w:rPr>
          <w:rFonts w:cs="Arial"/>
          <w:szCs w:val="18"/>
          <w:lang w:val="en-US"/>
        </w:rPr>
      </w:pPr>
      <w:r w:rsidRPr="00471AA7">
        <w:rPr>
          <w:rFonts w:cs="Arial"/>
          <w:szCs w:val="18"/>
          <w:lang w:val="en-US"/>
        </w:rPr>
        <w:t>6.1</w:t>
      </w:r>
      <w:r w:rsidRPr="00471AA7" w:rsidR="00F5102F">
        <w:rPr>
          <w:rFonts w:cs="Arial"/>
          <w:color w:val="0070C0"/>
          <w:szCs w:val="18"/>
          <w:lang w:val="en-US"/>
        </w:rPr>
        <w:tab/>
      </w:r>
      <w:r w:rsidRPr="00471AA7" w:rsidR="00D15F48">
        <w:rPr>
          <w:rFonts w:cs="Arial"/>
          <w:szCs w:val="18"/>
          <w:lang w:val="en-US"/>
        </w:rPr>
        <w:t xml:space="preserve">The Personal Data are of a confidential nature as referred to in Article 11.1 of the ARVODI-2025. </w:t>
      </w:r>
    </w:p>
    <w:p w:rsidRPr="00471AA7" w:rsidR="00F5102F" w:rsidP="008D5A0C" w:rsidRDefault="00F5102F" w14:paraId="052E05F3" w14:textId="77777777">
      <w:pPr>
        <w:rPr>
          <w:rFonts w:cs="Arial"/>
          <w:szCs w:val="18"/>
          <w:lang w:val="en-US"/>
        </w:rPr>
      </w:pPr>
    </w:p>
    <w:p w:rsidRPr="00471AA7" w:rsidR="00F5102F" w:rsidP="008D5A0C" w:rsidRDefault="008133BD" w14:paraId="51A6F160" w14:textId="0782BB89">
      <w:pPr>
        <w:ind w:left="705" w:hanging="705"/>
        <w:rPr>
          <w:rFonts w:cs="Arial"/>
          <w:szCs w:val="18"/>
          <w:lang w:val="en-US"/>
        </w:rPr>
      </w:pPr>
      <w:r w:rsidRPr="00471AA7">
        <w:rPr>
          <w:rFonts w:cs="Arial"/>
          <w:szCs w:val="18"/>
          <w:lang w:val="en-US"/>
        </w:rPr>
        <w:t>6.2</w:t>
      </w:r>
      <w:r w:rsidRPr="00471AA7" w:rsidR="00F5102F">
        <w:rPr>
          <w:rFonts w:cs="Arial"/>
          <w:szCs w:val="18"/>
          <w:lang w:val="en-US"/>
        </w:rPr>
        <w:tab/>
      </w:r>
      <w:r w:rsidRPr="00471AA7" w:rsidR="005B5660">
        <w:rPr>
          <w:rFonts w:cs="Arial"/>
          <w:szCs w:val="18"/>
          <w:lang w:val="en-US"/>
        </w:rPr>
        <w:t xml:space="preserve">The Contractor guarantees that its Personnel have undertaken to observe confidentiality as referred to in Article 11.2 of the ARVODI-2025.  </w:t>
      </w:r>
    </w:p>
    <w:p w:rsidRPr="00471AA7" w:rsidR="009A7776" w:rsidP="00A6396C" w:rsidRDefault="009A7776" w14:paraId="0C86DAC2" w14:textId="77777777">
      <w:pPr>
        <w:spacing w:line="276" w:lineRule="auto"/>
        <w:rPr>
          <w:rFonts w:cs="Arial"/>
          <w:szCs w:val="18"/>
          <w:lang w:val="en-US"/>
        </w:rPr>
      </w:pPr>
    </w:p>
    <w:p w:rsidRPr="00471AA7" w:rsidR="0050284D" w:rsidP="00A6396C" w:rsidRDefault="002A54AA" w14:paraId="2C8307C4" w14:textId="77777777">
      <w:pPr>
        <w:pStyle w:val="Kop3"/>
        <w:rPr>
          <w:rFonts w:ascii="Verdana" w:hAnsi="Verdana"/>
          <w:sz w:val="18"/>
          <w:szCs w:val="18"/>
          <w:lang w:val="en-US"/>
        </w:rPr>
      </w:pPr>
      <w:bookmarkStart w:name="_Toc484590376" w:id="43"/>
      <w:bookmarkStart w:name="_Toc484590462" w:id="44"/>
      <w:bookmarkStart w:name="_Toc497994161" w:id="45"/>
      <w:bookmarkStart w:name="_Toc499733033" w:id="46"/>
      <w:r w:rsidRPr="00471AA7">
        <w:rPr>
          <w:rFonts w:ascii="Verdana" w:hAnsi="Verdana"/>
          <w:sz w:val="18"/>
          <w:szCs w:val="18"/>
          <w:lang w:val="en-US"/>
        </w:rPr>
        <w:t>Article 7. Sub-processor</w:t>
      </w:r>
      <w:bookmarkEnd w:id="43"/>
      <w:bookmarkEnd w:id="44"/>
      <w:bookmarkEnd w:id="45"/>
      <w:bookmarkEnd w:id="46"/>
    </w:p>
    <w:p w:rsidRPr="00471AA7" w:rsidR="00C27DFD" w:rsidP="008D5A0C" w:rsidRDefault="00F5102F" w14:paraId="39CDA207" w14:textId="54DAB655">
      <w:pPr>
        <w:rPr>
          <w:rFonts w:cs="Arial"/>
          <w:szCs w:val="18"/>
          <w:lang w:val="en-US"/>
        </w:rPr>
      </w:pPr>
      <w:r w:rsidRPr="00471AA7">
        <w:rPr>
          <w:rFonts w:cs="Arial"/>
          <w:szCs w:val="18"/>
          <w:lang w:val="en-US"/>
        </w:rPr>
        <w:t xml:space="preserve">If, with due observance of the provisions of Article 6 of the ARVODI-2025, the Contractor engages another Processor to perform processing activities on behalf of the Client, the same data protection obligations shall be imposed on this other Processor by means of an agreement as those included in this Processing Agreement. </w:t>
      </w:r>
    </w:p>
    <w:p w:rsidRPr="00471AA7" w:rsidR="00F5102F" w:rsidP="00A6396C" w:rsidRDefault="00F5102F" w14:paraId="20CDA662" w14:textId="77777777">
      <w:pPr>
        <w:spacing w:line="276" w:lineRule="auto"/>
        <w:rPr>
          <w:rFonts w:cs="Arial"/>
          <w:szCs w:val="18"/>
          <w:lang w:val="en-US"/>
        </w:rPr>
      </w:pPr>
    </w:p>
    <w:p w:rsidRPr="00471AA7" w:rsidR="00A6396C" w:rsidP="00A715D5" w:rsidRDefault="002A54AA" w14:paraId="0C74CE27" w14:textId="77777777">
      <w:pPr>
        <w:pStyle w:val="Kop3"/>
        <w:rPr>
          <w:rFonts w:ascii="Verdana" w:hAnsi="Verdana"/>
          <w:sz w:val="18"/>
          <w:szCs w:val="18"/>
          <w:lang w:val="en-US"/>
        </w:rPr>
      </w:pPr>
      <w:bookmarkStart w:name="_Toc497994162" w:id="47"/>
      <w:bookmarkStart w:name="_Toc499733034" w:id="48"/>
      <w:bookmarkStart w:name="_Toc484590377" w:id="49"/>
      <w:bookmarkStart w:name="_Toc484590463" w:id="50"/>
      <w:r w:rsidRPr="00471AA7">
        <w:rPr>
          <w:rFonts w:ascii="Verdana" w:hAnsi="Verdana"/>
          <w:sz w:val="18"/>
          <w:szCs w:val="18"/>
          <w:lang w:val="en-US"/>
        </w:rPr>
        <w:t>Article 8. Assistance due to rights of the Data Subject</w:t>
      </w:r>
      <w:bookmarkEnd w:id="47"/>
      <w:bookmarkEnd w:id="48"/>
    </w:p>
    <w:bookmarkEnd w:id="49"/>
    <w:bookmarkEnd w:id="50"/>
    <w:p w:rsidRPr="00471AA7" w:rsidR="0050284D" w:rsidP="008D5A0C" w:rsidRDefault="00822FD5" w14:paraId="78156BC2" w14:textId="39F23122">
      <w:pPr>
        <w:ind w:left="705" w:hanging="705"/>
        <w:rPr>
          <w:rFonts w:cs="Arial"/>
          <w:szCs w:val="18"/>
          <w:lang w:val="en-US"/>
        </w:rPr>
      </w:pPr>
      <w:r w:rsidRPr="00471AA7">
        <w:rPr>
          <w:rFonts w:cs="Arial"/>
          <w:szCs w:val="18"/>
          <w:lang w:val="en-US"/>
        </w:rPr>
        <w:t>8.1</w:t>
      </w:r>
      <w:r w:rsidRPr="00471AA7">
        <w:rPr>
          <w:rFonts w:cs="Arial"/>
          <w:szCs w:val="18"/>
          <w:lang w:val="en-US"/>
        </w:rPr>
        <w:tab/>
      </w:r>
      <w:r w:rsidRPr="00471AA7" w:rsidR="003C630F">
        <w:rPr>
          <w:rFonts w:cs="Arial"/>
          <w:szCs w:val="18"/>
          <w:lang w:val="en-US"/>
        </w:rPr>
        <w:t xml:space="preserve">To the extent possible and taking into account the nature of the Processing by means of appropriate technical and organisational measures, the Contractor shall assist the Client in fulfilling its duty to respond to requests for the exercise of the rights of the Data Subject as laid down in Chapter III of the Regulation. </w:t>
      </w:r>
    </w:p>
    <w:p w:rsidRPr="00471AA7" w:rsidR="00822FD5" w:rsidP="008D5A0C" w:rsidRDefault="00822FD5" w14:paraId="100EFBD4" w14:textId="656CE227">
      <w:pPr>
        <w:rPr>
          <w:rFonts w:cs="Arial"/>
          <w:szCs w:val="18"/>
          <w:lang w:val="en-US"/>
        </w:rPr>
      </w:pPr>
    </w:p>
    <w:p w:rsidRPr="00471AA7" w:rsidR="00822FD5" w:rsidP="008D5A0C" w:rsidRDefault="00822FD5" w14:paraId="1D2CCD0F" w14:textId="03612FE1">
      <w:pPr>
        <w:rPr>
          <w:rFonts w:cs="Arial"/>
          <w:lang w:val="en-US"/>
        </w:rPr>
      </w:pPr>
      <w:r w:rsidRPr="00471AA7">
        <w:rPr>
          <w:rFonts w:cs="Arial"/>
          <w:szCs w:val="18"/>
          <w:lang w:val="en-US"/>
        </w:rPr>
        <w:t>8.2</w:t>
      </w:r>
      <w:r w:rsidRPr="00471AA7">
        <w:rPr>
          <w:rFonts w:cs="Arial"/>
          <w:szCs w:val="18"/>
          <w:lang w:val="en-US"/>
        </w:rPr>
        <w:tab/>
      </w:r>
      <w:r w:rsidRPr="00471AA7" w:rsidR="00793611">
        <w:rPr>
          <w:rFonts w:cs="Arial"/>
          <w:lang w:val="en-US"/>
        </w:rPr>
        <w:t>The parties each bear the costs they themselves incur in connection with the first paragraph.</w:t>
      </w:r>
    </w:p>
    <w:p w:rsidRPr="00471AA7" w:rsidR="008116FC" w:rsidP="008D5A0C" w:rsidRDefault="008116FC" w14:paraId="42767778" w14:textId="55D2214A">
      <w:pPr>
        <w:rPr>
          <w:rFonts w:cs="Arial"/>
          <w:lang w:val="en-US"/>
        </w:rPr>
      </w:pPr>
    </w:p>
    <w:p w:rsidRPr="00471AA7" w:rsidR="008116FC" w:rsidP="008116FC" w:rsidRDefault="008116FC" w14:paraId="795406E5" w14:textId="6C31563E">
      <w:pPr>
        <w:ind w:left="705" w:hanging="705"/>
        <w:rPr>
          <w:rFonts w:cs="Arial"/>
          <w:color w:val="FF0000"/>
          <w:szCs w:val="18"/>
          <w:lang w:val="en-US"/>
        </w:rPr>
      </w:pPr>
      <w:r w:rsidRPr="00471AA7">
        <w:rPr>
          <w:rFonts w:cs="Arial"/>
          <w:lang w:val="en-US"/>
        </w:rPr>
        <w:t>8.3</w:t>
      </w:r>
      <w:r w:rsidRPr="00471AA7">
        <w:rPr>
          <w:rFonts w:cs="Arial"/>
          <w:lang w:val="en-US"/>
        </w:rPr>
        <w:tab/>
      </w:r>
      <w:r w:rsidRPr="00471AA7">
        <w:rPr>
          <w:rStyle w:val="cf01"/>
          <w:rFonts w:ascii="Verdana" w:hAnsi="Verdana"/>
          <w:lang w:val="en-US"/>
        </w:rPr>
        <w:t>The Contractor will send a request from a Data Subject to the Client as soon as possible.</w:t>
      </w:r>
    </w:p>
    <w:p w:rsidRPr="00471AA7" w:rsidR="00BB2BB8" w:rsidP="00A715D5" w:rsidRDefault="00BB2BB8" w14:paraId="68D3D727" w14:textId="77777777">
      <w:pPr>
        <w:spacing w:line="276" w:lineRule="auto"/>
        <w:rPr>
          <w:rFonts w:cs="Arial"/>
          <w:szCs w:val="18"/>
          <w:lang w:val="en-US"/>
        </w:rPr>
      </w:pPr>
    </w:p>
    <w:p w:rsidRPr="00471AA7" w:rsidR="0050284D" w:rsidP="00BB2BB8" w:rsidRDefault="00A715D5" w14:paraId="21F1DFBE" w14:textId="77777777">
      <w:pPr>
        <w:pStyle w:val="Kop3"/>
        <w:rPr>
          <w:rFonts w:ascii="Verdana" w:hAnsi="Verdana"/>
          <w:sz w:val="18"/>
          <w:szCs w:val="18"/>
          <w:lang w:val="en-US"/>
        </w:rPr>
      </w:pPr>
      <w:bookmarkStart w:name="_Toc497994163" w:id="51"/>
      <w:bookmarkStart w:name="_Toc499733035" w:id="52"/>
      <w:r w:rsidRPr="00471AA7">
        <w:rPr>
          <w:rFonts w:ascii="Verdana" w:hAnsi="Verdana"/>
          <w:sz w:val="18"/>
          <w:szCs w:val="18"/>
          <w:lang w:val="en-US"/>
        </w:rPr>
        <w:t>Article 9. Personal Data Breach</w:t>
      </w:r>
      <w:bookmarkEnd w:id="51"/>
      <w:bookmarkEnd w:id="52"/>
    </w:p>
    <w:p w:rsidRPr="00471AA7" w:rsidR="008A5405" w:rsidP="008D5A0C" w:rsidRDefault="00A715D5" w14:paraId="57213711" w14:textId="7C49B1D3">
      <w:pPr>
        <w:ind w:left="705" w:hanging="705"/>
        <w:rPr>
          <w:rFonts w:cs="Arial"/>
          <w:szCs w:val="18"/>
          <w:lang w:val="en-US"/>
        </w:rPr>
      </w:pPr>
      <w:r w:rsidRPr="00471AA7">
        <w:rPr>
          <w:rFonts w:cs="Arial"/>
          <w:szCs w:val="18"/>
          <w:lang w:val="en-US"/>
        </w:rPr>
        <w:t xml:space="preserve">9.1 </w:t>
      </w:r>
      <w:r w:rsidRPr="00471AA7" w:rsidR="0050284D">
        <w:rPr>
          <w:rFonts w:cs="Arial"/>
          <w:szCs w:val="18"/>
          <w:lang w:val="en-US"/>
        </w:rPr>
        <w:tab/>
      </w:r>
      <w:r w:rsidRPr="00471AA7" w:rsidR="005B5660">
        <w:rPr>
          <w:rFonts w:cs="Arial"/>
          <w:szCs w:val="18"/>
          <w:lang w:val="en-US"/>
        </w:rPr>
        <w:t xml:space="preserve">The Contractor will inform the Client without unreasonable delay as soon as it has become aware of a Personal Data Breach, in accordance with the agreements as laid down in Appendix 3. </w:t>
      </w:r>
    </w:p>
    <w:p w:rsidRPr="00471AA7" w:rsidR="0050284D" w:rsidP="008D5A0C" w:rsidRDefault="0050284D" w14:paraId="304A661C" w14:textId="77777777">
      <w:pPr>
        <w:rPr>
          <w:rFonts w:cs="Arial"/>
          <w:szCs w:val="18"/>
          <w:lang w:val="en-US"/>
        </w:rPr>
      </w:pPr>
    </w:p>
    <w:p w:rsidRPr="00471AA7" w:rsidR="0050284D" w:rsidP="008D5A0C" w:rsidRDefault="00A715D5" w14:paraId="313C1F55" w14:textId="1A6E96B5">
      <w:pPr>
        <w:ind w:left="705" w:hanging="705"/>
        <w:rPr>
          <w:rFonts w:cs="Arial"/>
          <w:szCs w:val="18"/>
          <w:lang w:val="en-US"/>
        </w:rPr>
      </w:pPr>
      <w:r w:rsidRPr="00471AA7">
        <w:rPr>
          <w:rFonts w:cs="Arial"/>
          <w:szCs w:val="18"/>
          <w:lang w:val="en-US"/>
        </w:rPr>
        <w:t>9.2</w:t>
      </w:r>
      <w:r w:rsidRPr="00471AA7" w:rsidR="0050284D">
        <w:rPr>
          <w:rFonts w:cs="Arial"/>
          <w:szCs w:val="18"/>
          <w:lang w:val="en-US"/>
        </w:rPr>
        <w:tab/>
      </w:r>
      <w:r w:rsidRPr="00471AA7" w:rsidR="005B5660">
        <w:rPr>
          <w:rFonts w:cs="Arial"/>
          <w:szCs w:val="18"/>
          <w:lang w:val="en-US"/>
        </w:rPr>
        <w:t xml:space="preserve">The Contractor will also inform the Client about developments regarding the Personal Data Breach after a notification pursuant to the first paragraph. </w:t>
      </w:r>
      <w:r w:rsidRPr="00471AA7" w:rsidR="0050284D">
        <w:rPr>
          <w:rFonts w:cs="Arial"/>
          <w:szCs w:val="18"/>
          <w:lang w:val="en-US"/>
        </w:rPr>
        <w:br/>
      </w:r>
    </w:p>
    <w:p w:rsidRPr="00471AA7" w:rsidR="00C1060E" w:rsidP="008D5A0C" w:rsidRDefault="008F0721" w14:paraId="10373515" w14:textId="55D6B53A">
      <w:pPr>
        <w:ind w:left="705" w:hanging="705"/>
        <w:rPr>
          <w:rFonts w:cs="Arial"/>
          <w:szCs w:val="18"/>
          <w:lang w:val="en-US"/>
        </w:rPr>
      </w:pPr>
      <w:r w:rsidRPr="00471AA7">
        <w:rPr>
          <w:rFonts w:cs="Arial"/>
          <w:szCs w:val="18"/>
          <w:lang w:val="en-US"/>
        </w:rPr>
        <w:t>9.3</w:t>
      </w:r>
      <w:r w:rsidRPr="00471AA7" w:rsidR="0050284D">
        <w:rPr>
          <w:rFonts w:cs="Arial"/>
          <w:szCs w:val="18"/>
          <w:lang w:val="en-US"/>
        </w:rPr>
        <w:tab/>
      </w:r>
      <w:bookmarkStart w:name="_Hlk155799300" w:id="53"/>
      <w:r w:rsidRPr="00471AA7" w:rsidR="00E823B7">
        <w:rPr>
          <w:rStyle w:val="cf01"/>
          <w:rFonts w:ascii="Verdana" w:hAnsi="Verdana"/>
          <w:lang w:val="en-US"/>
        </w:rPr>
        <w:t>The parties shall each bear the costs incurred by themselves in connection with the Personal Data Breach.</w:t>
      </w:r>
    </w:p>
    <w:bookmarkEnd w:id="53"/>
    <w:p w:rsidRPr="00471AA7" w:rsidR="00BB2BB8" w:rsidP="00A6396C" w:rsidRDefault="00BB2BB8" w14:paraId="61587B58" w14:textId="5BB55016">
      <w:pPr>
        <w:spacing w:line="276" w:lineRule="auto"/>
        <w:rPr>
          <w:rFonts w:cs="Arial"/>
          <w:szCs w:val="18"/>
          <w:lang w:val="en-US"/>
        </w:rPr>
      </w:pPr>
    </w:p>
    <w:p w:rsidRPr="00471AA7" w:rsidR="007538D1" w:rsidP="00702CCD" w:rsidRDefault="002A54AA" w14:paraId="5A244D81" w14:textId="04A4375A">
      <w:pPr>
        <w:pStyle w:val="Kop3"/>
        <w:rPr>
          <w:rFonts w:ascii="Verdana" w:hAnsi="Verdana"/>
          <w:sz w:val="18"/>
          <w:szCs w:val="18"/>
          <w:lang w:val="en-US"/>
        </w:rPr>
      </w:pPr>
      <w:bookmarkStart w:name="_Toc497994164" w:id="54"/>
      <w:bookmarkStart w:name="_Toc484590378" w:id="55"/>
      <w:bookmarkStart w:name="_Toc484590464" w:id="56"/>
      <w:bookmarkStart w:name="_Toc499733036" w:id="57"/>
      <w:r w:rsidRPr="00471AA7">
        <w:rPr>
          <w:rFonts w:ascii="Verdana" w:hAnsi="Verdana"/>
          <w:sz w:val="18"/>
          <w:szCs w:val="18"/>
          <w:lang w:val="en-US"/>
        </w:rPr>
        <w:t>Article 10. Return or delete Personal Data</w:t>
      </w:r>
      <w:bookmarkEnd w:id="54"/>
      <w:bookmarkEnd w:id="55"/>
      <w:bookmarkEnd w:id="56"/>
      <w:bookmarkEnd w:id="57"/>
    </w:p>
    <w:p w:rsidRPr="00471AA7" w:rsidR="006118CA" w:rsidP="002C581A" w:rsidRDefault="00A331FF" w14:paraId="39130E4B" w14:textId="5ED4D28C">
      <w:pPr>
        <w:ind w:left="703" w:hanging="705"/>
        <w:rPr>
          <w:rFonts w:cs="Arial"/>
          <w:szCs w:val="18"/>
          <w:lang w:val="en-US"/>
        </w:rPr>
      </w:pPr>
      <w:r w:rsidRPr="00471AA7">
        <w:rPr>
          <w:rFonts w:cs="Arial"/>
          <w:szCs w:val="18"/>
          <w:lang w:val="en-US"/>
        </w:rPr>
        <w:t xml:space="preserve">10.1 </w:t>
      </w:r>
      <w:r w:rsidRPr="00471AA7" w:rsidR="00F5102F">
        <w:rPr>
          <w:rFonts w:cs="Arial"/>
          <w:szCs w:val="18"/>
          <w:lang w:val="en-US"/>
        </w:rPr>
        <w:tab/>
      </w:r>
      <w:r w:rsidRPr="00471AA7" w:rsidR="00F5102F">
        <w:rPr>
          <w:rFonts w:cs="Arial"/>
          <w:szCs w:val="18"/>
          <w:lang w:val="en-US"/>
        </w:rPr>
        <w:t xml:space="preserve">After the end of the Agreement, or as soon as agreed, the Contractor will ensure that, at the Client's choice, it deletes or returns all Personal Data to the Client and deletes existing copies, unless storage of the Personal Data is required by law. </w:t>
      </w:r>
    </w:p>
    <w:p w:rsidRPr="00471AA7" w:rsidR="00E559A4" w:rsidP="002C581A" w:rsidRDefault="00BB5AFD" w14:paraId="332EFF27" w14:textId="600596CC">
      <w:pPr>
        <w:ind w:left="703"/>
        <w:rPr>
          <w:rFonts w:cs="Arial"/>
          <w:szCs w:val="18"/>
          <w:lang w:val="en-US"/>
        </w:rPr>
      </w:pPr>
      <w:r w:rsidRPr="00471AA7">
        <w:rPr>
          <w:rFonts w:cs="Arial"/>
          <w:szCs w:val="18"/>
          <w:lang w:val="en-US"/>
        </w:rPr>
        <w:t>In the event of deletion and/or removal of copies by the Contractor, the Contractor will inform the Client as soon as it has done so.</w:t>
      </w:r>
    </w:p>
    <w:p w:rsidRPr="00471AA7" w:rsidR="00165510" w:rsidP="008D5A0C" w:rsidRDefault="002E17A6" w14:paraId="2B6DD36E" w14:textId="4A24B69B">
      <w:pPr>
        <w:ind w:left="705"/>
        <w:rPr>
          <w:rFonts w:cs="Arial"/>
          <w:szCs w:val="18"/>
          <w:lang w:val="en-US"/>
        </w:rPr>
      </w:pPr>
      <w:r w:rsidRPr="00471AA7">
        <w:rPr>
          <w:rFonts w:cs="Arial"/>
          <w:szCs w:val="18"/>
          <w:lang w:val="en-US"/>
        </w:rPr>
        <w:t xml:space="preserve"> </w:t>
      </w:r>
    </w:p>
    <w:p w:rsidRPr="00471AA7" w:rsidR="00165510" w:rsidP="008D5A0C" w:rsidRDefault="00165510" w14:paraId="084C2545" w14:textId="77777777">
      <w:pPr>
        <w:ind w:left="705" w:hanging="705"/>
        <w:rPr>
          <w:rFonts w:cs="Arial"/>
          <w:szCs w:val="18"/>
          <w:lang w:val="en-US"/>
        </w:rPr>
      </w:pPr>
      <w:r w:rsidRPr="00471AA7">
        <w:rPr>
          <w:rFonts w:cs="Arial"/>
          <w:szCs w:val="18"/>
          <w:lang w:val="en-US"/>
        </w:rPr>
        <w:t>10.2</w:t>
      </w:r>
      <w:r w:rsidRPr="00471AA7">
        <w:rPr>
          <w:rFonts w:cs="Arial"/>
          <w:szCs w:val="18"/>
          <w:lang w:val="en-US"/>
        </w:rPr>
        <w:tab/>
      </w:r>
      <w:r w:rsidRPr="00471AA7">
        <w:rPr>
          <w:rFonts w:cs="Arial"/>
          <w:szCs w:val="18"/>
          <w:lang w:val="en-US"/>
        </w:rPr>
        <w:t>The parties may agree on retention periods for individual or categories of Personal Data. After the agreed retention period has expired, the Contractor will ensure the deletion or return and the removal of copies of the Personal Data in question, unless the storage of this Personal Data is required by law.</w:t>
      </w:r>
    </w:p>
    <w:p w:rsidRPr="00471AA7" w:rsidR="000028C8" w:rsidP="008D5A0C" w:rsidRDefault="000028C8" w14:paraId="449863F5" w14:textId="77777777">
      <w:pPr>
        <w:rPr>
          <w:rFonts w:cs="Arial"/>
          <w:szCs w:val="18"/>
          <w:lang w:val="en-US"/>
        </w:rPr>
      </w:pPr>
    </w:p>
    <w:p w:rsidRPr="00471AA7" w:rsidR="00F5102F" w:rsidP="008D5A0C" w:rsidRDefault="00A331FF" w14:paraId="11007E82" w14:textId="0A049D65">
      <w:pPr>
        <w:ind w:left="705" w:hanging="705"/>
        <w:rPr>
          <w:lang w:val="en-US"/>
        </w:rPr>
      </w:pPr>
      <w:r w:rsidRPr="00471AA7">
        <w:rPr>
          <w:rFonts w:cs="Arial"/>
          <w:szCs w:val="18"/>
          <w:lang w:val="en-US"/>
        </w:rPr>
        <w:t>10.3</w:t>
      </w:r>
      <w:r w:rsidRPr="00471AA7" w:rsidR="00F5102F">
        <w:rPr>
          <w:rFonts w:cs="Arial"/>
          <w:szCs w:val="18"/>
          <w:lang w:val="en-US"/>
        </w:rPr>
        <w:tab/>
      </w:r>
      <w:r w:rsidRPr="00471AA7" w:rsidR="005B5660">
        <w:rPr>
          <w:rFonts w:cs="Arial"/>
          <w:szCs w:val="18"/>
          <w:lang w:val="en-US"/>
        </w:rPr>
        <w:t xml:space="preserve">Contractor </w:t>
      </w:r>
      <w:r w:rsidRPr="00A73874" w:rsidR="004178CC">
        <w:rPr>
          <w:rFonts w:cs="Arial"/>
          <w:szCs w:val="18"/>
          <w:lang w:val="en-US"/>
        </w:rPr>
        <w:t>deletes</w:t>
      </w:r>
      <w:r w:rsidRPr="00471AA7" w:rsidR="00F5102F">
        <w:rPr>
          <w:rFonts w:cs="Arial"/>
          <w:szCs w:val="18"/>
          <w:lang w:val="en-US"/>
        </w:rPr>
        <w:t xml:space="preserve"> the Personal Data within </w:t>
      </w:r>
      <w:r w:rsidR="00A73874">
        <w:rPr>
          <w:rFonts w:cs="Arial"/>
          <w:szCs w:val="18"/>
          <w:lang w:val="en-US"/>
        </w:rPr>
        <w:t xml:space="preserve">4 weeks </w:t>
      </w:r>
      <w:r w:rsidRPr="00471AA7" w:rsidR="00F5102F">
        <w:rPr>
          <w:rFonts w:cs="Arial"/>
          <w:szCs w:val="18"/>
          <w:lang w:val="en-US"/>
        </w:rPr>
        <w:t>after the end of the Agreement, or as soon as agreed, failing which the Contractor will owe a penalty of €</w:t>
      </w:r>
      <w:r w:rsidR="00A73874">
        <w:rPr>
          <w:rFonts w:cs="Arial"/>
          <w:szCs w:val="18"/>
          <w:lang w:val="en-US"/>
        </w:rPr>
        <w:t>250</w:t>
      </w:r>
      <w:r w:rsidRPr="00471AA7" w:rsidR="00F5102F">
        <w:rPr>
          <w:rFonts w:cs="Arial"/>
          <w:szCs w:val="18"/>
          <w:lang w:val="en-US"/>
        </w:rPr>
        <w:t xml:space="preserve"> per day, with a maximum of €</w:t>
      </w:r>
      <w:r w:rsidR="00A73874">
        <w:rPr>
          <w:rFonts w:cs="Arial"/>
          <w:szCs w:val="18"/>
          <w:lang w:val="en-US"/>
        </w:rPr>
        <w:t>5,000</w:t>
      </w:r>
      <w:r w:rsidRPr="00471AA7" w:rsidR="00F5102F">
        <w:rPr>
          <w:rFonts w:cs="Arial"/>
          <w:szCs w:val="18"/>
          <w:lang w:val="en-US"/>
        </w:rPr>
        <w:t xml:space="preserve">. </w:t>
      </w:r>
      <w:r w:rsidRPr="00471AA7" w:rsidR="00FC354A">
        <w:rPr>
          <w:lang w:val="en-US"/>
        </w:rPr>
        <w:t>Payment of the fine does not affect the obligations under Article 10 and the Contractor's obligation to compensate the damage resulting from the violation.</w:t>
      </w:r>
    </w:p>
    <w:p w:rsidRPr="00471AA7" w:rsidR="002410C9" w:rsidP="008D5A0C" w:rsidRDefault="002410C9" w14:paraId="456C7811" w14:textId="77777777">
      <w:pPr>
        <w:rPr>
          <w:rFonts w:cs="Arial"/>
          <w:szCs w:val="18"/>
          <w:lang w:val="en-US"/>
        </w:rPr>
      </w:pPr>
    </w:p>
    <w:p w:rsidRPr="00471AA7" w:rsidR="009D4534" w:rsidP="009D4534" w:rsidRDefault="009D4534" w14:paraId="79386A70" w14:textId="77777777">
      <w:pPr>
        <w:spacing w:line="276" w:lineRule="auto"/>
        <w:ind w:left="705" w:hanging="705"/>
        <w:rPr>
          <w:rFonts w:cs="Arial"/>
          <w:szCs w:val="18"/>
          <w:lang w:val="en-US"/>
        </w:rPr>
      </w:pPr>
    </w:p>
    <w:p w:rsidRPr="00471AA7" w:rsidR="002875EA" w:rsidP="00702CCD" w:rsidRDefault="002A54AA" w14:paraId="4961FC27" w14:textId="1F839453">
      <w:pPr>
        <w:pStyle w:val="Kop3"/>
        <w:rPr>
          <w:rFonts w:ascii="Verdana" w:hAnsi="Verdana"/>
          <w:sz w:val="18"/>
          <w:szCs w:val="18"/>
          <w:lang w:val="en-US"/>
        </w:rPr>
      </w:pPr>
      <w:bookmarkStart w:name="_Toc497994165" w:id="58"/>
      <w:bookmarkStart w:name="_Toc484590379" w:id="59"/>
      <w:bookmarkStart w:name="_Toc484590465" w:id="60"/>
      <w:bookmarkStart w:name="_Toc499733037" w:id="61"/>
      <w:r w:rsidRPr="00471AA7">
        <w:rPr>
          <w:rFonts w:ascii="Verdana" w:hAnsi="Verdana"/>
          <w:sz w:val="18"/>
          <w:szCs w:val="18"/>
          <w:lang w:val="en-US"/>
        </w:rPr>
        <w:t>Article 11. Information obligation and audit</w:t>
      </w:r>
      <w:bookmarkEnd w:id="58"/>
      <w:bookmarkEnd w:id="59"/>
      <w:bookmarkEnd w:id="60"/>
      <w:bookmarkEnd w:id="61"/>
    </w:p>
    <w:p w:rsidRPr="00471AA7" w:rsidR="00F9017B" w:rsidP="007A5369" w:rsidRDefault="00F9017B" w14:paraId="4F13432D" w14:textId="41BB3B58">
      <w:pPr>
        <w:ind w:left="703" w:hanging="703"/>
        <w:rPr>
          <w:rFonts w:cs="Arial"/>
          <w:szCs w:val="18"/>
          <w:lang w:val="en-US"/>
        </w:rPr>
      </w:pPr>
      <w:r w:rsidRPr="00471AA7">
        <w:rPr>
          <w:rFonts w:cs="Arial"/>
          <w:szCs w:val="18"/>
          <w:lang w:val="en-US"/>
        </w:rPr>
        <w:t>11.1</w:t>
      </w:r>
      <w:r w:rsidRPr="00471AA7" w:rsidR="001C6031">
        <w:rPr>
          <w:rFonts w:cs="Arial"/>
          <w:szCs w:val="18"/>
          <w:lang w:val="en-US"/>
        </w:rPr>
        <w:tab/>
      </w:r>
      <w:r w:rsidRPr="00471AA7" w:rsidR="005B5660">
        <w:rPr>
          <w:rFonts w:cs="Arial"/>
          <w:szCs w:val="18"/>
          <w:lang w:val="en-US"/>
        </w:rPr>
        <w:t xml:space="preserve">The Contractor will make all information available that is necessary to demonstrate that the obligations under this Data Processing Agreement have been and will be fulfilled. </w:t>
      </w:r>
    </w:p>
    <w:p w:rsidRPr="00471AA7" w:rsidR="00F9017B" w:rsidP="008D5A0C" w:rsidRDefault="00F9017B" w14:paraId="3104FB7A" w14:textId="77777777">
      <w:pPr>
        <w:rPr>
          <w:i/>
          <w:iCs/>
          <w:szCs w:val="18"/>
          <w:lang w:val="en-US"/>
        </w:rPr>
      </w:pPr>
    </w:p>
    <w:p w:rsidRPr="00471AA7" w:rsidR="00A62616" w:rsidP="008D5A0C" w:rsidRDefault="007B492E" w14:paraId="5F5C60E5" w14:textId="32306F8A">
      <w:pPr>
        <w:ind w:left="703" w:hanging="703"/>
        <w:rPr>
          <w:lang w:val="en-US"/>
        </w:rPr>
      </w:pPr>
      <w:r w:rsidRPr="00471AA7">
        <w:rPr>
          <w:rFonts w:cs="Arial"/>
          <w:szCs w:val="18"/>
          <w:lang w:val="en-US"/>
        </w:rPr>
        <w:t>11.2</w:t>
      </w:r>
      <w:r w:rsidRPr="00471AA7">
        <w:rPr>
          <w:rFonts w:cs="Arial"/>
          <w:szCs w:val="18"/>
          <w:lang w:val="en-US"/>
        </w:rPr>
        <w:tab/>
      </w:r>
      <w:r w:rsidRPr="00471AA7" w:rsidR="00A62616">
        <w:rPr>
          <w:lang w:val="en-US"/>
        </w:rPr>
        <w:t>The Client may carry out an audit of the processing activities covered by this Data Processing Agreement (or have it carried out) if concrete circumstances give cause to do so. The Contractor will fully cooperate with audits, including audits of Contractor Personnel, unless this cannot reasonably be expected of it.</w:t>
      </w:r>
    </w:p>
    <w:p w:rsidRPr="00471AA7" w:rsidR="00967B50" w:rsidP="008D5A0C" w:rsidRDefault="00967B50" w14:paraId="366C34C3" w14:textId="77777777">
      <w:pPr>
        <w:ind w:left="705" w:hanging="705"/>
        <w:rPr>
          <w:lang w:val="en-US"/>
        </w:rPr>
      </w:pPr>
    </w:p>
    <w:p w:rsidRPr="00471AA7" w:rsidR="00B87105" w:rsidP="004974D7" w:rsidRDefault="00B87105" w14:paraId="4E5AEB60" w14:textId="2DA712D8">
      <w:pPr>
        <w:ind w:left="709" w:hanging="703"/>
        <w:rPr>
          <w:rFonts w:cs="Arial"/>
          <w:szCs w:val="18"/>
          <w:lang w:val="en-US"/>
        </w:rPr>
      </w:pPr>
      <w:r w:rsidRPr="00471AA7">
        <w:rPr>
          <w:rFonts w:cs="Arial"/>
          <w:szCs w:val="18"/>
          <w:lang w:val="en-US"/>
        </w:rPr>
        <w:t>11.3</w:t>
      </w:r>
      <w:r w:rsidRPr="00471AA7">
        <w:rPr>
          <w:rFonts w:cs="Arial"/>
          <w:szCs w:val="18"/>
          <w:lang w:val="en-US"/>
        </w:rPr>
        <w:tab/>
      </w:r>
      <w:r w:rsidRPr="00471AA7">
        <w:rPr>
          <w:rFonts w:cs="Arial"/>
          <w:szCs w:val="18"/>
          <w:lang w:val="en-US"/>
        </w:rPr>
        <w:t>The Contractor will immediately notify the Client if, in its opinion, an instruction from the Client in the context of Article 11, first and/or second paragraph of this Processing Agreement, constitutes a violation of a statutory provision on data protection.</w:t>
      </w:r>
    </w:p>
    <w:p w:rsidRPr="00471AA7" w:rsidR="007B492E" w:rsidP="008D5A0C" w:rsidRDefault="007B492E" w14:paraId="01369FA2" w14:textId="17063420">
      <w:pPr>
        <w:spacing w:line="276" w:lineRule="auto"/>
        <w:rPr>
          <w:rFonts w:cs="Arial"/>
          <w:szCs w:val="18"/>
          <w:lang w:val="en-US"/>
        </w:rPr>
      </w:pPr>
    </w:p>
    <w:p w:rsidRPr="00471AA7" w:rsidR="00A62616" w:rsidP="00ED70D1" w:rsidRDefault="00A15001" w14:paraId="6DBDE14F" w14:textId="6B25D4C0">
      <w:pPr>
        <w:ind w:left="708" w:hanging="705"/>
        <w:rPr>
          <w:lang w:val="en-US"/>
        </w:rPr>
      </w:pPr>
      <w:r w:rsidRPr="00471AA7">
        <w:rPr>
          <w:rFonts w:cs="Arial"/>
          <w:szCs w:val="18"/>
          <w:lang w:val="en-US"/>
        </w:rPr>
        <w:t>11.4</w:t>
      </w:r>
      <w:r w:rsidRPr="00471AA7" w:rsidR="00A62616">
        <w:rPr>
          <w:rFonts w:cs="Arial"/>
          <w:szCs w:val="18"/>
          <w:lang w:val="en-US"/>
        </w:rPr>
        <w:tab/>
      </w:r>
      <w:r w:rsidRPr="00471AA7" w:rsidR="00A62616">
        <w:rPr>
          <w:lang w:val="en-US"/>
        </w:rPr>
        <w:t>The parties themselves bear the costs they incur in connection with the provision of information and audits referred to in this article, including the costs of third parties engaged by them.</w:t>
      </w:r>
    </w:p>
    <w:p w:rsidRPr="00471AA7" w:rsidR="00A91944" w:rsidP="00ED70D1" w:rsidRDefault="00A91944" w14:paraId="27300F3A" w14:textId="77777777">
      <w:pPr>
        <w:ind w:left="708" w:hanging="705"/>
        <w:rPr>
          <w:lang w:val="en-US"/>
        </w:rPr>
      </w:pPr>
    </w:p>
    <w:p w:rsidRPr="00471AA7" w:rsidR="00A62616" w:rsidP="004974D7" w:rsidRDefault="00A15001" w14:paraId="25DC31D8" w14:textId="212DDA86">
      <w:pPr>
        <w:ind w:left="703" w:hanging="703"/>
        <w:rPr>
          <w:rFonts w:cs="Arial"/>
          <w:szCs w:val="18"/>
          <w:lang w:val="en-US"/>
        </w:rPr>
      </w:pPr>
      <w:r w:rsidRPr="00471AA7">
        <w:rPr>
          <w:rFonts w:cs="Arial"/>
          <w:szCs w:val="18"/>
          <w:lang w:val="en-US"/>
        </w:rPr>
        <w:t>11.5</w:t>
      </w:r>
      <w:r w:rsidRPr="00471AA7" w:rsidR="00A62616">
        <w:rPr>
          <w:rFonts w:cs="Arial"/>
          <w:szCs w:val="18"/>
          <w:lang w:val="en-US"/>
        </w:rPr>
        <w:tab/>
      </w:r>
      <w:r w:rsidRPr="00471AA7" w:rsidR="00A62616">
        <w:rPr>
          <w:lang w:val="en-US"/>
        </w:rPr>
        <w:t>The Client is at all times entitled to propose further measures in response to the information obtained on the basis of this article. The Contractor is obliged to implement these measures in a reasonable manner.</w:t>
      </w:r>
    </w:p>
    <w:p w:rsidRPr="00471AA7" w:rsidR="004E412F" w:rsidP="004E412F" w:rsidRDefault="004E412F" w14:paraId="5ADAA6EF" w14:textId="77777777">
      <w:pPr>
        <w:rPr>
          <w:lang w:val="en-US"/>
        </w:rPr>
      </w:pPr>
    </w:p>
    <w:p w:rsidRPr="00471AA7" w:rsidR="0036466A" w:rsidP="00A6396C" w:rsidRDefault="0036466A" w14:paraId="183A11F0" w14:textId="4463B092">
      <w:pPr>
        <w:spacing w:line="276" w:lineRule="auto"/>
        <w:rPr>
          <w:rFonts w:cs="Arial"/>
          <w:szCs w:val="18"/>
          <w:lang w:val="en-US"/>
        </w:rPr>
      </w:pPr>
    </w:p>
    <w:p w:rsidRPr="00471AA7" w:rsidR="00B17DB6" w:rsidP="00B17DB6" w:rsidRDefault="00B17DB6" w14:paraId="5BB58524" w14:textId="77777777">
      <w:pPr>
        <w:spacing w:line="276" w:lineRule="auto"/>
        <w:rPr>
          <w:rFonts w:cs="Arial"/>
          <w:szCs w:val="18"/>
          <w:lang w:val="en-US"/>
        </w:rPr>
      </w:pPr>
    </w:p>
    <w:p w:rsidRPr="00471AA7" w:rsidR="00F17DF9" w:rsidP="00B17DB6" w:rsidRDefault="00F17DF9" w14:paraId="04680693" w14:textId="77777777">
      <w:pPr>
        <w:spacing w:line="276" w:lineRule="auto"/>
        <w:rPr>
          <w:rFonts w:cs="Arial"/>
          <w:szCs w:val="18"/>
          <w:lang w:val="en-US"/>
        </w:rPr>
      </w:pPr>
    </w:p>
    <w:p w:rsidRPr="00471AA7" w:rsidR="00F17DF9" w:rsidP="00B17DB6" w:rsidRDefault="00F17DF9" w14:paraId="58D9648D" w14:textId="77777777">
      <w:pPr>
        <w:spacing w:line="276" w:lineRule="auto"/>
        <w:rPr>
          <w:rFonts w:cs="Arial"/>
          <w:szCs w:val="18"/>
          <w:lang w:val="en-US"/>
        </w:rPr>
      </w:pPr>
    </w:p>
    <w:p w:rsidRPr="00471AA7" w:rsidR="008902DA" w:rsidP="00B17DB6" w:rsidRDefault="008902DA" w14:paraId="5024D67D" w14:textId="564046A7">
      <w:pPr>
        <w:spacing w:line="276" w:lineRule="auto"/>
        <w:rPr>
          <w:rFonts w:cs="Arial"/>
          <w:szCs w:val="18"/>
          <w:lang w:val="en-US"/>
        </w:rPr>
      </w:pPr>
    </w:p>
    <w:p w:rsidRPr="004F72D2" w:rsidR="00B17DB6" w:rsidP="00B17DB6" w:rsidRDefault="00B17DB6" w14:paraId="6A21C958" w14:textId="5096AFFC">
      <w:pPr>
        <w:spacing w:line="276" w:lineRule="auto"/>
        <w:rPr>
          <w:rFonts w:cs="Arial"/>
          <w:szCs w:val="18"/>
          <w:lang w:val="de-DE"/>
        </w:rPr>
      </w:pPr>
      <w:r w:rsidRPr="00471AA7">
        <w:rPr>
          <w:rFonts w:cs="Arial"/>
          <w:szCs w:val="18"/>
          <w:lang w:val="en-US"/>
        </w:rPr>
        <w:t xml:space="preserve">The Hague </w:t>
      </w:r>
      <w:r w:rsidRPr="00471AA7">
        <w:rPr>
          <w:rFonts w:cs="Arial"/>
          <w:szCs w:val="18"/>
          <w:highlight w:val="cyan"/>
          <w:lang w:val="en-US"/>
        </w:rPr>
        <w:t>[date]</w:t>
      </w:r>
      <w:r w:rsidRPr="00471AA7">
        <w:rPr>
          <w:rFonts w:cs="Arial"/>
          <w:szCs w:val="18"/>
          <w:lang w:val="en-US"/>
        </w:rPr>
        <w:tab/>
      </w:r>
      <w:r w:rsidRPr="00471AA7">
        <w:rPr>
          <w:rFonts w:cs="Arial"/>
          <w:szCs w:val="18"/>
          <w:lang w:val="en-US"/>
        </w:rPr>
        <w:tab/>
      </w:r>
      <w:r w:rsidRPr="00471AA7">
        <w:rPr>
          <w:rFonts w:cs="Arial"/>
          <w:szCs w:val="18"/>
          <w:lang w:val="en-US"/>
        </w:rPr>
        <w:t xml:space="preserve">               </w:t>
      </w:r>
      <w:r w:rsidRPr="00471AA7" w:rsidR="007E2719">
        <w:rPr>
          <w:rFonts w:cs="Arial"/>
          <w:szCs w:val="18"/>
          <w:lang w:val="en-US"/>
        </w:rPr>
        <w:tab/>
      </w:r>
      <w:r w:rsidRPr="00471AA7" w:rsidR="007E2719">
        <w:rPr>
          <w:rFonts w:cs="Arial"/>
          <w:szCs w:val="18"/>
          <w:lang w:val="en-US"/>
        </w:rPr>
        <w:tab/>
      </w:r>
      <w:r w:rsidRPr="00471AA7" w:rsidR="007E2719">
        <w:rPr>
          <w:rFonts w:cs="Arial"/>
          <w:szCs w:val="18"/>
          <w:lang w:val="en-US"/>
        </w:rPr>
        <w:t xml:space="preserve">     </w:t>
      </w:r>
      <w:r w:rsidRPr="00471AA7" w:rsidR="00C51591">
        <w:rPr>
          <w:rFonts w:cs="Arial"/>
          <w:szCs w:val="18"/>
          <w:lang w:val="en-US"/>
        </w:rPr>
        <w:tab/>
      </w:r>
      <w:r w:rsidRPr="00471AA7">
        <w:rPr>
          <w:rFonts w:cs="Arial"/>
          <w:szCs w:val="18"/>
          <w:highlight w:val="cyan"/>
          <w:lang w:val="en-US"/>
        </w:rPr>
        <w:t>[Location]</w:t>
      </w:r>
      <w:r w:rsidRPr="00471AA7">
        <w:rPr>
          <w:rFonts w:cs="Arial"/>
          <w:szCs w:val="18"/>
          <w:lang w:val="en-US"/>
        </w:rPr>
        <w:t xml:space="preserve">, </w:t>
      </w:r>
      <w:r w:rsidRPr="00471AA7">
        <w:rPr>
          <w:rFonts w:cs="Arial"/>
          <w:szCs w:val="18"/>
          <w:highlight w:val="cyan"/>
          <w:lang w:val="en-US"/>
        </w:rPr>
        <w:t>[date]</w:t>
      </w:r>
    </w:p>
    <w:p w:rsidRPr="004F72D2" w:rsidR="00B17DB6" w:rsidP="00B17DB6" w:rsidRDefault="00B17DB6" w14:paraId="2D363087" w14:textId="77777777">
      <w:pPr>
        <w:spacing w:line="276" w:lineRule="auto"/>
        <w:rPr>
          <w:rFonts w:cs="Arial"/>
          <w:szCs w:val="18"/>
          <w:lang w:val="de-DE"/>
        </w:rPr>
      </w:pPr>
    </w:p>
    <w:p w:rsidR="00B17DB6" w:rsidP="00B17DB6" w:rsidRDefault="00B17DB6" w14:paraId="12F072AD" w14:textId="77777777">
      <w:pPr>
        <w:spacing w:line="276" w:lineRule="auto"/>
        <w:rPr>
          <w:rFonts w:cs="Arial"/>
          <w:szCs w:val="18"/>
          <w:lang w:val="de-DE"/>
        </w:rPr>
      </w:pPr>
    </w:p>
    <w:p w:rsidRPr="00822359" w:rsidR="00500956" w:rsidP="00500956" w:rsidRDefault="00500956" w14:paraId="0700A379" w14:textId="4383F93F">
      <w:pPr>
        <w:tabs>
          <w:tab w:val="left" w:pos="5670"/>
        </w:tabs>
        <w:suppressAutoHyphens/>
        <w:spacing w:line="240" w:lineRule="exact"/>
        <w:ind w:right="-1"/>
        <w:rPr>
          <w:caps/>
          <w:szCs w:val="18"/>
          <w:lang w:val="en-US"/>
        </w:rPr>
      </w:pPr>
      <w:r w:rsidRPr="00822359">
        <w:rPr>
          <w:caps/>
          <w:szCs w:val="18"/>
          <w:lang w:val="en-US"/>
        </w:rPr>
        <w:t>For the</w:t>
      </w:r>
      <w:r w:rsidRPr="00822359">
        <w:rPr>
          <w:szCs w:val="18"/>
          <w:lang w:val="en-US"/>
        </w:rPr>
        <w:t xml:space="preserve"> </w:t>
      </w:r>
      <w:r w:rsidRPr="00822359">
        <w:rPr>
          <w:caps/>
          <w:szCs w:val="18"/>
          <w:lang w:val="en-US"/>
        </w:rPr>
        <w:t>Minister</w:t>
      </w:r>
      <w:r w:rsidRPr="00822359">
        <w:rPr>
          <w:caps/>
          <w:szCs w:val="18"/>
          <w:lang w:val="en-US"/>
        </w:rPr>
        <w:tab/>
      </w:r>
      <w:r w:rsidRPr="00822359">
        <w:rPr>
          <w:caps/>
          <w:lang w:val="en-US"/>
        </w:rPr>
        <w:t xml:space="preserve">For </w:t>
      </w:r>
      <w:r w:rsidRPr="000A08C5">
        <w:rPr>
          <w:caps/>
          <w:highlight w:val="cyan"/>
          <w:lang w:val="en-US"/>
        </w:rPr>
        <w:t>[Contractor]</w:t>
      </w:r>
      <w:r w:rsidRPr="00822359">
        <w:rPr>
          <w:caps/>
          <w:lang w:val="en-US"/>
        </w:rPr>
        <w:t>,</w:t>
      </w:r>
    </w:p>
    <w:p w:rsidR="00797742" w:rsidP="00500956" w:rsidRDefault="00797742" w14:paraId="2064D013" w14:textId="772CC1F5">
      <w:pPr>
        <w:tabs>
          <w:tab w:val="left" w:pos="4536"/>
          <w:tab w:val="left" w:pos="5670"/>
        </w:tabs>
        <w:suppressAutoHyphens/>
        <w:spacing w:line="240" w:lineRule="exact"/>
        <w:ind w:right="-1"/>
        <w:rPr>
          <w:szCs w:val="18"/>
          <w:lang w:val="en-US"/>
        </w:rPr>
      </w:pPr>
      <w:r w:rsidRPr="00822359">
        <w:rPr>
          <w:caps/>
          <w:szCs w:val="18"/>
          <w:lang w:val="en-US"/>
        </w:rPr>
        <w:t>of Economic Affairs</w:t>
      </w:r>
    </w:p>
    <w:p w:rsidR="00500956" w:rsidP="00500956" w:rsidRDefault="00500956" w14:paraId="3E8BFE7F" w14:textId="77777777">
      <w:pPr>
        <w:tabs>
          <w:tab w:val="left" w:pos="4536"/>
          <w:tab w:val="left" w:pos="5670"/>
        </w:tabs>
        <w:suppressAutoHyphens/>
        <w:spacing w:line="240" w:lineRule="exact"/>
        <w:ind w:right="-1"/>
        <w:rPr>
          <w:szCs w:val="18"/>
          <w:lang w:val="en-US"/>
        </w:rPr>
      </w:pPr>
      <w:r w:rsidRPr="00822359">
        <w:rPr>
          <w:szCs w:val="18"/>
          <w:lang w:val="en-US"/>
        </w:rPr>
        <w:t xml:space="preserve">on behalf of and commissioned </w:t>
      </w:r>
      <w:r>
        <w:rPr>
          <w:szCs w:val="18"/>
          <w:lang w:val="en-US"/>
        </w:rPr>
        <w:t>by</w:t>
      </w:r>
    </w:p>
    <w:p w:rsidRPr="00822359" w:rsidR="0036071D" w:rsidP="0036071D" w:rsidRDefault="0036071D" w14:paraId="24FABE03" w14:textId="677F7790">
      <w:pPr>
        <w:tabs>
          <w:tab w:val="left" w:pos="5670"/>
        </w:tabs>
        <w:suppressAutoHyphens/>
        <w:spacing w:line="240" w:lineRule="exact"/>
        <w:ind w:right="-1"/>
        <w:rPr>
          <w:szCs w:val="18"/>
          <w:lang w:val="en-US"/>
        </w:rPr>
      </w:pPr>
      <w:r w:rsidRPr="00822359">
        <w:rPr>
          <w:szCs w:val="18"/>
          <w:lang w:val="en-US"/>
        </w:rPr>
        <w:t>Netherlands Enterprise Agency</w:t>
      </w:r>
    </w:p>
    <w:p w:rsidR="0036071D" w:rsidP="0036071D" w:rsidRDefault="0036071D" w14:paraId="675380BF" w14:textId="2EB264B7">
      <w:pPr>
        <w:tabs>
          <w:tab w:val="left" w:pos="5670"/>
        </w:tabs>
        <w:suppressAutoHyphens/>
        <w:spacing w:line="240" w:lineRule="exact"/>
        <w:ind w:right="-1"/>
        <w:rPr>
          <w:szCs w:val="18"/>
          <w:lang w:val="en-US"/>
        </w:rPr>
      </w:pPr>
      <w:r w:rsidRPr="00822359">
        <w:rPr>
          <w:lang w:val="en-US"/>
        </w:rPr>
        <w:t xml:space="preserve">Directorate </w:t>
      </w:r>
      <w:r w:rsidRPr="00B93B18">
        <w:rPr>
          <w:lang w:val="en-US"/>
        </w:rPr>
        <w:t>Innovation and Entrepreneurship</w:t>
      </w:r>
    </w:p>
    <w:p w:rsidRPr="00D860A4" w:rsidR="00500956" w:rsidP="00500956" w:rsidRDefault="00F34F78" w14:paraId="1BAF280E" w14:textId="73F74961">
      <w:pPr>
        <w:tabs>
          <w:tab w:val="left" w:pos="4536"/>
          <w:tab w:val="left" w:pos="5670"/>
        </w:tabs>
        <w:suppressAutoHyphens/>
        <w:spacing w:line="240" w:lineRule="exact"/>
        <w:ind w:right="-1"/>
        <w:rPr>
          <w:szCs w:val="18"/>
        </w:rPr>
      </w:pPr>
      <w:r>
        <w:rPr>
          <w:szCs w:val="18"/>
        </w:rPr>
        <w:t>Hilde van der Meer</w:t>
      </w:r>
      <w:r w:rsidRPr="00D860A4" w:rsidR="00500956">
        <w:rPr>
          <w:szCs w:val="18"/>
        </w:rPr>
        <w:t xml:space="preserve">, </w:t>
      </w:r>
    </w:p>
    <w:p w:rsidRPr="00F34F78" w:rsidR="00500956" w:rsidP="00500956" w:rsidRDefault="00183799" w14:paraId="29A0535D" w14:textId="3DFCA1D9">
      <w:pPr>
        <w:tabs>
          <w:tab w:val="left" w:pos="5670"/>
        </w:tabs>
        <w:suppressAutoHyphens/>
        <w:spacing w:line="240" w:lineRule="exact"/>
        <w:ind w:right="-1"/>
        <w:rPr>
          <w:szCs w:val="18"/>
          <w:lang w:val="en-US"/>
        </w:rPr>
      </w:pPr>
      <w:r w:rsidRPr="00F34F78">
        <w:rPr>
          <w:szCs w:val="18"/>
          <w:lang w:val="en-US"/>
        </w:rPr>
        <w:t xml:space="preserve">Head of </w:t>
      </w:r>
      <w:r w:rsidRPr="00F34F78" w:rsidR="00F34F78">
        <w:rPr>
          <w:szCs w:val="18"/>
          <w:lang w:val="en-US"/>
        </w:rPr>
        <w:t>Netherlands Foreign I</w:t>
      </w:r>
      <w:r w:rsidR="00F34F78">
        <w:rPr>
          <w:szCs w:val="18"/>
          <w:lang w:val="en-US"/>
        </w:rPr>
        <w:t>nvestment Agency (NFIA)</w:t>
      </w:r>
    </w:p>
    <w:p w:rsidRPr="00F34F78" w:rsidR="00B17DB6" w:rsidP="00B17DB6" w:rsidRDefault="00B17DB6" w14:paraId="4EBB4A8A" w14:textId="1B437C34">
      <w:pPr>
        <w:spacing w:line="276" w:lineRule="auto"/>
        <w:rPr>
          <w:rFonts w:cs="Arial"/>
          <w:szCs w:val="18"/>
          <w:lang w:val="en-US"/>
        </w:rPr>
      </w:pPr>
      <w:r w:rsidRPr="00F34F78">
        <w:rPr>
          <w:rFonts w:cs="Arial"/>
          <w:szCs w:val="18"/>
          <w:lang w:val="en-US"/>
        </w:rPr>
        <w:tab/>
      </w:r>
      <w:r w:rsidRPr="00F34F78">
        <w:rPr>
          <w:rFonts w:cs="Arial"/>
          <w:szCs w:val="18"/>
          <w:lang w:val="en-US"/>
        </w:rPr>
        <w:tab/>
      </w:r>
      <w:r w:rsidRPr="00F34F78">
        <w:rPr>
          <w:rFonts w:cs="Arial"/>
          <w:szCs w:val="18"/>
          <w:lang w:val="en-US"/>
        </w:rPr>
        <w:tab/>
      </w:r>
      <w:r w:rsidRPr="00F34F78">
        <w:rPr>
          <w:rFonts w:cs="Arial"/>
          <w:szCs w:val="18"/>
          <w:lang w:val="en-US"/>
        </w:rPr>
        <w:tab/>
      </w:r>
    </w:p>
    <w:p w:rsidR="00B17DB6" w:rsidP="00B17DB6" w:rsidRDefault="00B17DB6" w14:paraId="37D0FCB0" w14:textId="77777777">
      <w:pPr>
        <w:spacing w:line="276" w:lineRule="auto"/>
        <w:rPr>
          <w:rFonts w:cs="Arial"/>
          <w:szCs w:val="18"/>
          <w:lang w:val="en-US"/>
        </w:rPr>
      </w:pPr>
      <w:r w:rsidRPr="00471AA7">
        <w:rPr>
          <w:rFonts w:cs="Arial"/>
          <w:szCs w:val="18"/>
          <w:lang w:val="en-US"/>
        </w:rPr>
        <w:t>on behalf of these,</w:t>
      </w:r>
    </w:p>
    <w:p w:rsidRPr="00471AA7" w:rsidR="00500956" w:rsidP="00B17DB6" w:rsidRDefault="00500956" w14:paraId="42391A52" w14:textId="77777777">
      <w:pPr>
        <w:spacing w:line="276" w:lineRule="auto"/>
        <w:rPr>
          <w:rFonts w:cs="Arial"/>
          <w:szCs w:val="18"/>
          <w:lang w:val="en-US"/>
        </w:rPr>
      </w:pPr>
    </w:p>
    <w:p w:rsidR="00500956" w:rsidP="00500956" w:rsidRDefault="00500956" w14:paraId="3A130396" w14:textId="77777777">
      <w:pPr>
        <w:tabs>
          <w:tab w:val="left" w:pos="5670"/>
        </w:tabs>
        <w:rPr>
          <w:rFonts w:eastAsia="Calibri"/>
          <w:szCs w:val="18"/>
          <w:lang w:val="en-US" w:eastAsia="en-US"/>
        </w:rPr>
      </w:pPr>
    </w:p>
    <w:p w:rsidR="00500956" w:rsidP="00500956" w:rsidRDefault="00500956" w14:paraId="126C25FF" w14:textId="77777777">
      <w:pPr>
        <w:tabs>
          <w:tab w:val="left" w:pos="5670"/>
        </w:tabs>
        <w:rPr>
          <w:rFonts w:eastAsia="Calibri"/>
          <w:szCs w:val="18"/>
          <w:lang w:val="en-US" w:eastAsia="en-US"/>
        </w:rPr>
      </w:pPr>
    </w:p>
    <w:p w:rsidR="00500956" w:rsidP="00500956" w:rsidRDefault="00500956" w14:paraId="763285EF" w14:textId="77777777">
      <w:pPr>
        <w:tabs>
          <w:tab w:val="left" w:pos="5670"/>
        </w:tabs>
        <w:rPr>
          <w:rFonts w:eastAsia="Calibri"/>
          <w:szCs w:val="18"/>
          <w:lang w:val="en-US" w:eastAsia="en-US"/>
        </w:rPr>
      </w:pPr>
    </w:p>
    <w:p w:rsidR="00500956" w:rsidP="00500956" w:rsidRDefault="00500956" w14:paraId="0F915988" w14:textId="77777777">
      <w:pPr>
        <w:tabs>
          <w:tab w:val="left" w:pos="5670"/>
        </w:tabs>
        <w:rPr>
          <w:rFonts w:eastAsia="Calibri"/>
          <w:szCs w:val="18"/>
          <w:lang w:val="en-US" w:eastAsia="en-US"/>
        </w:rPr>
      </w:pPr>
    </w:p>
    <w:p w:rsidRPr="00822359" w:rsidR="00500956" w:rsidP="00500956" w:rsidRDefault="00500956" w14:paraId="379394AC" w14:textId="7F8B887B">
      <w:pPr>
        <w:tabs>
          <w:tab w:val="left" w:pos="5670"/>
        </w:tabs>
        <w:rPr>
          <w:rFonts w:eastAsia="Calibri"/>
          <w:szCs w:val="18"/>
          <w:lang w:val="en-US" w:eastAsia="en-US"/>
        </w:rPr>
      </w:pPr>
      <w:r w:rsidRPr="00822359">
        <w:rPr>
          <w:rFonts w:eastAsia="Calibri"/>
          <w:szCs w:val="18"/>
          <w:lang w:val="en-US" w:eastAsia="en-US"/>
        </w:rPr>
        <w:t>J. van Putten</w:t>
      </w:r>
      <w:r w:rsidR="00385607">
        <w:rPr>
          <w:rFonts w:eastAsia="Calibri"/>
          <w:szCs w:val="18"/>
          <w:lang w:val="en-US" w:eastAsia="en-US"/>
        </w:rPr>
        <w:t>,</w:t>
      </w:r>
      <w:r w:rsidRPr="00822359">
        <w:rPr>
          <w:rFonts w:eastAsia="Calibri"/>
          <w:szCs w:val="18"/>
          <w:lang w:val="en-US" w:eastAsia="en-US"/>
        </w:rPr>
        <w:tab/>
      </w:r>
      <w:r w:rsidRPr="000A08C5">
        <w:rPr>
          <w:rFonts w:eastAsia="Calibri"/>
          <w:szCs w:val="18"/>
          <w:highlight w:val="cyan"/>
          <w:lang w:val="en-US" w:eastAsia="en-US"/>
        </w:rPr>
        <w:t>signatory’s name</w:t>
      </w:r>
      <w:r w:rsidRPr="00822359">
        <w:rPr>
          <w:lang w:val="en-US"/>
        </w:rPr>
        <w:t xml:space="preserve">  </w:t>
      </w:r>
    </w:p>
    <w:p w:rsidR="009652F8" w:rsidP="00500956" w:rsidRDefault="00500956" w14:paraId="631775D6" w14:textId="108BEA30">
      <w:pPr>
        <w:overflowPunct/>
        <w:autoSpaceDE/>
        <w:autoSpaceDN/>
        <w:adjustRightInd/>
        <w:textAlignment w:val="auto"/>
        <w:rPr>
          <w:rFonts w:eastAsia="Calibri"/>
          <w:szCs w:val="18"/>
          <w:highlight w:val="cyan"/>
          <w:lang w:val="en-US" w:eastAsia="en-US"/>
        </w:rPr>
      </w:pPr>
      <w:r w:rsidRPr="00D4371E">
        <w:rPr>
          <w:rFonts w:eastAsia="Calibri"/>
          <w:szCs w:val="18"/>
          <w:lang w:val="en-US" w:eastAsia="en-US"/>
        </w:rPr>
        <w:t>Team</w:t>
      </w:r>
      <w:r w:rsidR="00D94BBD">
        <w:rPr>
          <w:rFonts w:eastAsia="Calibri"/>
          <w:szCs w:val="18"/>
          <w:lang w:val="en-US" w:eastAsia="en-US"/>
        </w:rPr>
        <w:t xml:space="preserve"> </w:t>
      </w:r>
      <w:r w:rsidRPr="00D4371E">
        <w:rPr>
          <w:rFonts w:eastAsia="Calibri"/>
          <w:szCs w:val="18"/>
          <w:lang w:val="en-US" w:eastAsia="en-US"/>
        </w:rPr>
        <w:t>manager IUC-EZ</w:t>
      </w:r>
      <w:r w:rsidRPr="00D4371E">
        <w:rPr>
          <w:rFonts w:eastAsia="Calibri"/>
          <w:szCs w:val="18"/>
          <w:lang w:val="en-US" w:eastAsia="en-US"/>
        </w:rPr>
        <w:tab/>
      </w:r>
      <w:r w:rsidRPr="00D4371E">
        <w:rPr>
          <w:rFonts w:eastAsia="Calibri"/>
          <w:szCs w:val="18"/>
          <w:lang w:val="en-US" w:eastAsia="en-US"/>
        </w:rPr>
        <w:tab/>
      </w:r>
      <w:r w:rsidRPr="00D4371E">
        <w:rPr>
          <w:rFonts w:eastAsia="Calibri"/>
          <w:szCs w:val="18"/>
          <w:lang w:val="en-US" w:eastAsia="en-US"/>
        </w:rPr>
        <w:tab/>
      </w:r>
      <w:r w:rsidRPr="00D4371E">
        <w:rPr>
          <w:rFonts w:eastAsia="Calibri"/>
          <w:szCs w:val="18"/>
          <w:lang w:val="en-US" w:eastAsia="en-US"/>
        </w:rPr>
        <w:tab/>
      </w:r>
      <w:r w:rsidRPr="00D4371E">
        <w:rPr>
          <w:rFonts w:eastAsia="Calibri"/>
          <w:szCs w:val="18"/>
          <w:lang w:val="en-US" w:eastAsia="en-US"/>
        </w:rPr>
        <w:tab/>
      </w:r>
      <w:r w:rsidRPr="00D4371E">
        <w:rPr>
          <w:rFonts w:eastAsia="Calibri"/>
          <w:szCs w:val="18"/>
          <w:lang w:val="en-US" w:eastAsia="en-US"/>
        </w:rPr>
        <w:tab/>
      </w:r>
      <w:r w:rsidRPr="000A08C5">
        <w:rPr>
          <w:rFonts w:eastAsia="Calibri"/>
          <w:szCs w:val="18"/>
          <w:highlight w:val="cyan"/>
          <w:lang w:val="en-US" w:eastAsia="en-US"/>
        </w:rPr>
        <w:t>signatory’s position</w:t>
      </w:r>
    </w:p>
    <w:p w:rsidR="009652F8" w:rsidRDefault="009652F8" w14:paraId="62A3F765" w14:textId="77777777">
      <w:pPr>
        <w:overflowPunct/>
        <w:autoSpaceDE/>
        <w:autoSpaceDN/>
        <w:adjustRightInd/>
        <w:textAlignment w:val="auto"/>
        <w:rPr>
          <w:rFonts w:eastAsia="Calibri"/>
          <w:szCs w:val="18"/>
          <w:highlight w:val="cyan"/>
          <w:lang w:val="en-US" w:eastAsia="en-US"/>
        </w:rPr>
      </w:pPr>
      <w:r>
        <w:rPr>
          <w:rFonts w:eastAsia="Calibri"/>
          <w:szCs w:val="18"/>
          <w:highlight w:val="cyan"/>
          <w:lang w:val="en-US" w:eastAsia="en-US"/>
        </w:rPr>
        <w:br w:type="page"/>
      </w:r>
    </w:p>
    <w:p w:rsidRPr="00471AA7" w:rsidR="008902DA" w:rsidP="00500956" w:rsidRDefault="008902DA" w14:paraId="73A15D79" w14:textId="77777777">
      <w:pPr>
        <w:overflowPunct/>
        <w:autoSpaceDE/>
        <w:autoSpaceDN/>
        <w:adjustRightInd/>
        <w:textAlignment w:val="auto"/>
        <w:rPr>
          <w:rFonts w:cs="Arial"/>
          <w:szCs w:val="18"/>
          <w:lang w:val="en-US"/>
        </w:rPr>
      </w:pPr>
    </w:p>
    <w:p w:rsidRPr="00471AA7" w:rsidR="008902DA" w:rsidRDefault="008902DA" w14:paraId="31894C99" w14:textId="77777777">
      <w:pPr>
        <w:overflowPunct/>
        <w:autoSpaceDE/>
        <w:autoSpaceDN/>
        <w:adjustRightInd/>
        <w:textAlignment w:val="auto"/>
        <w:rPr>
          <w:rFonts w:cs="Arial"/>
          <w:szCs w:val="18"/>
          <w:lang w:val="en-US"/>
        </w:rPr>
      </w:pPr>
    </w:p>
    <w:p w:rsidRPr="00471AA7" w:rsidR="008902DA" w:rsidRDefault="008902DA" w14:paraId="68258605" w14:textId="32EE52C5">
      <w:pPr>
        <w:overflowPunct/>
        <w:autoSpaceDE/>
        <w:autoSpaceDN/>
        <w:adjustRightInd/>
        <w:textAlignment w:val="auto"/>
        <w:rPr>
          <w:rFonts w:cs="Arial"/>
          <w:szCs w:val="18"/>
          <w:lang w:val="en-US"/>
        </w:rPr>
      </w:pPr>
    </w:p>
    <w:p w:rsidR="008902DA" w:rsidRDefault="008902DA" w14:paraId="09A4D5F0" w14:textId="77777777">
      <w:pPr>
        <w:overflowPunct/>
        <w:autoSpaceDE/>
        <w:autoSpaceDN/>
        <w:adjustRightInd/>
        <w:textAlignment w:val="auto"/>
        <w:rPr>
          <w:rFonts w:cs="Arial"/>
          <w:szCs w:val="18"/>
          <w:lang w:val="en-US"/>
        </w:rPr>
      </w:pPr>
    </w:p>
    <w:p w:rsidR="00930E30" w:rsidRDefault="00930E30" w14:paraId="2A0F44B9" w14:textId="77777777">
      <w:pPr>
        <w:overflowPunct/>
        <w:autoSpaceDE/>
        <w:autoSpaceDN/>
        <w:adjustRightInd/>
        <w:textAlignment w:val="auto"/>
        <w:rPr>
          <w:rFonts w:cs="Arial"/>
          <w:szCs w:val="18"/>
          <w:lang w:val="en-US"/>
        </w:rPr>
      </w:pPr>
    </w:p>
    <w:p w:rsidR="00930E30" w:rsidRDefault="00930E30" w14:paraId="0230D2AE" w14:textId="77777777">
      <w:pPr>
        <w:overflowPunct/>
        <w:autoSpaceDE/>
        <w:autoSpaceDN/>
        <w:adjustRightInd/>
        <w:textAlignment w:val="auto"/>
        <w:rPr>
          <w:rFonts w:cs="Arial"/>
          <w:szCs w:val="18"/>
          <w:lang w:val="en-US"/>
        </w:rPr>
      </w:pPr>
    </w:p>
    <w:p w:rsidR="00930E30" w:rsidRDefault="00930E30" w14:paraId="5713031D" w14:textId="77777777">
      <w:pPr>
        <w:overflowPunct/>
        <w:autoSpaceDE/>
        <w:autoSpaceDN/>
        <w:adjustRightInd/>
        <w:textAlignment w:val="auto"/>
        <w:rPr>
          <w:rFonts w:cs="Arial"/>
          <w:szCs w:val="18"/>
          <w:lang w:val="en-US"/>
        </w:rPr>
      </w:pPr>
    </w:p>
    <w:p w:rsidR="00930E30" w:rsidRDefault="00930E30" w14:paraId="6349D351" w14:textId="77777777">
      <w:pPr>
        <w:overflowPunct/>
        <w:autoSpaceDE/>
        <w:autoSpaceDN/>
        <w:adjustRightInd/>
        <w:textAlignment w:val="auto"/>
        <w:rPr>
          <w:rFonts w:cs="Arial"/>
          <w:szCs w:val="18"/>
          <w:lang w:val="en-US"/>
        </w:rPr>
      </w:pPr>
    </w:p>
    <w:p w:rsidR="00930E30" w:rsidRDefault="00930E30" w14:paraId="40F6EF57" w14:textId="77777777">
      <w:pPr>
        <w:overflowPunct/>
        <w:autoSpaceDE/>
        <w:autoSpaceDN/>
        <w:adjustRightInd/>
        <w:textAlignment w:val="auto"/>
        <w:rPr>
          <w:rFonts w:cs="Arial"/>
          <w:szCs w:val="18"/>
          <w:lang w:val="en-US"/>
        </w:rPr>
      </w:pPr>
    </w:p>
    <w:p w:rsidR="00930E30" w:rsidRDefault="00930E30" w14:paraId="4F81C14E" w14:textId="77777777">
      <w:pPr>
        <w:overflowPunct/>
        <w:autoSpaceDE/>
        <w:autoSpaceDN/>
        <w:adjustRightInd/>
        <w:textAlignment w:val="auto"/>
        <w:rPr>
          <w:rFonts w:cs="Arial"/>
          <w:szCs w:val="18"/>
          <w:lang w:val="en-US"/>
        </w:rPr>
      </w:pPr>
    </w:p>
    <w:p w:rsidRPr="00471AA7" w:rsidR="00930E30" w:rsidRDefault="00930E30" w14:paraId="1C8CA0A3" w14:textId="77777777">
      <w:pPr>
        <w:overflowPunct/>
        <w:autoSpaceDE/>
        <w:autoSpaceDN/>
        <w:adjustRightInd/>
        <w:textAlignment w:val="auto"/>
        <w:rPr>
          <w:rFonts w:cs="Arial"/>
          <w:szCs w:val="18"/>
          <w:lang w:val="en-US"/>
        </w:rPr>
      </w:pPr>
    </w:p>
    <w:p w:rsidRPr="00471AA7" w:rsidR="00081451" w:rsidP="00A6396C" w:rsidRDefault="00BB410B" w14:paraId="4D23EC2B" w14:textId="7E4D3DDA">
      <w:pPr>
        <w:pStyle w:val="Kop3"/>
        <w:rPr>
          <w:rFonts w:ascii="Verdana" w:hAnsi="Verdana"/>
          <w:sz w:val="18"/>
          <w:szCs w:val="18"/>
          <w:lang w:val="en-US"/>
        </w:rPr>
      </w:pPr>
      <w:bookmarkStart w:name="_Toc484590192" w:id="62"/>
      <w:bookmarkStart w:name="_Toc484590381" w:id="63"/>
      <w:bookmarkStart w:name="_Toc484590467" w:id="64"/>
      <w:bookmarkStart w:name="_Toc497994166" w:id="65"/>
      <w:bookmarkStart w:name="_Toc499733038" w:id="66"/>
      <w:r w:rsidRPr="00471AA7">
        <w:rPr>
          <w:rFonts w:ascii="Verdana" w:hAnsi="Verdana"/>
          <w:sz w:val="18"/>
          <w:szCs w:val="18"/>
          <w:lang w:val="en-US"/>
        </w:rPr>
        <w:t>Appendix 1. The Processing of Personal Data</w:t>
      </w:r>
      <w:bookmarkEnd w:id="62"/>
      <w:bookmarkEnd w:id="63"/>
      <w:bookmarkEnd w:id="64"/>
      <w:bookmarkEnd w:id="65"/>
      <w:bookmarkEnd w:id="66"/>
    </w:p>
    <w:p w:rsidRPr="00471AA7" w:rsidR="00807E90" w:rsidP="00A6396C" w:rsidRDefault="00807E90" w14:paraId="5981EF8D" w14:textId="77777777">
      <w:pPr>
        <w:spacing w:line="276" w:lineRule="auto"/>
        <w:rPr>
          <w:szCs w:val="18"/>
          <w:lang w:val="en-US"/>
        </w:rPr>
      </w:pPr>
    </w:p>
    <w:p w:rsidRPr="00930E30" w:rsidR="003D7909" w:rsidP="003D7909" w:rsidRDefault="00AA1ACC" w14:paraId="22AD8985" w14:textId="536B9B5F">
      <w:pPr>
        <w:spacing w:line="276" w:lineRule="auto"/>
        <w:rPr>
          <w:szCs w:val="18"/>
          <w:lang w:val="en-US"/>
        </w:rPr>
      </w:pPr>
      <w:r w:rsidRPr="00471AA7">
        <w:rPr>
          <w:rFonts w:cs="Arial"/>
          <w:szCs w:val="18"/>
          <w:lang w:val="en-US"/>
        </w:rPr>
        <w:t>In any case, this Annex shall specify:</w:t>
      </w:r>
    </w:p>
    <w:p w:rsidRPr="00822359" w:rsidR="003D7909" w:rsidP="003D7909" w:rsidRDefault="003D7909" w14:paraId="768168AA" w14:textId="77777777">
      <w:pPr>
        <w:spacing w:line="276" w:lineRule="auto"/>
        <w:rPr>
          <w:szCs w:val="18"/>
          <w:lang w:val="en-US"/>
        </w:rPr>
      </w:pPr>
    </w:p>
    <w:tbl>
      <w:tblPr>
        <w:tblStyle w:val="Tabelraster"/>
        <w:tblW w:w="9611" w:type="dxa"/>
        <w:tblInd w:w="-289" w:type="dxa"/>
        <w:tblLook w:val="04A0" w:firstRow="1" w:lastRow="0" w:firstColumn="1" w:lastColumn="0" w:noHBand="0" w:noVBand="1"/>
      </w:tblPr>
      <w:tblGrid>
        <w:gridCol w:w="4862"/>
        <w:gridCol w:w="4749"/>
      </w:tblGrid>
      <w:tr w:rsidRPr="002D56C7" w:rsidR="003D7909" w:rsidTr="0CA5132C" w14:paraId="57A7789A" w14:textId="77777777">
        <w:tc>
          <w:tcPr>
            <w:tcW w:w="9611" w:type="dxa"/>
            <w:gridSpan w:val="2"/>
            <w:tcMar/>
          </w:tcPr>
          <w:p w:rsidRPr="002D56C7" w:rsidR="003D7909" w:rsidP="0CA5132C" w:rsidRDefault="003D7909" w14:paraId="5D99282F" w14:textId="77777777">
            <w:pPr>
              <w:pStyle w:val="Geenafstand"/>
              <w:rPr>
                <w:rFonts w:ascii="Verdana" w:hAnsi="Verdana"/>
                <w:sz w:val="18"/>
                <w:szCs w:val="18"/>
                <w:lang w:val="nl-NL"/>
              </w:rPr>
            </w:pPr>
            <w:r w:rsidRPr="0CA5132C" w:rsidR="003D7909">
              <w:rPr>
                <w:rFonts w:ascii="Verdana" w:hAnsi="Verdana"/>
                <w:b w:val="1"/>
                <w:bCs w:val="1"/>
                <w:sz w:val="18"/>
                <w:szCs w:val="18"/>
                <w:lang w:val="nl-NL"/>
              </w:rPr>
              <w:t>To</w:t>
            </w:r>
            <w:r w:rsidRPr="0CA5132C" w:rsidR="003D7909">
              <w:rPr>
                <w:rFonts w:ascii="Verdana" w:hAnsi="Verdana"/>
                <w:b w:val="1"/>
                <w:bCs w:val="1"/>
                <w:sz w:val="18"/>
                <w:szCs w:val="18"/>
                <w:lang w:val="nl-NL"/>
              </w:rPr>
              <w:t xml:space="preserve"> </w:t>
            </w:r>
            <w:r w:rsidRPr="0CA5132C" w:rsidR="003D7909">
              <w:rPr>
                <w:rFonts w:ascii="Verdana" w:hAnsi="Verdana"/>
                <w:b w:val="1"/>
                <w:bCs w:val="1"/>
                <w:sz w:val="18"/>
                <w:szCs w:val="18"/>
                <w:lang w:val="nl-NL"/>
              </w:rPr>
              <w:t>be</w:t>
            </w:r>
            <w:r w:rsidRPr="0CA5132C" w:rsidR="003D7909">
              <w:rPr>
                <w:rFonts w:ascii="Verdana" w:hAnsi="Verdana"/>
                <w:b w:val="1"/>
                <w:bCs w:val="1"/>
                <w:sz w:val="18"/>
                <w:szCs w:val="18"/>
                <w:lang w:val="nl-NL"/>
              </w:rPr>
              <w:t xml:space="preserve"> </w:t>
            </w:r>
            <w:r w:rsidRPr="0CA5132C" w:rsidR="003D7909">
              <w:rPr>
                <w:rFonts w:ascii="Verdana" w:hAnsi="Verdana"/>
                <w:b w:val="1"/>
                <w:bCs w:val="1"/>
                <w:sz w:val="18"/>
                <w:szCs w:val="18"/>
                <w:lang w:val="nl-NL"/>
              </w:rPr>
              <w:t>completed</w:t>
            </w:r>
            <w:r w:rsidRPr="0CA5132C" w:rsidR="003D7909">
              <w:rPr>
                <w:rFonts w:ascii="Verdana" w:hAnsi="Verdana"/>
                <w:b w:val="1"/>
                <w:bCs w:val="1"/>
                <w:sz w:val="18"/>
                <w:szCs w:val="18"/>
                <w:lang w:val="nl-NL"/>
              </w:rPr>
              <w:t xml:space="preserve"> </w:t>
            </w:r>
            <w:r w:rsidRPr="0CA5132C" w:rsidR="003D7909">
              <w:rPr>
                <w:rFonts w:ascii="Verdana" w:hAnsi="Verdana"/>
                <w:b w:val="1"/>
                <w:bCs w:val="1"/>
                <w:sz w:val="18"/>
                <w:szCs w:val="18"/>
                <w:lang w:val="nl-NL"/>
              </w:rPr>
              <w:t>by</w:t>
            </w:r>
            <w:r w:rsidRPr="0CA5132C" w:rsidR="003D7909">
              <w:rPr>
                <w:rFonts w:ascii="Verdana" w:hAnsi="Verdana"/>
                <w:b w:val="1"/>
                <w:bCs w:val="1"/>
                <w:sz w:val="18"/>
                <w:szCs w:val="18"/>
                <w:lang w:val="nl-NL"/>
              </w:rPr>
              <w:t xml:space="preserve"> </w:t>
            </w:r>
            <w:r w:rsidRPr="0CA5132C" w:rsidR="003D7909">
              <w:rPr>
                <w:rFonts w:ascii="Verdana" w:hAnsi="Verdana"/>
                <w:b w:val="1"/>
                <w:bCs w:val="1"/>
                <w:sz w:val="18"/>
                <w:szCs w:val="18"/>
                <w:lang w:val="nl-NL"/>
              </w:rPr>
              <w:t>the</w:t>
            </w:r>
            <w:r w:rsidRPr="0CA5132C" w:rsidR="003D7909">
              <w:rPr>
                <w:rFonts w:ascii="Verdana" w:hAnsi="Verdana"/>
                <w:b w:val="1"/>
                <w:bCs w:val="1"/>
                <w:sz w:val="18"/>
                <w:szCs w:val="18"/>
                <w:lang w:val="nl-NL"/>
              </w:rPr>
              <w:t xml:space="preserve"> </w:t>
            </w:r>
            <w:r w:rsidRPr="0CA5132C" w:rsidR="003D7909">
              <w:rPr>
                <w:rFonts w:ascii="Verdana" w:hAnsi="Verdana"/>
                <w:b w:val="1"/>
                <w:bCs w:val="1"/>
                <w:sz w:val="18"/>
                <w:szCs w:val="18"/>
                <w:lang w:val="nl-NL"/>
              </w:rPr>
              <w:t>Contracting</w:t>
            </w:r>
            <w:r w:rsidRPr="0CA5132C" w:rsidR="003D7909">
              <w:rPr>
                <w:rFonts w:ascii="Verdana" w:hAnsi="Verdana"/>
                <w:b w:val="1"/>
                <w:bCs w:val="1"/>
                <w:sz w:val="18"/>
                <w:szCs w:val="18"/>
                <w:lang w:val="nl-NL"/>
              </w:rPr>
              <w:t xml:space="preserve"> </w:t>
            </w:r>
            <w:r w:rsidRPr="0CA5132C" w:rsidR="003D7909">
              <w:rPr>
                <w:rFonts w:ascii="Verdana" w:hAnsi="Verdana"/>
                <w:b w:val="1"/>
                <w:bCs w:val="1"/>
                <w:sz w:val="18"/>
                <w:szCs w:val="18"/>
                <w:lang w:val="nl-NL"/>
              </w:rPr>
              <w:t>Authority</w:t>
            </w:r>
            <w:r w:rsidRPr="0CA5132C" w:rsidR="003D7909">
              <w:rPr>
                <w:rFonts w:ascii="Verdana" w:hAnsi="Verdana"/>
                <w:b w:val="1"/>
                <w:bCs w:val="1"/>
                <w:sz w:val="18"/>
                <w:szCs w:val="18"/>
                <w:lang w:val="nl-NL"/>
              </w:rPr>
              <w:t xml:space="preserve"> (The Controller)</w:t>
            </w:r>
          </w:p>
        </w:tc>
      </w:tr>
      <w:tr w:rsidRPr="002D56C7" w:rsidR="003D7909" w:rsidTr="0CA5132C" w14:paraId="06B4670C" w14:textId="77777777">
        <w:trPr>
          <w:trHeight w:val="150"/>
        </w:trPr>
        <w:tc>
          <w:tcPr>
            <w:tcW w:w="4862" w:type="dxa"/>
            <w:tcMar/>
          </w:tcPr>
          <w:p w:rsidRPr="002D56C7" w:rsidR="003D7909" w:rsidP="0CA5132C" w:rsidRDefault="003D7909" w14:paraId="4ECA8A81" w14:textId="77777777">
            <w:pPr>
              <w:pStyle w:val="Geenafstand"/>
              <w:rPr>
                <w:i w:val="1"/>
                <w:iCs w:val="1"/>
                <w:lang w:val="nl-NL"/>
              </w:rPr>
            </w:pPr>
            <w:r w:rsidRPr="0CA5132C" w:rsidR="003D7909">
              <w:rPr>
                <w:lang w:val="nl-NL"/>
              </w:rPr>
              <w:t xml:space="preserve">Name of Controller </w:t>
            </w:r>
            <w:r w:rsidRPr="0CA5132C" w:rsidR="003D7909">
              <w:rPr>
                <w:lang w:val="nl-NL"/>
              </w:rPr>
              <w:t>including</w:t>
            </w:r>
            <w:r w:rsidRPr="0CA5132C" w:rsidR="003D7909">
              <w:rPr>
                <w:lang w:val="nl-NL"/>
              </w:rPr>
              <w:t xml:space="preserve"> contact details</w:t>
            </w:r>
          </w:p>
        </w:tc>
        <w:tc>
          <w:tcPr>
            <w:tcW w:w="4749" w:type="dxa"/>
            <w:tcMar/>
          </w:tcPr>
          <w:p w:rsidRPr="00822359" w:rsidR="003D7909" w:rsidRDefault="003D7909" w14:paraId="4B30598B" w14:textId="77777777">
            <w:pPr>
              <w:rPr>
                <w:lang w:val="en-US"/>
              </w:rPr>
            </w:pPr>
            <w:r w:rsidRPr="00822359">
              <w:rPr>
                <w:lang w:val="en-US"/>
              </w:rPr>
              <w:t xml:space="preserve">The Minister of Economic Affairs, on behalf of the </w:t>
            </w:r>
            <w:r>
              <w:rPr>
                <w:lang w:val="en-US"/>
              </w:rPr>
              <w:t xml:space="preserve">Director-General </w:t>
            </w:r>
            <w:r w:rsidRPr="00822359">
              <w:rPr>
                <w:lang w:val="en-US"/>
              </w:rPr>
              <w:t>of the Netherlands Enterprise Agency (</w:t>
            </w:r>
            <w:r w:rsidRPr="000A08C5">
              <w:rPr>
                <w:i/>
                <w:iCs/>
                <w:lang w:val="en-US"/>
              </w:rPr>
              <w:t>RVO</w:t>
            </w:r>
            <w:r w:rsidRPr="00822359">
              <w:rPr>
                <w:lang w:val="en-US"/>
              </w:rPr>
              <w:t>):</w:t>
            </w:r>
          </w:p>
          <w:p w:rsidRPr="00822359" w:rsidR="003D7909" w:rsidRDefault="003D7909" w14:paraId="18E80BCE" w14:textId="77777777">
            <w:pPr>
              <w:rPr>
                <w:iCs/>
                <w:szCs w:val="18"/>
                <w:lang w:val="en-US"/>
              </w:rPr>
            </w:pPr>
            <w:r w:rsidRPr="00822359">
              <w:rPr>
                <w:iCs/>
                <w:szCs w:val="18"/>
                <w:lang w:val="en-US"/>
              </w:rPr>
              <w:t>Mr. A. Choho (General director of RVO)</w:t>
            </w:r>
          </w:p>
          <w:p w:rsidRPr="00822359" w:rsidR="003D7909" w:rsidRDefault="003D7909" w14:paraId="19199D4E" w14:textId="77777777">
            <w:pPr>
              <w:rPr>
                <w:iCs/>
                <w:szCs w:val="18"/>
                <w:lang w:val="en-US"/>
              </w:rPr>
            </w:pPr>
            <w:r w:rsidRPr="00822359">
              <w:rPr>
                <w:rFonts w:cs="Arial"/>
                <w:color w:val="000000"/>
                <w:szCs w:val="18"/>
                <w:lang w:val="en-US"/>
              </w:rPr>
              <w:t>PO Box 93144, 2509 AC The Hague</w:t>
            </w:r>
          </w:p>
        </w:tc>
      </w:tr>
      <w:tr w:rsidRPr="00F34F78" w:rsidR="003D7909" w:rsidTr="0CA5132C" w14:paraId="2EACDCAB" w14:textId="77777777">
        <w:trPr>
          <w:trHeight w:val="150"/>
        </w:trPr>
        <w:tc>
          <w:tcPr>
            <w:tcW w:w="4862" w:type="dxa"/>
            <w:tcMar/>
          </w:tcPr>
          <w:p w:rsidRPr="002D56C7" w:rsidR="003D7909" w:rsidP="0CA5132C" w:rsidRDefault="003D7909" w14:paraId="51E1E331" w14:textId="77777777">
            <w:pPr>
              <w:pStyle w:val="Geenafstand"/>
              <w:rPr>
                <w:i w:val="1"/>
                <w:iCs w:val="1"/>
                <w:lang w:val="nl-NL"/>
              </w:rPr>
            </w:pPr>
            <w:r w:rsidRPr="0CA5132C" w:rsidR="003D7909">
              <w:rPr>
                <w:lang w:val="nl-NL"/>
              </w:rPr>
              <w:t xml:space="preserve">Contact details of </w:t>
            </w:r>
            <w:r w:rsidRPr="0CA5132C" w:rsidR="003D7909">
              <w:rPr>
                <w:lang w:val="nl-NL"/>
              </w:rPr>
              <w:t>the</w:t>
            </w:r>
            <w:r w:rsidRPr="0CA5132C" w:rsidR="003D7909">
              <w:rPr>
                <w:lang w:val="nl-NL"/>
              </w:rPr>
              <w:t xml:space="preserve"> </w:t>
            </w:r>
            <w:r w:rsidRPr="0CA5132C" w:rsidR="003D7909">
              <w:rPr>
                <w:lang w:val="nl-NL"/>
              </w:rPr>
              <w:t>Controller's</w:t>
            </w:r>
            <w:r w:rsidRPr="0CA5132C" w:rsidR="003D7909">
              <w:rPr>
                <w:lang w:val="nl-NL"/>
              </w:rPr>
              <w:t xml:space="preserve"> </w:t>
            </w:r>
            <w:r w:rsidRPr="0CA5132C" w:rsidR="003D7909">
              <w:rPr>
                <w:lang w:val="nl-NL"/>
              </w:rPr>
              <w:t>representative</w:t>
            </w:r>
          </w:p>
        </w:tc>
        <w:tc>
          <w:tcPr>
            <w:tcW w:w="4749" w:type="dxa"/>
            <w:tcMar/>
          </w:tcPr>
          <w:p w:rsidRPr="00822359" w:rsidR="003D7909" w:rsidRDefault="003D7909" w14:paraId="61D5B29B" w14:textId="7D6CA996">
            <w:pPr>
              <w:spacing w:line="276" w:lineRule="auto"/>
              <w:rPr>
                <w:lang w:val="en-US"/>
              </w:rPr>
            </w:pPr>
            <w:r w:rsidRPr="00822359">
              <w:rPr>
                <w:lang w:val="en-US"/>
              </w:rPr>
              <w:t xml:space="preserve">Directorate </w:t>
            </w:r>
            <w:r w:rsidR="00CC0A22">
              <w:rPr>
                <w:lang w:val="en-US"/>
              </w:rPr>
              <w:t>Innovation &amp; Entrepreneurship</w:t>
            </w:r>
            <w:r w:rsidRPr="00822359">
              <w:rPr>
                <w:lang w:val="en-US"/>
              </w:rPr>
              <w:t xml:space="preserve">, </w:t>
            </w:r>
          </w:p>
          <w:p w:rsidR="003D7909" w:rsidRDefault="00F34F78" w14:paraId="5E31BC0C" w14:textId="4C93D628">
            <w:pPr>
              <w:rPr>
                <w:iCs/>
                <w:szCs w:val="18"/>
                <w:lang w:val="en-US"/>
              </w:rPr>
            </w:pPr>
            <w:r>
              <w:rPr>
                <w:iCs/>
                <w:szCs w:val="18"/>
                <w:lang w:val="en-US"/>
              </w:rPr>
              <w:t>NFIA</w:t>
            </w:r>
            <w:r w:rsidR="003D7909">
              <w:rPr>
                <w:iCs/>
                <w:szCs w:val="18"/>
                <w:lang w:val="en-US"/>
              </w:rPr>
              <w:t>,</w:t>
            </w:r>
          </w:p>
          <w:p w:rsidRPr="00822359" w:rsidR="00F34F78" w:rsidRDefault="00F34F78" w14:paraId="2BBB7032" w14:textId="1B5C834C">
            <w:pPr>
              <w:rPr>
                <w:iCs/>
                <w:szCs w:val="18"/>
                <w:lang w:val="en-US"/>
              </w:rPr>
            </w:pPr>
            <w:r>
              <w:rPr>
                <w:iCs/>
                <w:szCs w:val="18"/>
                <w:lang w:val="en-US"/>
              </w:rPr>
              <w:t>Hilde van der Meer</w:t>
            </w:r>
          </w:p>
          <w:p w:rsidRPr="00822359" w:rsidR="003D7909" w:rsidRDefault="003D7909" w14:paraId="10EB51C6" w14:textId="77777777">
            <w:pPr>
              <w:spacing w:line="276" w:lineRule="auto"/>
              <w:rPr>
                <w:lang w:val="en-US"/>
              </w:rPr>
            </w:pPr>
            <w:r w:rsidRPr="00822359">
              <w:rPr>
                <w:rFonts w:cs="Arial"/>
                <w:color w:val="000000"/>
                <w:szCs w:val="18"/>
                <w:lang w:val="en-US"/>
              </w:rPr>
              <w:t>PO Box 93144, 2509 AC The Hague</w:t>
            </w:r>
          </w:p>
        </w:tc>
      </w:tr>
      <w:tr w:rsidRPr="00822359" w:rsidR="003D7909" w:rsidTr="0CA5132C" w14:paraId="6415DBF5" w14:textId="77777777">
        <w:trPr>
          <w:trHeight w:val="150"/>
        </w:trPr>
        <w:tc>
          <w:tcPr>
            <w:tcW w:w="4862" w:type="dxa"/>
            <w:tcMar/>
          </w:tcPr>
          <w:p w:rsidRPr="00771D7A" w:rsidR="003D7909" w:rsidP="0CA5132C" w:rsidRDefault="003D7909" w14:paraId="389A4764" w14:textId="77777777">
            <w:pPr>
              <w:pStyle w:val="Geenafstand"/>
              <w:rPr>
                <w:i w:val="1"/>
                <w:iCs w:val="1"/>
                <w:lang w:val="nl-NL"/>
              </w:rPr>
            </w:pPr>
            <w:r w:rsidRPr="0CA5132C" w:rsidR="003D7909">
              <w:rPr>
                <w:rStyle w:val="y2iqfc"/>
                <w:rFonts w:ascii="Verdana" w:hAnsi="Verdana"/>
                <w:color w:val="202124"/>
                <w:sz w:val="18"/>
                <w:szCs w:val="18"/>
                <w:lang w:val="nl-NL"/>
              </w:rPr>
              <w:t xml:space="preserve">Contact details DPO of </w:t>
            </w:r>
            <w:r w:rsidRPr="0CA5132C" w:rsidR="003D7909">
              <w:rPr>
                <w:rStyle w:val="y2iqfc"/>
                <w:rFonts w:ascii="Verdana" w:hAnsi="Verdana"/>
                <w:color w:val="202124"/>
                <w:sz w:val="18"/>
                <w:szCs w:val="18"/>
                <w:lang w:val="nl-NL"/>
              </w:rPr>
              <w:t>the</w:t>
            </w:r>
            <w:r w:rsidRPr="0CA5132C" w:rsidR="003D7909">
              <w:rPr>
                <w:rStyle w:val="y2iqfc"/>
                <w:rFonts w:ascii="Verdana" w:hAnsi="Verdana"/>
                <w:color w:val="202124"/>
                <w:sz w:val="18"/>
                <w:szCs w:val="18"/>
                <w:lang w:val="nl-NL"/>
              </w:rPr>
              <w:t xml:space="preserve"> Controller</w:t>
            </w:r>
          </w:p>
        </w:tc>
        <w:tc>
          <w:tcPr>
            <w:tcW w:w="4749" w:type="dxa"/>
            <w:tcMar/>
          </w:tcPr>
          <w:p w:rsidR="003D7909" w:rsidRDefault="003D7909" w14:paraId="11B194CF" w14:textId="77777777">
            <w:pPr>
              <w:rPr>
                <w:iCs/>
                <w:szCs w:val="18"/>
                <w:lang w:val="en-US"/>
              </w:rPr>
            </w:pPr>
            <w:r>
              <w:rPr>
                <w:iCs/>
                <w:szCs w:val="18"/>
                <w:lang w:val="en-US"/>
              </w:rPr>
              <w:t>Data Protection Officer of the Ministry of Economic Affairs</w:t>
            </w:r>
          </w:p>
          <w:p w:rsidRPr="00D4371E" w:rsidR="003D7909" w:rsidRDefault="003D7909" w14:paraId="64A675A1" w14:textId="77777777">
            <w:pPr>
              <w:rPr>
                <w:iCs/>
                <w:szCs w:val="18"/>
              </w:rPr>
            </w:pPr>
            <w:r>
              <w:rPr>
                <w:iCs/>
                <w:szCs w:val="18"/>
              </w:rPr>
              <w:t>Bureau Bestuursraad</w:t>
            </w:r>
          </w:p>
          <w:p w:rsidRPr="00D4371E" w:rsidR="003D7909" w:rsidRDefault="003D7909" w14:paraId="60FB96AD" w14:textId="77777777">
            <w:pPr>
              <w:rPr>
                <w:iCs/>
                <w:szCs w:val="18"/>
              </w:rPr>
            </w:pPr>
            <w:r w:rsidRPr="00D4371E">
              <w:rPr>
                <w:iCs/>
                <w:szCs w:val="18"/>
              </w:rPr>
              <w:t>PO Box 20401</w:t>
            </w:r>
          </w:p>
          <w:p w:rsidRPr="00D4371E" w:rsidR="003D7909" w:rsidRDefault="003D7909" w14:paraId="2ED047FC" w14:textId="77777777">
            <w:pPr>
              <w:rPr>
                <w:iCs/>
                <w:szCs w:val="18"/>
              </w:rPr>
            </w:pPr>
            <w:r w:rsidRPr="00D4371E">
              <w:rPr>
                <w:iCs/>
                <w:szCs w:val="18"/>
              </w:rPr>
              <w:t>2500 EK The Hague</w:t>
            </w:r>
          </w:p>
          <w:p w:rsidRPr="00D4371E" w:rsidR="003D7909" w:rsidRDefault="003D7909" w14:paraId="07665FEC" w14:textId="77777777">
            <w:pPr>
              <w:rPr>
                <w:iCs/>
                <w:szCs w:val="18"/>
              </w:rPr>
            </w:pPr>
          </w:p>
          <w:p w:rsidRPr="00D4371E" w:rsidR="003D7909" w:rsidRDefault="003D7909" w14:paraId="7D7A9E3F" w14:textId="77777777">
            <w:pPr>
              <w:rPr>
                <w:iCs/>
                <w:szCs w:val="18"/>
              </w:rPr>
            </w:pPr>
            <w:hyperlink w:history="1" r:id="rId15">
              <w:r w:rsidRPr="002445FB">
                <w:rPr>
                  <w:rStyle w:val="Hyperlink"/>
                  <w:iCs/>
                  <w:szCs w:val="18"/>
                </w:rPr>
                <w:t>PbFG@minezk.nl</w:t>
              </w:r>
            </w:hyperlink>
          </w:p>
        </w:tc>
      </w:tr>
      <w:tr w:rsidRPr="002D56C7" w:rsidR="003D7909" w:rsidTr="0CA5132C" w14:paraId="0CF9C43C" w14:textId="77777777">
        <w:trPr>
          <w:trHeight w:val="150"/>
        </w:trPr>
        <w:tc>
          <w:tcPr>
            <w:tcW w:w="4862" w:type="dxa"/>
            <w:tcMar/>
          </w:tcPr>
          <w:p w:rsidRPr="00822359" w:rsidR="003D7909" w:rsidRDefault="003D7909" w14:paraId="35A4369F" w14:textId="77777777">
            <w:pPr>
              <w:pStyle w:val="Geenafstand"/>
            </w:pPr>
            <w:r w:rsidRPr="0CA5132C" w:rsidR="003D7909">
              <w:rPr>
                <w:rStyle w:val="y2iqfc"/>
                <w:rFonts w:ascii="Verdana" w:hAnsi="Verdana"/>
                <w:color w:val="202124"/>
                <w:sz w:val="18"/>
                <w:szCs w:val="18"/>
                <w:lang w:val="nl-NL"/>
              </w:rPr>
              <w:t xml:space="preserve">The subject/nature </w:t>
            </w:r>
            <w:r w:rsidRPr="0CA5132C" w:rsidR="003D7909">
              <w:rPr>
                <w:rStyle w:val="y2iqfc"/>
                <w:rFonts w:ascii="Verdana" w:hAnsi="Verdana"/>
                <w:color w:val="202124"/>
                <w:sz w:val="18"/>
                <w:szCs w:val="18"/>
                <w:lang w:val="nl-NL"/>
              </w:rPr>
              <w:t>and</w:t>
            </w:r>
            <w:r w:rsidRPr="0CA5132C" w:rsidR="003D7909">
              <w:rPr>
                <w:rStyle w:val="y2iqfc"/>
                <w:rFonts w:ascii="Verdana" w:hAnsi="Verdana"/>
                <w:color w:val="202124"/>
                <w:sz w:val="18"/>
                <w:szCs w:val="18"/>
                <w:lang w:val="nl-NL"/>
              </w:rPr>
              <w:t xml:space="preserve"> </w:t>
            </w:r>
            <w:r w:rsidRPr="0CA5132C" w:rsidR="003D7909">
              <w:rPr>
                <w:rStyle w:val="y2iqfc"/>
                <w:rFonts w:ascii="Verdana" w:hAnsi="Verdana"/>
                <w:color w:val="202124"/>
                <w:sz w:val="18"/>
                <w:szCs w:val="18"/>
                <w:lang w:val="nl-NL"/>
              </w:rPr>
              <w:t>purpose</w:t>
            </w:r>
            <w:r w:rsidRPr="0CA5132C" w:rsidR="003D7909">
              <w:rPr>
                <w:rStyle w:val="y2iqfc"/>
                <w:rFonts w:ascii="Verdana" w:hAnsi="Verdana"/>
                <w:color w:val="202124"/>
                <w:sz w:val="18"/>
                <w:szCs w:val="18"/>
                <w:lang w:val="nl-NL"/>
              </w:rPr>
              <w:t xml:space="preserve"> of </w:t>
            </w:r>
            <w:r w:rsidRPr="0CA5132C" w:rsidR="003D7909">
              <w:rPr>
                <w:rStyle w:val="y2iqfc"/>
                <w:rFonts w:ascii="Verdana" w:hAnsi="Verdana"/>
                <w:color w:val="202124"/>
                <w:sz w:val="18"/>
                <w:szCs w:val="18"/>
                <w:lang w:val="nl-NL"/>
              </w:rPr>
              <w:t>the</w:t>
            </w:r>
            <w:r w:rsidRPr="0CA5132C" w:rsidR="003D7909">
              <w:rPr>
                <w:rStyle w:val="y2iqfc"/>
                <w:rFonts w:ascii="Verdana" w:hAnsi="Verdana"/>
                <w:color w:val="202124"/>
                <w:sz w:val="18"/>
                <w:szCs w:val="18"/>
                <w:lang w:val="nl-NL"/>
              </w:rPr>
              <w:t xml:space="preserve"> Processing</w:t>
            </w:r>
          </w:p>
        </w:tc>
        <w:tc>
          <w:tcPr>
            <w:tcW w:w="4749" w:type="dxa"/>
            <w:tcMar/>
          </w:tcPr>
          <w:p w:rsidRPr="00822359" w:rsidR="003D7909" w:rsidRDefault="00A1686E" w14:paraId="77D04BD3" w14:textId="5731036A">
            <w:pPr>
              <w:rPr>
                <w:rFonts w:eastAsia="Verdana"/>
                <w:szCs w:val="18"/>
                <w:lang w:val="en-US"/>
              </w:rPr>
            </w:pPr>
            <w:r>
              <w:rPr>
                <w:rFonts w:eastAsia="Verdana"/>
                <w:szCs w:val="18"/>
                <w:lang w:val="en-US"/>
              </w:rPr>
              <w:t>P</w:t>
            </w:r>
            <w:r w:rsidRPr="00A1686E">
              <w:rPr>
                <w:rFonts w:eastAsia="Verdana"/>
                <w:szCs w:val="18"/>
                <w:lang w:val="en-US"/>
              </w:rPr>
              <w:t xml:space="preserve">romote the Netherlands as a basis for international/European </w:t>
            </w:r>
            <w:r w:rsidR="006074B1">
              <w:rPr>
                <w:rFonts w:eastAsia="Verdana"/>
                <w:szCs w:val="18"/>
                <w:lang w:val="en-US"/>
              </w:rPr>
              <w:t xml:space="preserve">business </w:t>
            </w:r>
            <w:r w:rsidRPr="00A1686E">
              <w:rPr>
                <w:rFonts w:eastAsia="Verdana"/>
                <w:szCs w:val="18"/>
                <w:lang w:val="en-US"/>
              </w:rPr>
              <w:t>activities</w:t>
            </w:r>
          </w:p>
        </w:tc>
      </w:tr>
      <w:tr w:rsidRPr="002D56C7" w:rsidR="003D7909" w:rsidTr="0CA5132C" w14:paraId="0F438618" w14:textId="77777777">
        <w:trPr>
          <w:trHeight w:val="150"/>
        </w:trPr>
        <w:tc>
          <w:tcPr>
            <w:tcW w:w="4862" w:type="dxa"/>
            <w:tcMar/>
          </w:tcPr>
          <w:p w:rsidRPr="00822359" w:rsidR="003D7909" w:rsidRDefault="003D7909" w14:paraId="64E9D888" w14:textId="77777777">
            <w:pPr>
              <w:pStyle w:val="Geenafstand"/>
            </w:pPr>
            <w:r w:rsidRPr="00822359">
              <w:rPr>
                <w:rStyle w:val="y2iqfc"/>
                <w:rFonts w:ascii="Verdana" w:hAnsi="Verdana"/>
                <w:color w:val="202124"/>
                <w:sz w:val="18"/>
                <w:szCs w:val="18"/>
              </w:rPr>
              <w:t>The type of Personal Data</w:t>
            </w:r>
          </w:p>
        </w:tc>
        <w:tc>
          <w:tcPr>
            <w:tcW w:w="4749" w:type="dxa"/>
            <w:tcMar/>
          </w:tcPr>
          <w:p w:rsidRPr="006074B1" w:rsidR="003D7909" w:rsidP="006074B1" w:rsidRDefault="003D7909" w14:paraId="7235ED6B" w14:textId="77777777">
            <w:pPr>
              <w:pStyle w:val="Lijstalinea"/>
              <w:numPr>
                <w:ilvl w:val="0"/>
                <w:numId w:val="26"/>
              </w:numPr>
              <w:overflowPunct/>
              <w:autoSpaceDE/>
              <w:autoSpaceDN/>
              <w:adjustRightInd/>
              <w:spacing w:line="240" w:lineRule="atLeast"/>
              <w:textAlignment w:val="auto"/>
              <w:rPr>
                <w:rFonts w:eastAsia="Calibri" w:cs="Times New Roman"/>
                <w:szCs w:val="18"/>
                <w:lang w:val="en-US"/>
              </w:rPr>
            </w:pPr>
            <w:r w:rsidRPr="006074B1">
              <w:rPr>
                <w:rFonts w:eastAsia="Calibri" w:cs="Times New Roman"/>
                <w:szCs w:val="18"/>
                <w:lang w:val="en-US"/>
              </w:rPr>
              <w:t xml:space="preserve">Name (first name, last name, prefix, initials) </w:t>
            </w:r>
          </w:p>
          <w:p w:rsidRPr="006074B1" w:rsidR="003D7909" w:rsidP="006074B1" w:rsidRDefault="003D7909" w14:paraId="19E22393" w14:textId="42A3F470">
            <w:pPr>
              <w:pStyle w:val="Lijstalinea"/>
              <w:numPr>
                <w:ilvl w:val="0"/>
                <w:numId w:val="26"/>
              </w:numPr>
              <w:overflowPunct/>
              <w:autoSpaceDE/>
              <w:autoSpaceDN/>
              <w:adjustRightInd/>
              <w:spacing w:line="240" w:lineRule="atLeast"/>
              <w:textAlignment w:val="auto"/>
              <w:rPr>
                <w:rFonts w:eastAsia="Calibri" w:cs="Times New Roman"/>
                <w:szCs w:val="18"/>
                <w:lang w:val="en-US"/>
              </w:rPr>
            </w:pPr>
            <w:r w:rsidRPr="006074B1">
              <w:rPr>
                <w:rFonts w:eastAsia="Calibri" w:cs="Times New Roman"/>
                <w:szCs w:val="18"/>
                <w:lang w:val="en-US"/>
              </w:rPr>
              <w:t>Contact details (e-mail address</w:t>
            </w:r>
            <w:r w:rsidR="00613535">
              <w:rPr>
                <w:rFonts w:eastAsia="Calibri" w:cs="Times New Roman"/>
                <w:szCs w:val="18"/>
                <w:lang w:val="en-US"/>
              </w:rPr>
              <w:t>,</w:t>
            </w:r>
            <w:r w:rsidR="00613535">
              <w:t xml:space="preserve"> </w:t>
            </w:r>
            <w:r w:rsidRPr="00613535" w:rsidR="00613535">
              <w:rPr>
                <w:rFonts w:eastAsia="Calibri" w:cs="Times New Roman"/>
                <w:szCs w:val="18"/>
                <w:lang w:val="en-US"/>
              </w:rPr>
              <w:t>business phone</w:t>
            </w:r>
            <w:r w:rsidR="00613535">
              <w:rPr>
                <w:rFonts w:eastAsia="Calibri" w:cs="Times New Roman"/>
                <w:szCs w:val="18"/>
                <w:lang w:val="en-US"/>
              </w:rPr>
              <w:t xml:space="preserve"> </w:t>
            </w:r>
            <w:r w:rsidRPr="006074B1">
              <w:rPr>
                <w:rFonts w:eastAsia="Calibri" w:cs="Times New Roman"/>
                <w:szCs w:val="18"/>
                <w:lang w:val="en-US"/>
              </w:rPr>
              <w:t>)</w:t>
            </w:r>
          </w:p>
          <w:p w:rsidRPr="006074B1" w:rsidR="003D7909" w:rsidP="006074B1" w:rsidRDefault="006074B1" w14:paraId="137B8211" w14:textId="488CFA6F">
            <w:pPr>
              <w:pStyle w:val="Lijstalinea"/>
              <w:numPr>
                <w:ilvl w:val="0"/>
                <w:numId w:val="26"/>
              </w:numPr>
              <w:rPr>
                <w:rFonts w:eastAsia="Calibri" w:cs="Arial"/>
                <w:lang w:val="en-US" w:eastAsia="en-US"/>
              </w:rPr>
            </w:pPr>
            <w:r>
              <w:rPr>
                <w:rFonts w:eastAsia="Calibri" w:cs="Arial"/>
                <w:lang w:val="en-US" w:eastAsia="en-US"/>
              </w:rPr>
              <w:t>Job title and company name</w:t>
            </w:r>
          </w:p>
          <w:p w:rsidRPr="00822359" w:rsidR="003D7909" w:rsidP="00A1686E" w:rsidRDefault="003D7909" w14:paraId="2C1C6BEB" w14:textId="2144994D">
            <w:pPr>
              <w:overflowPunct/>
              <w:autoSpaceDE/>
              <w:autoSpaceDN/>
              <w:adjustRightInd/>
              <w:spacing w:line="240" w:lineRule="atLeast"/>
              <w:textAlignment w:val="auto"/>
              <w:rPr>
                <w:iCs/>
                <w:lang w:val="en-US"/>
              </w:rPr>
            </w:pPr>
          </w:p>
          <w:p w:rsidRPr="00822359" w:rsidR="003D7909" w:rsidRDefault="003D7909" w14:paraId="5964E8CA" w14:textId="77777777">
            <w:pPr>
              <w:rPr>
                <w:iCs/>
                <w:szCs w:val="18"/>
                <w:lang w:val="en-US"/>
              </w:rPr>
            </w:pPr>
          </w:p>
        </w:tc>
      </w:tr>
      <w:tr w:rsidRPr="00822359" w:rsidR="003D7909" w:rsidTr="0CA5132C" w14:paraId="59EEDB40" w14:textId="77777777">
        <w:trPr>
          <w:trHeight w:val="150"/>
        </w:trPr>
        <w:tc>
          <w:tcPr>
            <w:tcW w:w="4862" w:type="dxa"/>
            <w:tcMar/>
          </w:tcPr>
          <w:p w:rsidRPr="002D56C7" w:rsidR="003D7909" w:rsidP="0CA5132C" w:rsidRDefault="003D7909" w14:paraId="2C7C1219" w14:textId="77777777">
            <w:pPr>
              <w:pStyle w:val="Geenafstand"/>
              <w:rPr>
                <w:color w:val="202124"/>
                <w:lang w:val="nl-NL"/>
              </w:rPr>
            </w:pPr>
            <w:r w:rsidRPr="0CA5132C" w:rsidR="003D7909">
              <w:rPr>
                <w:rStyle w:val="y2iqfc"/>
                <w:rFonts w:ascii="Verdana" w:hAnsi="Verdana"/>
                <w:color w:val="202124"/>
                <w:sz w:val="18"/>
                <w:szCs w:val="18"/>
                <w:lang w:val="nl-NL"/>
              </w:rPr>
              <w:t>Description</w:t>
            </w:r>
            <w:r w:rsidRPr="0CA5132C" w:rsidR="003D7909">
              <w:rPr>
                <w:rStyle w:val="y2iqfc"/>
                <w:rFonts w:ascii="Verdana" w:hAnsi="Verdana"/>
                <w:color w:val="202124"/>
                <w:sz w:val="18"/>
                <w:szCs w:val="18"/>
                <w:lang w:val="nl-NL"/>
              </w:rPr>
              <w:t xml:space="preserve"> of </w:t>
            </w:r>
            <w:r w:rsidRPr="0CA5132C" w:rsidR="003D7909">
              <w:rPr>
                <w:rStyle w:val="y2iqfc"/>
                <w:rFonts w:ascii="Verdana" w:hAnsi="Verdana"/>
                <w:color w:val="202124"/>
                <w:sz w:val="18"/>
                <w:szCs w:val="18"/>
                <w:lang w:val="nl-NL"/>
              </w:rPr>
              <w:t>categories</w:t>
            </w:r>
            <w:r w:rsidRPr="0CA5132C" w:rsidR="003D7909">
              <w:rPr>
                <w:rStyle w:val="y2iqfc"/>
                <w:rFonts w:ascii="Verdana" w:hAnsi="Verdana"/>
                <w:color w:val="202124"/>
                <w:sz w:val="18"/>
                <w:szCs w:val="18"/>
                <w:lang w:val="nl-NL"/>
              </w:rPr>
              <w:t xml:space="preserve"> of Personal Data</w:t>
            </w:r>
          </w:p>
        </w:tc>
        <w:tc>
          <w:tcPr>
            <w:tcW w:w="4749" w:type="dxa"/>
            <w:tcMar/>
          </w:tcPr>
          <w:p w:rsidRPr="00822359" w:rsidR="003D7909" w:rsidRDefault="003D7909" w14:paraId="2ECF1895" w14:textId="77777777">
            <w:pPr>
              <w:rPr>
                <w:iCs/>
                <w:szCs w:val="18"/>
                <w:lang w:val="en-US"/>
              </w:rPr>
            </w:pPr>
            <w:r w:rsidRPr="00822359">
              <w:rPr>
                <w:rFonts w:cs="Arial"/>
                <w:szCs w:val="18"/>
                <w:lang w:val="en-US"/>
              </w:rPr>
              <w:t>Regular personal data</w:t>
            </w:r>
          </w:p>
        </w:tc>
      </w:tr>
      <w:tr w:rsidRPr="002D56C7" w:rsidR="003D7909" w:rsidTr="0CA5132C" w14:paraId="0F48AC74" w14:textId="77777777">
        <w:trPr>
          <w:trHeight w:val="150"/>
        </w:trPr>
        <w:tc>
          <w:tcPr>
            <w:tcW w:w="4862" w:type="dxa"/>
            <w:tcMar/>
          </w:tcPr>
          <w:p w:rsidRPr="00822359" w:rsidR="003D7909" w:rsidRDefault="003D7909" w14:paraId="3B5E1F43" w14:textId="77777777">
            <w:pPr>
              <w:pStyle w:val="Geenafstand"/>
            </w:pPr>
            <w:r w:rsidRPr="0CA5132C" w:rsidR="003D7909">
              <w:rPr>
                <w:rStyle w:val="y2iqfc"/>
                <w:rFonts w:ascii="Verdana" w:hAnsi="Verdana"/>
                <w:color w:val="202124"/>
                <w:sz w:val="18"/>
                <w:szCs w:val="18"/>
                <w:lang w:val="nl-NL"/>
              </w:rPr>
              <w:t>Description</w:t>
            </w:r>
            <w:r w:rsidRPr="0CA5132C" w:rsidR="003D7909">
              <w:rPr>
                <w:rStyle w:val="y2iqfc"/>
                <w:rFonts w:ascii="Verdana" w:hAnsi="Verdana"/>
                <w:color w:val="202124"/>
                <w:sz w:val="18"/>
                <w:szCs w:val="18"/>
                <w:lang w:val="nl-NL"/>
              </w:rPr>
              <w:t xml:space="preserve"> of </w:t>
            </w:r>
            <w:r w:rsidRPr="0CA5132C" w:rsidR="003D7909">
              <w:rPr>
                <w:rStyle w:val="y2iqfc"/>
                <w:rFonts w:ascii="Verdana" w:hAnsi="Verdana"/>
                <w:color w:val="202124"/>
                <w:sz w:val="18"/>
                <w:szCs w:val="18"/>
                <w:lang w:val="nl-NL"/>
              </w:rPr>
              <w:t>categories</w:t>
            </w:r>
            <w:r w:rsidRPr="0CA5132C" w:rsidR="003D7909">
              <w:rPr>
                <w:rStyle w:val="y2iqfc"/>
                <w:rFonts w:ascii="Verdana" w:hAnsi="Verdana"/>
                <w:color w:val="202124"/>
                <w:sz w:val="18"/>
                <w:szCs w:val="18"/>
                <w:lang w:val="nl-NL"/>
              </w:rPr>
              <w:t xml:space="preserve"> Data subjects</w:t>
            </w:r>
          </w:p>
        </w:tc>
        <w:tc>
          <w:tcPr>
            <w:tcW w:w="4749" w:type="dxa"/>
            <w:tcMar/>
          </w:tcPr>
          <w:p w:rsidRPr="006074B1" w:rsidR="003D7909" w:rsidP="006074B1" w:rsidRDefault="006074B1" w14:paraId="24E20E3B" w14:textId="4ED38453">
            <w:pPr>
              <w:rPr>
                <w:lang w:val="en-US"/>
              </w:rPr>
            </w:pPr>
            <w:r>
              <w:rPr>
                <w:lang w:val="en-US"/>
              </w:rPr>
              <w:t>P</w:t>
            </w:r>
            <w:r w:rsidRPr="006074B1">
              <w:rPr>
                <w:lang w:val="en-US"/>
              </w:rPr>
              <w:t>ersons who are quoted in news</w:t>
            </w:r>
            <w:r>
              <w:rPr>
                <w:lang w:val="en-US"/>
              </w:rPr>
              <w:t xml:space="preserve"> items</w:t>
            </w:r>
            <w:r w:rsidRPr="006074B1">
              <w:rPr>
                <w:lang w:val="en-US"/>
              </w:rPr>
              <w:t xml:space="preserve"> </w:t>
            </w:r>
            <w:r w:rsidRPr="006074B1">
              <w:rPr>
                <w:lang w:val="en-US"/>
              </w:rPr>
              <w:t xml:space="preserve">These are typically C-level representatives of </w:t>
            </w:r>
            <w:r>
              <w:rPr>
                <w:lang w:val="en-US"/>
              </w:rPr>
              <w:t xml:space="preserve">(foreign) </w:t>
            </w:r>
            <w:r w:rsidRPr="006074B1">
              <w:rPr>
                <w:lang w:val="en-US"/>
              </w:rPr>
              <w:t>companies and employees of the NFIA or its partners.</w:t>
            </w:r>
          </w:p>
        </w:tc>
      </w:tr>
      <w:tr w:rsidRPr="002D56C7" w:rsidR="003D7909" w:rsidTr="0CA5132C" w14:paraId="6841A773" w14:textId="77777777">
        <w:trPr>
          <w:trHeight w:val="150"/>
        </w:trPr>
        <w:tc>
          <w:tcPr>
            <w:tcW w:w="4862" w:type="dxa"/>
            <w:tcMar/>
          </w:tcPr>
          <w:p w:rsidRPr="002D56C7" w:rsidR="003D7909" w:rsidP="0CA5132C" w:rsidRDefault="003D7909" w14:paraId="720C8866" w14:textId="77777777">
            <w:pPr>
              <w:pStyle w:val="Geenafstand"/>
              <w:rPr>
                <w:rFonts w:cs="Arial"/>
                <w:lang w:val="nl-NL"/>
              </w:rPr>
            </w:pPr>
            <w:r w:rsidRPr="0CA5132C" w:rsidR="003D7909">
              <w:rPr>
                <w:rStyle w:val="y2iqfc"/>
                <w:rFonts w:ascii="Verdana" w:hAnsi="Verdana"/>
                <w:color w:val="202124"/>
                <w:sz w:val="18"/>
                <w:szCs w:val="18"/>
                <w:lang w:val="nl-NL"/>
              </w:rPr>
              <w:t>Description</w:t>
            </w:r>
            <w:r w:rsidRPr="0CA5132C" w:rsidR="003D7909">
              <w:rPr>
                <w:rStyle w:val="y2iqfc"/>
                <w:rFonts w:ascii="Verdana" w:hAnsi="Verdana"/>
                <w:color w:val="202124"/>
                <w:sz w:val="18"/>
                <w:szCs w:val="18"/>
                <w:lang w:val="nl-NL"/>
              </w:rPr>
              <w:t xml:space="preserve"> of </w:t>
            </w:r>
            <w:r w:rsidRPr="0CA5132C" w:rsidR="003D7909">
              <w:rPr>
                <w:rStyle w:val="y2iqfc"/>
                <w:rFonts w:ascii="Verdana" w:hAnsi="Verdana"/>
                <w:color w:val="202124"/>
                <w:sz w:val="18"/>
                <w:szCs w:val="18"/>
                <w:lang w:val="nl-NL"/>
              </w:rPr>
              <w:t>categories</w:t>
            </w:r>
            <w:r w:rsidRPr="0CA5132C" w:rsidR="003D7909">
              <w:rPr>
                <w:rStyle w:val="y2iqfc"/>
                <w:rFonts w:ascii="Verdana" w:hAnsi="Verdana"/>
                <w:color w:val="202124"/>
                <w:sz w:val="18"/>
                <w:szCs w:val="18"/>
                <w:lang w:val="nl-NL"/>
              </w:rPr>
              <w:t xml:space="preserve"> of </w:t>
            </w:r>
            <w:r w:rsidRPr="0CA5132C" w:rsidR="003D7909">
              <w:rPr>
                <w:rStyle w:val="y2iqfc"/>
                <w:rFonts w:ascii="Verdana" w:hAnsi="Verdana"/>
                <w:color w:val="202124"/>
                <w:sz w:val="18"/>
                <w:szCs w:val="18"/>
                <w:lang w:val="nl-NL"/>
              </w:rPr>
              <w:t>recipients</w:t>
            </w:r>
            <w:r w:rsidRPr="0CA5132C" w:rsidR="003D7909">
              <w:rPr>
                <w:rStyle w:val="y2iqfc"/>
                <w:rFonts w:ascii="Verdana" w:hAnsi="Verdana"/>
                <w:color w:val="202124"/>
                <w:sz w:val="18"/>
                <w:szCs w:val="18"/>
                <w:lang w:val="nl-NL"/>
              </w:rPr>
              <w:t xml:space="preserve"> of Personal Data</w:t>
            </w:r>
          </w:p>
        </w:tc>
        <w:tc>
          <w:tcPr>
            <w:tcW w:w="4749" w:type="dxa"/>
            <w:tcMar/>
          </w:tcPr>
          <w:p w:rsidRPr="00232971" w:rsidR="003D7909" w:rsidP="00232971" w:rsidRDefault="00232971" w14:paraId="65D99BFA" w14:textId="491FDBB3">
            <w:pPr>
              <w:rPr>
                <w:lang w:val="en-US"/>
              </w:rPr>
            </w:pPr>
            <w:r w:rsidRPr="00232971">
              <w:rPr>
                <w:lang w:val="en-US"/>
              </w:rPr>
              <w:t>Contractor and sub-contractors under its responsibility.</w:t>
            </w:r>
          </w:p>
        </w:tc>
      </w:tr>
      <w:tr w:rsidRPr="00232971" w:rsidR="003D7909" w:rsidTr="0CA5132C" w14:paraId="7F7CF6FC" w14:textId="77777777">
        <w:trPr>
          <w:trHeight w:val="150"/>
        </w:trPr>
        <w:tc>
          <w:tcPr>
            <w:tcW w:w="4862" w:type="dxa"/>
            <w:tcMar/>
          </w:tcPr>
          <w:p w:rsidRPr="00822359" w:rsidR="003D7909" w:rsidRDefault="003D7909" w14:paraId="39C1DA9E" w14:textId="77777777">
            <w:pPr>
              <w:pStyle w:val="Geenafstand"/>
              <w:rPr>
                <w:rFonts w:cs="Arial"/>
                <w:lang w:val="nl-NL"/>
              </w:rPr>
            </w:pPr>
            <w:r w:rsidRPr="6AF8FA77">
              <w:rPr>
                <w:rStyle w:val="y2iqfc"/>
                <w:rFonts w:ascii="Verdana" w:hAnsi="Verdana"/>
                <w:color w:val="202124"/>
                <w:sz w:val="18"/>
                <w:szCs w:val="18"/>
                <w:lang w:val="nl-NL"/>
              </w:rPr>
              <w:t>Location Processing Personal Data</w:t>
            </w:r>
          </w:p>
        </w:tc>
        <w:tc>
          <w:tcPr>
            <w:tcW w:w="4749" w:type="dxa"/>
            <w:tcMar/>
          </w:tcPr>
          <w:p w:rsidRPr="00232971" w:rsidR="00232971" w:rsidP="00232971" w:rsidRDefault="00232971" w14:paraId="5A375553" w14:textId="77777777">
            <w:pPr>
              <w:rPr>
                <w:iCs/>
                <w:szCs w:val="18"/>
                <w:lang w:val="en-US"/>
              </w:rPr>
            </w:pPr>
            <w:r w:rsidRPr="00232971">
              <w:rPr>
                <w:iCs/>
                <w:szCs w:val="18"/>
                <w:lang w:val="en-US"/>
              </w:rPr>
              <w:t xml:space="preserve">In the country where the Contractor is located. </w:t>
            </w:r>
          </w:p>
          <w:p w:rsidRPr="00822359" w:rsidR="003D7909" w:rsidP="00232971" w:rsidRDefault="00232971" w14:paraId="5CECB231" w14:textId="17D13795">
            <w:pPr>
              <w:rPr>
                <w:iCs/>
                <w:szCs w:val="18"/>
                <w:lang w:val="en-US"/>
              </w:rPr>
            </w:pPr>
            <w:r w:rsidRPr="00232971">
              <w:rPr>
                <w:iCs/>
                <w:szCs w:val="18"/>
                <w:lang w:val="en-US"/>
              </w:rPr>
              <w:t>If the personal data is not processed in the EEA, additional precautions must be taken so that processing will take place in accordance with the GDPR guidelines.</w:t>
            </w:r>
          </w:p>
        </w:tc>
      </w:tr>
    </w:tbl>
    <w:p w:rsidRPr="00822359" w:rsidR="003D7909" w:rsidP="003D7909" w:rsidRDefault="003D7909" w14:paraId="781C250B" w14:textId="77777777">
      <w:pPr>
        <w:spacing w:line="276" w:lineRule="auto"/>
        <w:rPr>
          <w:rFonts w:cs="Arial"/>
          <w:szCs w:val="18"/>
          <w:lang w:val="en-US"/>
        </w:rPr>
      </w:pPr>
    </w:p>
    <w:p w:rsidRPr="00822359" w:rsidR="003D7909" w:rsidP="003D7909" w:rsidRDefault="003D7909" w14:paraId="6AC60ECE" w14:textId="77777777">
      <w:pPr>
        <w:spacing w:line="276" w:lineRule="auto"/>
        <w:rPr>
          <w:rFonts w:cs="Arial"/>
          <w:szCs w:val="18"/>
          <w:lang w:val="en-US"/>
        </w:rPr>
      </w:pPr>
    </w:p>
    <w:tbl>
      <w:tblPr>
        <w:tblStyle w:val="Tabelraster"/>
        <w:tblW w:w="9640" w:type="dxa"/>
        <w:tblInd w:w="-289" w:type="dxa"/>
        <w:tblLook w:val="04A0" w:firstRow="1" w:lastRow="0" w:firstColumn="1" w:lastColumn="0" w:noHBand="0" w:noVBand="1"/>
      </w:tblPr>
      <w:tblGrid>
        <w:gridCol w:w="5104"/>
        <w:gridCol w:w="4536"/>
      </w:tblGrid>
      <w:tr w:rsidRPr="002D56C7" w:rsidR="003D7909" w:rsidTr="0CA5132C" w14:paraId="79BEF71B" w14:textId="77777777">
        <w:tc>
          <w:tcPr>
            <w:tcW w:w="9640" w:type="dxa"/>
            <w:gridSpan w:val="2"/>
            <w:tcBorders>
              <w:top w:val="single" w:color="auto" w:sz="4" w:space="0"/>
              <w:left w:val="single" w:color="auto" w:sz="4" w:space="0"/>
              <w:bottom w:val="single" w:color="auto" w:sz="4" w:space="0"/>
              <w:right w:val="single" w:color="auto" w:sz="4" w:space="0"/>
            </w:tcBorders>
            <w:tcMar/>
          </w:tcPr>
          <w:p w:rsidRPr="00822359" w:rsidR="003D7909" w:rsidRDefault="003D7909" w14:paraId="4B32DFC2" w14:textId="77777777">
            <w:pPr>
              <w:pStyle w:val="Geenafstand"/>
            </w:pPr>
            <w:r w:rsidRPr="0CA5132C" w:rsidR="003D7909">
              <w:rPr>
                <w:rStyle w:val="y2iqfc"/>
                <w:rFonts w:ascii="Verdana" w:hAnsi="Verdana"/>
                <w:b w:val="1"/>
                <w:bCs w:val="1"/>
                <w:color w:val="202124"/>
                <w:sz w:val="18"/>
                <w:szCs w:val="18"/>
                <w:lang w:val="nl-NL"/>
              </w:rPr>
              <w:t>To</w:t>
            </w:r>
            <w:r w:rsidRPr="0CA5132C" w:rsidR="003D7909">
              <w:rPr>
                <w:rStyle w:val="y2iqfc"/>
                <w:rFonts w:ascii="Verdana" w:hAnsi="Verdana"/>
                <w:b w:val="1"/>
                <w:bCs w:val="1"/>
                <w:color w:val="202124"/>
                <w:sz w:val="18"/>
                <w:szCs w:val="18"/>
                <w:lang w:val="nl-NL"/>
              </w:rPr>
              <w:t xml:space="preserve"> </w:t>
            </w:r>
            <w:r w:rsidRPr="0CA5132C" w:rsidR="003D7909">
              <w:rPr>
                <w:rStyle w:val="y2iqfc"/>
                <w:rFonts w:ascii="Verdana" w:hAnsi="Verdana"/>
                <w:b w:val="1"/>
                <w:bCs w:val="1"/>
                <w:color w:val="202124"/>
                <w:sz w:val="18"/>
                <w:szCs w:val="18"/>
                <w:lang w:val="nl-NL"/>
              </w:rPr>
              <w:t>be</w:t>
            </w:r>
            <w:r w:rsidRPr="0CA5132C" w:rsidR="003D7909">
              <w:rPr>
                <w:rStyle w:val="y2iqfc"/>
                <w:rFonts w:ascii="Verdana" w:hAnsi="Verdana"/>
                <w:b w:val="1"/>
                <w:bCs w:val="1"/>
                <w:color w:val="202124"/>
                <w:sz w:val="18"/>
                <w:szCs w:val="18"/>
                <w:lang w:val="nl-NL"/>
              </w:rPr>
              <w:t xml:space="preserve"> </w:t>
            </w:r>
            <w:r w:rsidRPr="0CA5132C" w:rsidR="003D7909">
              <w:rPr>
                <w:rStyle w:val="y2iqfc"/>
                <w:rFonts w:ascii="Verdana" w:hAnsi="Verdana"/>
                <w:b w:val="1"/>
                <w:bCs w:val="1"/>
                <w:color w:val="202124"/>
                <w:sz w:val="18"/>
                <w:szCs w:val="18"/>
                <w:lang w:val="nl-NL"/>
              </w:rPr>
              <w:t>completed</w:t>
            </w:r>
            <w:r w:rsidRPr="0CA5132C" w:rsidR="003D7909">
              <w:rPr>
                <w:rStyle w:val="y2iqfc"/>
                <w:rFonts w:ascii="Verdana" w:hAnsi="Verdana"/>
                <w:b w:val="1"/>
                <w:bCs w:val="1"/>
                <w:color w:val="202124"/>
                <w:sz w:val="18"/>
                <w:szCs w:val="18"/>
                <w:lang w:val="nl-NL"/>
              </w:rPr>
              <w:t xml:space="preserve"> </w:t>
            </w:r>
            <w:r w:rsidRPr="0CA5132C" w:rsidR="003D7909">
              <w:rPr>
                <w:rStyle w:val="y2iqfc"/>
                <w:rFonts w:ascii="Verdana" w:hAnsi="Verdana"/>
                <w:b w:val="1"/>
                <w:bCs w:val="1"/>
                <w:color w:val="202124"/>
                <w:sz w:val="18"/>
                <w:szCs w:val="18"/>
                <w:lang w:val="nl-NL"/>
              </w:rPr>
              <w:t>by</w:t>
            </w:r>
            <w:r w:rsidRPr="0CA5132C" w:rsidR="003D7909">
              <w:rPr>
                <w:rStyle w:val="y2iqfc"/>
                <w:rFonts w:ascii="Verdana" w:hAnsi="Verdana"/>
                <w:b w:val="1"/>
                <w:bCs w:val="1"/>
                <w:color w:val="202124"/>
                <w:sz w:val="18"/>
                <w:szCs w:val="18"/>
                <w:lang w:val="nl-NL"/>
              </w:rPr>
              <w:t xml:space="preserve"> </w:t>
            </w:r>
            <w:r w:rsidRPr="0CA5132C" w:rsidR="003D7909">
              <w:rPr>
                <w:rStyle w:val="y2iqfc"/>
                <w:rFonts w:ascii="Verdana" w:hAnsi="Verdana"/>
                <w:b w:val="1"/>
                <w:bCs w:val="1"/>
                <w:color w:val="202124"/>
                <w:sz w:val="18"/>
                <w:szCs w:val="18"/>
                <w:lang w:val="nl-NL"/>
              </w:rPr>
              <w:t>the</w:t>
            </w:r>
            <w:r w:rsidRPr="0CA5132C" w:rsidR="003D7909">
              <w:rPr>
                <w:rStyle w:val="y2iqfc"/>
                <w:rFonts w:ascii="Verdana" w:hAnsi="Verdana"/>
                <w:b w:val="1"/>
                <w:bCs w:val="1"/>
                <w:color w:val="202124"/>
                <w:sz w:val="18"/>
                <w:szCs w:val="18"/>
                <w:lang w:val="nl-NL"/>
              </w:rPr>
              <w:t xml:space="preserve"> Contractor (</w:t>
            </w:r>
            <w:r w:rsidRPr="0CA5132C" w:rsidR="003D7909">
              <w:rPr>
                <w:rStyle w:val="y2iqfc"/>
                <w:rFonts w:ascii="Verdana" w:hAnsi="Verdana"/>
                <w:b w:val="1"/>
                <w:bCs w:val="1"/>
                <w:color w:val="202124"/>
                <w:sz w:val="18"/>
                <w:szCs w:val="18"/>
                <w:lang w:val="nl-NL"/>
              </w:rPr>
              <w:t>the</w:t>
            </w:r>
            <w:r w:rsidRPr="0CA5132C" w:rsidR="003D7909">
              <w:rPr>
                <w:rStyle w:val="y2iqfc"/>
                <w:rFonts w:ascii="Verdana" w:hAnsi="Verdana"/>
                <w:b w:val="1"/>
                <w:bCs w:val="1"/>
                <w:color w:val="202124"/>
                <w:sz w:val="18"/>
                <w:szCs w:val="18"/>
                <w:lang w:val="nl-NL"/>
              </w:rPr>
              <w:t xml:space="preserve"> processor)</w:t>
            </w:r>
          </w:p>
        </w:tc>
      </w:tr>
      <w:tr w:rsidRPr="002D56C7" w:rsidR="003D7909" w:rsidTr="0CA5132C" w14:paraId="44A88503" w14:textId="77777777">
        <w:tc>
          <w:tcPr>
            <w:tcW w:w="5104" w:type="dxa"/>
            <w:tcBorders>
              <w:top w:val="single" w:color="auto" w:sz="4" w:space="0"/>
            </w:tcBorders>
            <w:tcMar/>
          </w:tcPr>
          <w:p w:rsidRPr="002D56C7" w:rsidR="003D7909" w:rsidP="0CA5132C" w:rsidRDefault="003D7909" w14:paraId="2E1ABAA6" w14:textId="77777777">
            <w:pPr>
              <w:pStyle w:val="Geenafstand"/>
              <w:rPr>
                <w:rFonts w:cs="Courier New"/>
                <w:lang w:val="nl-NL"/>
              </w:rPr>
            </w:pPr>
            <w:r w:rsidRPr="0CA5132C" w:rsidR="003D7909">
              <w:rPr>
                <w:rStyle w:val="y2iqfc"/>
                <w:rFonts w:ascii="Verdana" w:hAnsi="Verdana"/>
                <w:color w:val="202124"/>
                <w:sz w:val="18"/>
                <w:szCs w:val="18"/>
                <w:lang w:val="nl-NL"/>
              </w:rPr>
              <w:t xml:space="preserve">Name Processor </w:t>
            </w:r>
            <w:r w:rsidRPr="0CA5132C" w:rsidR="003D7909">
              <w:rPr>
                <w:rStyle w:val="y2iqfc"/>
                <w:rFonts w:ascii="Verdana" w:hAnsi="Verdana"/>
                <w:color w:val="202124"/>
                <w:sz w:val="18"/>
                <w:szCs w:val="18"/>
                <w:lang w:val="nl-NL"/>
              </w:rPr>
              <w:t>including</w:t>
            </w:r>
            <w:r w:rsidRPr="0CA5132C" w:rsidR="003D7909">
              <w:rPr>
                <w:rStyle w:val="y2iqfc"/>
                <w:rFonts w:ascii="Verdana" w:hAnsi="Verdana"/>
                <w:color w:val="202124"/>
                <w:sz w:val="18"/>
                <w:szCs w:val="18"/>
                <w:lang w:val="nl-NL"/>
              </w:rPr>
              <w:t xml:space="preserve"> contact details</w:t>
            </w:r>
          </w:p>
        </w:tc>
        <w:tc>
          <w:tcPr>
            <w:tcW w:w="4536" w:type="dxa"/>
            <w:tcBorders>
              <w:top w:val="single" w:color="auto" w:sz="4" w:space="0"/>
            </w:tcBorders>
            <w:tcMar/>
          </w:tcPr>
          <w:p w:rsidRPr="00822359" w:rsidR="003D7909" w:rsidRDefault="003D7909" w14:paraId="52774540" w14:textId="77777777">
            <w:pPr>
              <w:pStyle w:val="Geenafstand"/>
              <w:rPr>
                <w:rFonts w:cs="Arial"/>
                <w:szCs w:val="18"/>
              </w:rPr>
            </w:pPr>
          </w:p>
        </w:tc>
      </w:tr>
      <w:tr w:rsidRPr="002D56C7" w:rsidR="003D7909" w:rsidTr="0CA5132C" w14:paraId="20AEF5F6" w14:textId="77777777">
        <w:tc>
          <w:tcPr>
            <w:tcW w:w="5104" w:type="dxa"/>
            <w:tcMar/>
          </w:tcPr>
          <w:p w:rsidRPr="002D56C7" w:rsidR="003D7909" w:rsidP="0CA5132C" w:rsidRDefault="003D7909" w14:paraId="100398FD" w14:textId="77777777">
            <w:pPr>
              <w:pStyle w:val="Geenafstand"/>
              <w:rPr>
                <w:rFonts w:cs="Courier New"/>
                <w:lang w:val="nl-NL"/>
              </w:rPr>
            </w:pPr>
            <w:r w:rsidRPr="0CA5132C" w:rsidR="003D7909">
              <w:rPr>
                <w:rStyle w:val="y2iqfc"/>
                <w:rFonts w:ascii="Verdana" w:hAnsi="Verdana"/>
                <w:color w:val="202124"/>
                <w:sz w:val="18"/>
                <w:szCs w:val="18"/>
                <w:lang w:val="nl-NL"/>
              </w:rPr>
              <w:t xml:space="preserve">Contact details of Processor </w:t>
            </w:r>
            <w:r w:rsidRPr="0CA5132C" w:rsidR="003D7909">
              <w:rPr>
                <w:rStyle w:val="y2iqfc"/>
                <w:rFonts w:ascii="Verdana" w:hAnsi="Verdana"/>
                <w:color w:val="202124"/>
                <w:sz w:val="18"/>
                <w:szCs w:val="18"/>
                <w:lang w:val="nl-NL"/>
              </w:rPr>
              <w:t>representative</w:t>
            </w:r>
          </w:p>
        </w:tc>
        <w:tc>
          <w:tcPr>
            <w:tcW w:w="4536" w:type="dxa"/>
            <w:tcMar/>
          </w:tcPr>
          <w:p w:rsidRPr="00822359" w:rsidR="003D7909" w:rsidRDefault="003D7909" w14:paraId="7510CDAA" w14:textId="77777777">
            <w:pPr>
              <w:pStyle w:val="Geenafstand"/>
              <w:rPr>
                <w:rFonts w:ascii="Verdana" w:hAnsi="Verdana"/>
                <w:sz w:val="18"/>
                <w:szCs w:val="18"/>
              </w:rPr>
            </w:pPr>
          </w:p>
        </w:tc>
      </w:tr>
      <w:tr w:rsidRPr="002D56C7" w:rsidR="003D7909" w:rsidTr="0CA5132C" w14:paraId="625D1C8E" w14:textId="77777777">
        <w:tc>
          <w:tcPr>
            <w:tcW w:w="5104" w:type="dxa"/>
            <w:tcMar/>
          </w:tcPr>
          <w:p w:rsidRPr="00822359" w:rsidR="003D7909" w:rsidRDefault="003D7909" w14:paraId="731E93F0" w14:textId="77777777">
            <w:pPr>
              <w:pStyle w:val="Geenafstand"/>
            </w:pPr>
            <w:r w:rsidRPr="0CA5132C" w:rsidR="003D7909">
              <w:rPr>
                <w:rStyle w:val="y2iqfc"/>
                <w:rFonts w:ascii="Verdana" w:hAnsi="Verdana"/>
                <w:color w:val="202124"/>
                <w:sz w:val="18"/>
                <w:szCs w:val="18"/>
                <w:lang w:val="nl-NL"/>
              </w:rPr>
              <w:t>Contact details DPO of the Processor</w:t>
            </w:r>
          </w:p>
        </w:tc>
        <w:tc>
          <w:tcPr>
            <w:tcW w:w="4536" w:type="dxa"/>
            <w:tcMar/>
          </w:tcPr>
          <w:p w:rsidRPr="00822359" w:rsidR="003D7909" w:rsidRDefault="003D7909" w14:paraId="771E5984" w14:textId="77777777">
            <w:pPr>
              <w:pStyle w:val="Geenafstand"/>
              <w:rPr>
                <w:rFonts w:ascii="Verdana" w:hAnsi="Verdana"/>
                <w:sz w:val="18"/>
                <w:szCs w:val="18"/>
              </w:rPr>
            </w:pPr>
          </w:p>
        </w:tc>
      </w:tr>
      <w:tr w:rsidRPr="00822359" w:rsidR="003D7909" w:rsidTr="0CA5132C" w14:paraId="3CA1F5A7" w14:textId="77777777">
        <w:tc>
          <w:tcPr>
            <w:tcW w:w="5104" w:type="dxa"/>
            <w:tcBorders>
              <w:bottom w:val="single" w:color="auto" w:sz="4" w:space="0"/>
            </w:tcBorders>
            <w:tcMar/>
          </w:tcPr>
          <w:p w:rsidRPr="00822359" w:rsidR="003D7909" w:rsidRDefault="003D7909" w14:paraId="291D5A50" w14:textId="77777777">
            <w:pPr>
              <w:pStyle w:val="Geenafstand"/>
            </w:pPr>
            <w:r w:rsidRPr="0CA5132C" w:rsidR="003D7909">
              <w:rPr>
                <w:rStyle w:val="y2iqfc"/>
                <w:rFonts w:ascii="Verdana" w:hAnsi="Verdana"/>
                <w:color w:val="202124"/>
                <w:sz w:val="18"/>
                <w:szCs w:val="18"/>
                <w:lang w:val="nl-NL"/>
              </w:rPr>
              <w:t>Will the data be transferred to one or more countries outside the EEA?</w:t>
            </w:r>
          </w:p>
        </w:tc>
        <w:tc>
          <w:tcPr>
            <w:tcW w:w="4536" w:type="dxa"/>
            <w:tcBorders>
              <w:bottom w:val="single" w:color="auto" w:sz="4" w:space="0"/>
            </w:tcBorders>
            <w:tcMar/>
          </w:tcPr>
          <w:p w:rsidRPr="00822359" w:rsidR="003D7909" w:rsidRDefault="003D7909" w14:paraId="661E8A06" w14:textId="77777777">
            <w:pPr>
              <w:pStyle w:val="Geenafstand"/>
              <w:rPr>
                <w:rFonts w:ascii="Verdana" w:hAnsi="Verdana"/>
                <w:sz w:val="18"/>
                <w:szCs w:val="18"/>
              </w:rPr>
            </w:pPr>
            <w:r w:rsidRPr="00822359">
              <w:rPr>
                <w:rFonts w:ascii="Verdana" w:hAnsi="Verdana"/>
                <w:sz w:val="18"/>
                <w:szCs w:val="18"/>
              </w:rPr>
              <w:t>No</w:t>
            </w:r>
          </w:p>
        </w:tc>
      </w:tr>
    </w:tbl>
    <w:p w:rsidRPr="00822359" w:rsidR="003D7909" w:rsidP="003D7909" w:rsidRDefault="003D7909" w14:paraId="2C59C99B" w14:textId="77777777">
      <w:pPr>
        <w:spacing w:line="276" w:lineRule="auto"/>
        <w:rPr>
          <w:rFonts w:cs="Arial"/>
          <w:szCs w:val="18"/>
          <w:lang w:val="en-US"/>
        </w:rPr>
      </w:pPr>
    </w:p>
    <w:p w:rsidRPr="00822359" w:rsidR="003D7909" w:rsidP="003D7909" w:rsidRDefault="003D7909" w14:paraId="0B981328" w14:textId="77777777">
      <w:pPr>
        <w:rPr>
          <w:szCs w:val="18"/>
          <w:lang w:val="en-US"/>
        </w:rPr>
      </w:pPr>
    </w:p>
    <w:p w:rsidRPr="00D460DD" w:rsidR="003D7909" w:rsidP="00D460DD" w:rsidRDefault="003D7909" w14:paraId="6423A2D2" w14:textId="77777777">
      <w:pPr>
        <w:pStyle w:val="Geenafstand"/>
        <w:rPr>
          <w:rStyle w:val="y2iqfc"/>
          <w:rFonts w:ascii="Verdana" w:hAnsi="Verdana"/>
          <w:b/>
          <w:bCs/>
          <w:color w:val="202124"/>
          <w:sz w:val="18"/>
          <w:lang w:val="nl-NL"/>
        </w:rPr>
      </w:pPr>
      <w:r w:rsidRPr="00D460DD">
        <w:rPr>
          <w:rStyle w:val="y2iqfc"/>
          <w:rFonts w:ascii="Verdana" w:hAnsi="Verdana"/>
          <w:b/>
          <w:bCs/>
          <w:color w:val="202124"/>
          <w:sz w:val="18"/>
          <w:szCs w:val="18"/>
          <w:lang w:val="nl-NL"/>
        </w:rPr>
        <w:t>Sub-processor</w:t>
      </w:r>
      <w:r w:rsidRPr="00D460DD">
        <w:rPr>
          <w:rStyle w:val="y2iqfc"/>
          <w:rFonts w:ascii="Verdana" w:hAnsi="Verdana"/>
          <w:b/>
          <w:bCs/>
          <w:color w:val="202124"/>
          <w:sz w:val="18"/>
          <w:lang w:val="nl-NL"/>
        </w:rPr>
        <w:t xml:space="preserve"> (s)</w:t>
      </w:r>
    </w:p>
    <w:tbl>
      <w:tblPr>
        <w:tblStyle w:val="Tabelraster"/>
        <w:tblW w:w="9611" w:type="dxa"/>
        <w:tblInd w:w="-289" w:type="dxa"/>
        <w:tblLook w:val="04A0" w:firstRow="1" w:lastRow="0" w:firstColumn="1" w:lastColumn="0" w:noHBand="0" w:noVBand="1"/>
      </w:tblPr>
      <w:tblGrid>
        <w:gridCol w:w="5104"/>
        <w:gridCol w:w="4507"/>
      </w:tblGrid>
      <w:tr w:rsidRPr="002D56C7" w:rsidR="003D7909" w:rsidTr="00D460DD" w14:paraId="7F1BD333" w14:textId="77777777">
        <w:tc>
          <w:tcPr>
            <w:tcW w:w="5104" w:type="dxa"/>
          </w:tcPr>
          <w:p w:rsidRPr="00D460DD" w:rsidR="003D7909" w:rsidP="00D460DD" w:rsidRDefault="003D7909" w14:paraId="462A4275" w14:textId="77777777">
            <w:pPr>
              <w:spacing w:line="276" w:lineRule="auto"/>
              <w:rPr>
                <w:rFonts w:cs="Arial"/>
                <w:szCs w:val="18"/>
                <w:lang w:val="en-US"/>
              </w:rPr>
            </w:pPr>
            <w:r w:rsidRPr="00D460DD">
              <w:rPr>
                <w:rFonts w:cs="Arial"/>
                <w:lang w:val="en-US"/>
              </w:rPr>
              <w:t>Name and contact details of sub-processor</w:t>
            </w:r>
          </w:p>
        </w:tc>
        <w:tc>
          <w:tcPr>
            <w:tcW w:w="4507" w:type="dxa"/>
          </w:tcPr>
          <w:p w:rsidRPr="00D460DD" w:rsidR="003D7909" w:rsidP="00D460DD" w:rsidRDefault="003D7909" w14:paraId="5E44591F" w14:textId="77777777">
            <w:pPr>
              <w:spacing w:line="276" w:lineRule="auto"/>
              <w:rPr>
                <w:rFonts w:cs="Arial"/>
                <w:szCs w:val="18"/>
                <w:lang w:val="en-US"/>
              </w:rPr>
            </w:pPr>
          </w:p>
        </w:tc>
      </w:tr>
      <w:tr w:rsidRPr="002D56C7" w:rsidR="003D7909" w:rsidTr="00D460DD" w14:paraId="714CAD6A" w14:textId="77777777">
        <w:tc>
          <w:tcPr>
            <w:tcW w:w="5104" w:type="dxa"/>
          </w:tcPr>
          <w:p w:rsidRPr="00D460DD" w:rsidR="003D7909" w:rsidP="00D460DD" w:rsidRDefault="003D7909" w14:paraId="69823CAB" w14:textId="77777777">
            <w:pPr>
              <w:spacing w:line="276" w:lineRule="auto"/>
              <w:rPr>
                <w:rFonts w:cs="Arial"/>
                <w:szCs w:val="18"/>
                <w:lang w:val="en-US"/>
              </w:rPr>
            </w:pPr>
            <w:r w:rsidRPr="00D460DD">
              <w:rPr>
                <w:rFonts w:cs="Arial"/>
                <w:lang w:val="en-US"/>
              </w:rPr>
              <w:t>Trade register number of sub-processor</w:t>
            </w:r>
          </w:p>
        </w:tc>
        <w:tc>
          <w:tcPr>
            <w:tcW w:w="4507" w:type="dxa"/>
          </w:tcPr>
          <w:p w:rsidRPr="00D460DD" w:rsidR="003D7909" w:rsidP="00D460DD" w:rsidRDefault="003D7909" w14:paraId="445E50C0" w14:textId="77777777">
            <w:pPr>
              <w:spacing w:line="276" w:lineRule="auto"/>
              <w:rPr>
                <w:rFonts w:cs="Arial"/>
                <w:szCs w:val="18"/>
                <w:lang w:val="en-US"/>
              </w:rPr>
            </w:pPr>
          </w:p>
        </w:tc>
      </w:tr>
      <w:tr w:rsidRPr="002D56C7" w:rsidR="003D7909" w:rsidTr="00D460DD" w14:paraId="63AD6B8A" w14:textId="77777777">
        <w:tc>
          <w:tcPr>
            <w:tcW w:w="5104" w:type="dxa"/>
          </w:tcPr>
          <w:p w:rsidRPr="00D460DD" w:rsidR="003D7909" w:rsidP="00D460DD" w:rsidRDefault="003D7909" w14:paraId="25A5A948" w14:textId="77777777">
            <w:pPr>
              <w:spacing w:line="276" w:lineRule="auto"/>
              <w:rPr>
                <w:rFonts w:cs="Arial"/>
                <w:szCs w:val="18"/>
                <w:lang w:val="en-US"/>
              </w:rPr>
            </w:pPr>
            <w:r w:rsidRPr="00D460DD">
              <w:rPr>
                <w:rFonts w:cs="Arial"/>
                <w:lang w:val="en-US"/>
              </w:rPr>
              <w:t>The subject/nature and purpose of the Processing</w:t>
            </w:r>
          </w:p>
        </w:tc>
        <w:tc>
          <w:tcPr>
            <w:tcW w:w="4507" w:type="dxa"/>
          </w:tcPr>
          <w:p w:rsidRPr="00D460DD" w:rsidR="003D7909" w:rsidP="00D460DD" w:rsidRDefault="003D7909" w14:paraId="5F5BE6AD" w14:textId="77777777">
            <w:pPr>
              <w:spacing w:line="276" w:lineRule="auto"/>
              <w:rPr>
                <w:rFonts w:cs="Arial"/>
                <w:szCs w:val="18"/>
                <w:lang w:val="en-US"/>
              </w:rPr>
            </w:pPr>
          </w:p>
        </w:tc>
      </w:tr>
      <w:tr w:rsidRPr="002D56C7" w:rsidR="003D7909" w:rsidTr="00D460DD" w14:paraId="2DB4F0E2" w14:textId="77777777">
        <w:tc>
          <w:tcPr>
            <w:tcW w:w="5104" w:type="dxa"/>
          </w:tcPr>
          <w:p w:rsidRPr="00D460DD" w:rsidR="003D7909" w:rsidP="00D460DD" w:rsidRDefault="003D7909" w14:paraId="0F036E2B" w14:textId="77777777">
            <w:pPr>
              <w:spacing w:line="276" w:lineRule="auto"/>
              <w:rPr>
                <w:rFonts w:cs="Arial"/>
                <w:szCs w:val="18"/>
                <w:lang w:val="en-US"/>
              </w:rPr>
            </w:pPr>
            <w:r w:rsidRPr="00D460DD">
              <w:rPr>
                <w:rFonts w:cs="Arial"/>
                <w:lang w:val="en-US"/>
              </w:rPr>
              <w:t>The type of Personal Data</w:t>
            </w:r>
          </w:p>
        </w:tc>
        <w:tc>
          <w:tcPr>
            <w:tcW w:w="4507" w:type="dxa"/>
          </w:tcPr>
          <w:p w:rsidRPr="00D460DD" w:rsidR="003D7909" w:rsidP="00D460DD" w:rsidRDefault="003D7909" w14:paraId="11A623B7" w14:textId="77777777">
            <w:pPr>
              <w:spacing w:line="276" w:lineRule="auto"/>
              <w:rPr>
                <w:rFonts w:cs="Arial"/>
                <w:szCs w:val="18"/>
                <w:lang w:val="en-US"/>
              </w:rPr>
            </w:pPr>
          </w:p>
        </w:tc>
      </w:tr>
      <w:tr w:rsidRPr="002D56C7" w:rsidR="003D7909" w:rsidTr="00D460DD" w14:paraId="1FB83C8B" w14:textId="77777777">
        <w:tc>
          <w:tcPr>
            <w:tcW w:w="5104" w:type="dxa"/>
          </w:tcPr>
          <w:p w:rsidRPr="00D460DD" w:rsidR="003D7909" w:rsidP="00D460DD" w:rsidRDefault="003D7909" w14:paraId="1189D9EF" w14:textId="77777777">
            <w:pPr>
              <w:spacing w:line="276" w:lineRule="auto"/>
              <w:rPr>
                <w:rFonts w:cs="Arial"/>
                <w:szCs w:val="18"/>
                <w:lang w:val="en-US"/>
              </w:rPr>
            </w:pPr>
            <w:r w:rsidRPr="00D460DD">
              <w:rPr>
                <w:rFonts w:cs="Arial"/>
                <w:lang w:val="en-US"/>
              </w:rPr>
              <w:t>Description of categories of Personal Data</w:t>
            </w:r>
          </w:p>
        </w:tc>
        <w:tc>
          <w:tcPr>
            <w:tcW w:w="4507" w:type="dxa"/>
          </w:tcPr>
          <w:p w:rsidRPr="00D460DD" w:rsidR="003D7909" w:rsidP="00D460DD" w:rsidRDefault="003D7909" w14:paraId="707A5267" w14:textId="77777777">
            <w:pPr>
              <w:spacing w:line="276" w:lineRule="auto"/>
              <w:rPr>
                <w:rFonts w:cs="Arial"/>
                <w:szCs w:val="18"/>
                <w:lang w:val="en-US"/>
              </w:rPr>
            </w:pPr>
          </w:p>
        </w:tc>
      </w:tr>
      <w:tr w:rsidRPr="002D56C7" w:rsidR="003D7909" w:rsidTr="00D460DD" w14:paraId="31049F8C" w14:textId="77777777">
        <w:tc>
          <w:tcPr>
            <w:tcW w:w="5104" w:type="dxa"/>
          </w:tcPr>
          <w:p w:rsidRPr="00D460DD" w:rsidR="003D7909" w:rsidP="00D460DD" w:rsidRDefault="003D7909" w14:paraId="79F77589" w14:textId="77777777">
            <w:pPr>
              <w:spacing w:line="276" w:lineRule="auto"/>
              <w:rPr>
                <w:rFonts w:cs="Arial"/>
                <w:szCs w:val="18"/>
                <w:lang w:val="en-US"/>
              </w:rPr>
            </w:pPr>
            <w:r w:rsidRPr="00D460DD">
              <w:rPr>
                <w:rFonts w:cs="Arial"/>
                <w:lang w:val="en-US"/>
              </w:rPr>
              <w:t>Description of categories Data subjects</w:t>
            </w:r>
          </w:p>
        </w:tc>
        <w:tc>
          <w:tcPr>
            <w:tcW w:w="4507" w:type="dxa"/>
          </w:tcPr>
          <w:p w:rsidRPr="00D460DD" w:rsidR="003D7909" w:rsidP="00D460DD" w:rsidRDefault="003D7909" w14:paraId="25650F31" w14:textId="77777777">
            <w:pPr>
              <w:spacing w:line="276" w:lineRule="auto"/>
              <w:rPr>
                <w:rFonts w:cs="Arial"/>
                <w:szCs w:val="18"/>
                <w:lang w:val="en-US"/>
              </w:rPr>
            </w:pPr>
          </w:p>
        </w:tc>
      </w:tr>
      <w:tr w:rsidRPr="002D56C7" w:rsidR="003D7909" w:rsidTr="00D460DD" w14:paraId="6ECB4503" w14:textId="77777777">
        <w:tc>
          <w:tcPr>
            <w:tcW w:w="5104" w:type="dxa"/>
          </w:tcPr>
          <w:p w:rsidRPr="00D460DD" w:rsidR="003D7909" w:rsidP="00D460DD" w:rsidRDefault="003D7909" w14:paraId="1969820C" w14:textId="77777777">
            <w:pPr>
              <w:spacing w:line="276" w:lineRule="auto"/>
              <w:rPr>
                <w:rFonts w:cs="Arial"/>
                <w:szCs w:val="18"/>
                <w:lang w:val="en-US"/>
              </w:rPr>
            </w:pPr>
            <w:r w:rsidRPr="00D460DD">
              <w:rPr>
                <w:rFonts w:cs="Arial"/>
                <w:lang w:val="en-US"/>
              </w:rPr>
              <w:t>Description of categories Recipients of Personal Data</w:t>
            </w:r>
          </w:p>
        </w:tc>
        <w:tc>
          <w:tcPr>
            <w:tcW w:w="4507" w:type="dxa"/>
          </w:tcPr>
          <w:p w:rsidRPr="00D460DD" w:rsidR="003D7909" w:rsidP="00D460DD" w:rsidRDefault="003D7909" w14:paraId="7FAEC512" w14:textId="77777777">
            <w:pPr>
              <w:spacing w:line="276" w:lineRule="auto"/>
              <w:rPr>
                <w:rFonts w:cs="Arial"/>
                <w:szCs w:val="18"/>
                <w:lang w:val="en-US"/>
              </w:rPr>
            </w:pPr>
          </w:p>
        </w:tc>
      </w:tr>
      <w:tr w:rsidRPr="00D460DD" w:rsidR="003D7909" w:rsidTr="00D460DD" w14:paraId="42C031A1" w14:textId="77777777">
        <w:tc>
          <w:tcPr>
            <w:tcW w:w="5104" w:type="dxa"/>
          </w:tcPr>
          <w:p w:rsidRPr="00D460DD" w:rsidR="003D7909" w:rsidP="00D460DD" w:rsidRDefault="003D7909" w14:paraId="07237F80" w14:textId="77777777">
            <w:pPr>
              <w:spacing w:line="276" w:lineRule="auto"/>
              <w:rPr>
                <w:rFonts w:cs="Arial"/>
                <w:szCs w:val="18"/>
                <w:lang w:val="en-US"/>
              </w:rPr>
            </w:pPr>
            <w:r w:rsidRPr="00D460DD">
              <w:rPr>
                <w:rFonts w:cs="Arial"/>
                <w:lang w:val="en-US"/>
              </w:rPr>
              <w:t>Location Processing Personal Data</w:t>
            </w:r>
          </w:p>
        </w:tc>
        <w:tc>
          <w:tcPr>
            <w:tcW w:w="4507" w:type="dxa"/>
          </w:tcPr>
          <w:p w:rsidRPr="00D460DD" w:rsidR="003D7909" w:rsidP="00D460DD" w:rsidRDefault="003D7909" w14:paraId="77DF0B44" w14:textId="77777777">
            <w:pPr>
              <w:spacing w:line="276" w:lineRule="auto"/>
              <w:rPr>
                <w:rFonts w:cs="Arial"/>
                <w:szCs w:val="18"/>
                <w:lang w:val="en-US"/>
              </w:rPr>
            </w:pPr>
          </w:p>
        </w:tc>
      </w:tr>
    </w:tbl>
    <w:p w:rsidRPr="00822359" w:rsidR="003D7909" w:rsidP="003D7909" w:rsidRDefault="003D7909" w14:paraId="623CC620" w14:textId="77777777">
      <w:pPr>
        <w:spacing w:line="276" w:lineRule="auto"/>
        <w:rPr>
          <w:rFonts w:cs="Arial"/>
          <w:szCs w:val="18"/>
          <w:lang w:val="en-US"/>
        </w:rPr>
      </w:pPr>
    </w:p>
    <w:p w:rsidRPr="00822359" w:rsidR="003D7909" w:rsidP="003D7909" w:rsidRDefault="003D7909" w14:paraId="5089B542" w14:textId="77777777">
      <w:pPr>
        <w:spacing w:line="276" w:lineRule="auto"/>
        <w:rPr>
          <w:rFonts w:cs="Arial"/>
          <w:szCs w:val="18"/>
          <w:lang w:val="en-US"/>
        </w:rPr>
      </w:pPr>
      <w:r w:rsidRPr="00822359">
        <w:rPr>
          <w:lang w:val="en-US"/>
        </w:rPr>
        <w:t xml:space="preserve">The information in the controller's records, obligatory under article 30 of the Regulation, can be used to complete this schedule. </w:t>
      </w:r>
    </w:p>
    <w:p w:rsidRPr="00822359" w:rsidR="003D7909" w:rsidP="003D7909" w:rsidRDefault="003D7909" w14:paraId="4DFB7393" w14:textId="57724B97">
      <w:pPr>
        <w:pStyle w:val="Kop3"/>
        <w:rPr>
          <w:sz w:val="18"/>
          <w:szCs w:val="18"/>
          <w:lang w:val="en-US"/>
        </w:rPr>
      </w:pPr>
      <w:bookmarkStart w:name="_Toc503353195" w:id="67"/>
      <w:r w:rsidRPr="00822359">
        <w:rPr>
          <w:lang w:val="en-US"/>
        </w:rPr>
        <w:br w:type="page"/>
      </w:r>
      <w:bookmarkStart w:name="_Toc503353192" w:id="68"/>
      <w:bookmarkStart w:name="_Toc497994167" w:id="69"/>
      <w:bookmarkStart w:name="_Toc500841348" w:id="70"/>
      <w:bookmarkStart w:name="_Toc484590193" w:id="71"/>
      <w:bookmarkStart w:name="_Toc484590382" w:id="72"/>
      <w:bookmarkStart w:name="_Toc484590468" w:id="73"/>
      <w:bookmarkEnd w:id="67"/>
      <w:r w:rsidRPr="003D7909">
        <w:rPr>
          <w:rFonts w:ascii="Verdana" w:hAnsi="Verdana"/>
          <w:sz w:val="18"/>
          <w:szCs w:val="18"/>
          <w:lang w:val="en-US"/>
        </w:rPr>
        <w:t>Appendix 2 Appropriate technical and organisational measures</w:t>
      </w:r>
      <w:bookmarkEnd w:id="68"/>
      <w:bookmarkEnd w:id="69"/>
      <w:bookmarkEnd w:id="70"/>
      <w:r w:rsidRPr="00822359">
        <w:rPr>
          <w:sz w:val="18"/>
          <w:szCs w:val="18"/>
          <w:lang w:val="en-US"/>
        </w:rPr>
        <w:t xml:space="preserve"> </w:t>
      </w:r>
      <w:bookmarkEnd w:id="71"/>
      <w:bookmarkEnd w:id="72"/>
      <w:bookmarkEnd w:id="73"/>
    </w:p>
    <w:p w:rsidRPr="00822359" w:rsidR="003D7909" w:rsidP="003D7909" w:rsidRDefault="003D7909" w14:paraId="428DBCFF" w14:textId="77777777">
      <w:pPr>
        <w:spacing w:line="276" w:lineRule="auto"/>
        <w:rPr>
          <w:rFonts w:cs="Arial"/>
          <w:szCs w:val="18"/>
          <w:lang w:val="en-US"/>
        </w:rPr>
      </w:pPr>
    </w:p>
    <w:p w:rsidRPr="00822359" w:rsidR="003D7909" w:rsidP="003D7909" w:rsidRDefault="003D7909" w14:paraId="5298605F" w14:textId="77777777">
      <w:pPr>
        <w:pStyle w:val="Geenafstand"/>
        <w:numPr>
          <w:ilvl w:val="0"/>
          <w:numId w:val="23"/>
        </w:numPr>
        <w:ind w:left="426" w:hanging="426"/>
        <w:rPr/>
      </w:pPr>
      <w:r w:rsidRPr="0CA5132C" w:rsidR="003D7909">
        <w:rPr>
          <w:lang w:val="nl-NL"/>
        </w:rPr>
        <w:t>Within</w:t>
      </w:r>
      <w:r w:rsidRPr="0CA5132C" w:rsidR="003D7909">
        <w:rPr>
          <w:lang w:val="nl-NL"/>
        </w:rPr>
        <w:t xml:space="preserve"> </w:t>
      </w:r>
      <w:r w:rsidRPr="0CA5132C" w:rsidR="003D7909">
        <w:rPr>
          <w:lang w:val="nl-NL"/>
        </w:rPr>
        <w:t>the</w:t>
      </w:r>
      <w:r w:rsidRPr="0CA5132C" w:rsidR="003D7909">
        <w:rPr>
          <w:lang w:val="nl-NL"/>
        </w:rPr>
        <w:t xml:space="preserve"> </w:t>
      </w:r>
      <w:r w:rsidRPr="0CA5132C" w:rsidR="003D7909">
        <w:rPr>
          <w:lang w:val="nl-NL"/>
        </w:rPr>
        <w:t>national</w:t>
      </w:r>
      <w:r w:rsidRPr="0CA5132C" w:rsidR="003D7909">
        <w:rPr>
          <w:lang w:val="nl-NL"/>
        </w:rPr>
        <w:t xml:space="preserve"> </w:t>
      </w:r>
      <w:r w:rsidRPr="0CA5132C" w:rsidR="003D7909">
        <w:rPr>
          <w:lang w:val="nl-NL"/>
        </w:rPr>
        <w:t>government</w:t>
      </w:r>
      <w:r w:rsidRPr="0CA5132C" w:rsidR="003D7909">
        <w:rPr>
          <w:lang w:val="nl-NL"/>
        </w:rPr>
        <w:t xml:space="preserve">, </w:t>
      </w:r>
      <w:r w:rsidRPr="0CA5132C" w:rsidR="003D7909">
        <w:rPr>
          <w:lang w:val="nl-NL"/>
        </w:rPr>
        <w:t>the</w:t>
      </w:r>
      <w:r w:rsidRPr="0CA5132C" w:rsidR="003D7909">
        <w:rPr>
          <w:lang w:val="nl-NL"/>
        </w:rPr>
        <w:t xml:space="preserve"> </w:t>
      </w:r>
      <w:hyperlink w:anchor="BIO" r:id="R5d9c1f18584a4f2d">
        <w:r w:rsidRPr="0CA5132C" w:rsidR="003D7909">
          <w:rPr>
            <w:rStyle w:val="Hyperlink"/>
            <w:lang w:val="nl-NL"/>
          </w:rPr>
          <w:t>Government Information Security Baseline</w:t>
        </w:r>
      </w:hyperlink>
      <w:r w:rsidRPr="0CA5132C" w:rsidR="003D7909">
        <w:rPr>
          <w:lang w:val="nl-NL"/>
        </w:rPr>
        <w:t xml:space="preserve"> (BIO) serves as </w:t>
      </w:r>
      <w:r w:rsidRPr="0CA5132C" w:rsidR="003D7909">
        <w:rPr>
          <w:lang w:val="nl-NL"/>
        </w:rPr>
        <w:t>the</w:t>
      </w:r>
      <w:r w:rsidRPr="0CA5132C" w:rsidR="003D7909">
        <w:rPr>
          <w:lang w:val="nl-NL"/>
        </w:rPr>
        <w:t xml:space="preserve"> basis </w:t>
      </w:r>
      <w:r w:rsidRPr="0CA5132C" w:rsidR="003D7909">
        <w:rPr>
          <w:lang w:val="nl-NL"/>
        </w:rPr>
        <w:t>for</w:t>
      </w:r>
      <w:r w:rsidRPr="0CA5132C" w:rsidR="003D7909">
        <w:rPr>
          <w:lang w:val="nl-NL"/>
        </w:rPr>
        <w:t xml:space="preserve"> </w:t>
      </w:r>
      <w:r w:rsidRPr="0CA5132C" w:rsidR="003D7909">
        <w:rPr>
          <w:lang w:val="nl-NL"/>
        </w:rPr>
        <w:t>the</w:t>
      </w:r>
      <w:r w:rsidRPr="0CA5132C" w:rsidR="003D7909">
        <w:rPr>
          <w:lang w:val="nl-NL"/>
        </w:rPr>
        <w:t xml:space="preserve"> </w:t>
      </w:r>
      <w:r w:rsidRPr="0CA5132C" w:rsidR="003D7909">
        <w:rPr>
          <w:lang w:val="nl-NL"/>
        </w:rPr>
        <w:t>organization</w:t>
      </w:r>
      <w:r w:rsidRPr="0CA5132C" w:rsidR="003D7909">
        <w:rPr>
          <w:lang w:val="nl-NL"/>
        </w:rPr>
        <w:t xml:space="preserve"> of information security.</w:t>
      </w:r>
    </w:p>
    <w:p w:rsidRPr="00822359" w:rsidR="003D7909" w:rsidP="003D7909" w:rsidRDefault="003D7909" w14:paraId="3AB5FF45" w14:textId="186E9B69">
      <w:pPr>
        <w:pStyle w:val="Geenafstand"/>
        <w:numPr>
          <w:ilvl w:val="0"/>
          <w:numId w:val="23"/>
        </w:numPr>
        <w:ind w:left="426" w:hanging="426"/>
        <w:rPr/>
      </w:pPr>
      <w:r w:rsidRPr="0CA5132C" w:rsidR="003D7909">
        <w:rPr>
          <w:lang w:val="nl-NL"/>
        </w:rPr>
        <w:t xml:space="preserve">The Contractor's security must meet at </w:t>
      </w:r>
      <w:r w:rsidRPr="0CA5132C" w:rsidR="003D7909">
        <w:rPr>
          <w:lang w:val="nl-NL"/>
        </w:rPr>
        <w:t>least</w:t>
      </w:r>
      <w:r w:rsidRPr="0CA5132C" w:rsidR="003D7909">
        <w:rPr>
          <w:lang w:val="nl-NL"/>
        </w:rPr>
        <w:t xml:space="preserve"> </w:t>
      </w:r>
      <w:r w:rsidRPr="0CA5132C" w:rsidR="003D7909">
        <w:rPr>
          <w:lang w:val="nl-NL"/>
        </w:rPr>
        <w:t>the</w:t>
      </w:r>
      <w:r w:rsidRPr="0CA5132C" w:rsidR="003D7909">
        <w:rPr>
          <w:lang w:val="nl-NL"/>
        </w:rPr>
        <w:t xml:space="preserve"> </w:t>
      </w:r>
      <w:r w:rsidRPr="0CA5132C" w:rsidR="003D7909">
        <w:rPr>
          <w:lang w:val="nl-NL"/>
        </w:rPr>
        <w:t>same</w:t>
      </w:r>
      <w:r w:rsidRPr="0CA5132C" w:rsidR="003D7909">
        <w:rPr>
          <w:lang w:val="nl-NL"/>
        </w:rPr>
        <w:t xml:space="preserve"> </w:t>
      </w:r>
      <w:r w:rsidRPr="0CA5132C" w:rsidR="003D7909">
        <w:rPr>
          <w:lang w:val="nl-NL"/>
        </w:rPr>
        <w:t>requirements</w:t>
      </w:r>
      <w:r w:rsidRPr="0CA5132C" w:rsidR="003D7909">
        <w:rPr>
          <w:lang w:val="nl-NL"/>
        </w:rPr>
        <w:t xml:space="preserve"> as </w:t>
      </w:r>
      <w:r w:rsidRPr="0CA5132C" w:rsidR="003D7909">
        <w:rPr>
          <w:lang w:val="nl-NL"/>
        </w:rPr>
        <w:t>the</w:t>
      </w:r>
      <w:r w:rsidRPr="0CA5132C" w:rsidR="003D7909">
        <w:rPr>
          <w:lang w:val="nl-NL"/>
        </w:rPr>
        <w:t xml:space="preserve"> BIO </w:t>
      </w:r>
      <w:r w:rsidRPr="0CA5132C" w:rsidR="003D7909">
        <w:rPr>
          <w:lang w:val="nl-NL"/>
        </w:rPr>
        <w:t>prescribes</w:t>
      </w:r>
      <w:r w:rsidRPr="0CA5132C" w:rsidR="003D7909">
        <w:rPr>
          <w:lang w:val="nl-NL"/>
        </w:rPr>
        <w:t xml:space="preserve"> </w:t>
      </w:r>
      <w:r w:rsidRPr="0CA5132C" w:rsidR="003D7909">
        <w:rPr>
          <w:lang w:val="nl-NL"/>
        </w:rPr>
        <w:t>for</w:t>
      </w:r>
      <w:r w:rsidRPr="0CA5132C" w:rsidR="003D7909">
        <w:rPr>
          <w:lang w:val="nl-NL"/>
        </w:rPr>
        <w:t xml:space="preserve"> </w:t>
      </w:r>
      <w:r w:rsidRPr="0CA5132C" w:rsidR="003D7909">
        <w:rPr>
          <w:lang w:val="nl-NL"/>
        </w:rPr>
        <w:t>the</w:t>
      </w:r>
      <w:r w:rsidRPr="0CA5132C" w:rsidR="003D7909">
        <w:rPr>
          <w:lang w:val="nl-NL"/>
        </w:rPr>
        <w:t xml:space="preserve"> </w:t>
      </w:r>
      <w:r w:rsidRPr="0CA5132C" w:rsidR="003D7909">
        <w:rPr>
          <w:lang w:val="nl-NL"/>
        </w:rPr>
        <w:t>following</w:t>
      </w:r>
      <w:r w:rsidRPr="0CA5132C" w:rsidR="003D7909">
        <w:rPr>
          <w:lang w:val="nl-NL"/>
        </w:rPr>
        <w:t xml:space="preserve"> </w:t>
      </w:r>
      <w:r w:rsidRPr="0CA5132C" w:rsidR="003D7909">
        <w:rPr>
          <w:lang w:val="nl-NL"/>
        </w:rPr>
        <w:t>components</w:t>
      </w:r>
      <w:r w:rsidRPr="0CA5132C" w:rsidR="003D7909">
        <w:rPr>
          <w:lang w:val="nl-NL"/>
        </w:rPr>
        <w:t>: BBN-2</w:t>
      </w:r>
      <w:r w:rsidRPr="0CA5132C" w:rsidR="00771D7A">
        <w:rPr>
          <w:lang w:val="nl-NL"/>
        </w:rPr>
        <w:t>.</w:t>
      </w:r>
    </w:p>
    <w:p w:rsidRPr="00822359" w:rsidR="003D7909" w:rsidP="003D7909" w:rsidRDefault="003D7909" w14:paraId="730EBCF9" w14:textId="6BAA4CA6">
      <w:pPr>
        <w:pStyle w:val="Geenafstand"/>
        <w:numPr>
          <w:ilvl w:val="0"/>
          <w:numId w:val="23"/>
        </w:numPr>
        <w:ind w:left="426" w:hanging="426"/>
      </w:pPr>
      <w:r w:rsidRPr="002D56C7">
        <w:rPr>
          <w:rStyle w:val="y2iqfc"/>
          <w:rFonts w:ascii="Verdana" w:hAnsi="Verdana"/>
          <w:color w:val="202124"/>
          <w:sz w:val="18"/>
          <w:szCs w:val="18"/>
        </w:rPr>
        <w:t xml:space="preserve">The Contractor implements additional measures based on the risk of the Processing, which have been determined, for example, as a result of a </w:t>
      </w:r>
      <w:r w:rsidRPr="002D56C7" w:rsidR="00E42113">
        <w:rPr>
          <w:rStyle w:val="y2iqfc"/>
          <w:rFonts w:ascii="Verdana" w:hAnsi="Verdana"/>
          <w:color w:val="202124"/>
          <w:sz w:val="18"/>
          <w:szCs w:val="18"/>
        </w:rPr>
        <w:t>Data Protection</w:t>
      </w:r>
      <w:r w:rsidRPr="002D56C7">
        <w:rPr>
          <w:rStyle w:val="y2iqfc"/>
          <w:rFonts w:ascii="Verdana" w:hAnsi="Verdana"/>
          <w:color w:val="202124"/>
          <w:sz w:val="18"/>
          <w:szCs w:val="18"/>
        </w:rPr>
        <w:t xml:space="preserve"> Impact Assessment (</w:t>
      </w:r>
      <w:r w:rsidRPr="002D56C7" w:rsidR="00E42113">
        <w:rPr>
          <w:rStyle w:val="y2iqfc"/>
          <w:rFonts w:ascii="Verdana" w:hAnsi="Verdana"/>
          <w:color w:val="202124"/>
          <w:sz w:val="18"/>
          <w:szCs w:val="18"/>
        </w:rPr>
        <w:t>D</w:t>
      </w:r>
      <w:r w:rsidRPr="002D56C7">
        <w:rPr>
          <w:rStyle w:val="y2iqfc"/>
          <w:rFonts w:ascii="Verdana" w:hAnsi="Verdana"/>
          <w:color w:val="202124"/>
          <w:sz w:val="18"/>
          <w:szCs w:val="18"/>
        </w:rPr>
        <w:t xml:space="preserve">PIA). </w:t>
      </w:r>
      <w:r w:rsidRPr="512AB7F1">
        <w:rPr>
          <w:rStyle w:val="y2iqfc"/>
          <w:rFonts w:ascii="Verdana" w:hAnsi="Verdana"/>
          <w:color w:val="202124"/>
          <w:sz w:val="18"/>
          <w:szCs w:val="18"/>
          <w:lang w:val="nl-NL"/>
        </w:rPr>
        <w:t>An overview of these measures is included below</w:t>
      </w:r>
      <w:r w:rsidRPr="512AB7F1" w:rsidR="00E576B8">
        <w:rPr>
          <w:rStyle w:val="y2iqfc"/>
          <w:rFonts w:ascii="Verdana" w:hAnsi="Verdana"/>
          <w:color w:val="202124"/>
          <w:sz w:val="18"/>
          <w:szCs w:val="18"/>
          <w:lang w:val="nl-NL"/>
        </w:rPr>
        <w:t>.</w:t>
      </w:r>
    </w:p>
    <w:p w:rsidRPr="00822359" w:rsidR="003D7909" w:rsidP="003D7909" w:rsidRDefault="003D7909" w14:paraId="1774A488" w14:textId="77777777">
      <w:pPr>
        <w:rPr>
          <w:lang w:val="en-US"/>
        </w:rPr>
      </w:pPr>
    </w:p>
    <w:p w:rsidR="003D7909" w:rsidP="003D7909" w:rsidRDefault="003D7909" w14:paraId="70D8A37C" w14:textId="77777777">
      <w:pPr>
        <w:rPr>
          <w:lang w:val="en-US"/>
        </w:rPr>
      </w:pPr>
    </w:p>
    <w:p w:rsidRPr="007E6D3D" w:rsidR="00256AE2" w:rsidP="003D7909" w:rsidRDefault="00256AE2" w14:paraId="4084E8DB" w14:textId="747288F4">
      <w:pPr>
        <w:rPr>
          <w:b/>
          <w:bCs/>
          <w:lang w:val="en-US"/>
        </w:rPr>
      </w:pPr>
      <w:r w:rsidRPr="00101DAF">
        <w:rPr>
          <w:b/>
          <w:bCs/>
          <w:lang w:val="en-US"/>
        </w:rPr>
        <w:t xml:space="preserve">To be completed by </w:t>
      </w:r>
      <w:r w:rsidR="007E6D3D">
        <w:rPr>
          <w:b/>
          <w:bCs/>
          <w:lang w:val="en-US"/>
        </w:rPr>
        <w:t xml:space="preserve">the </w:t>
      </w:r>
      <w:r w:rsidRPr="00101DAF">
        <w:rPr>
          <w:b/>
          <w:bCs/>
          <w:lang w:val="en-US"/>
        </w:rPr>
        <w:t>Contractor</w:t>
      </w:r>
      <w:r w:rsidRPr="00101DAF" w:rsidR="00843143">
        <w:rPr>
          <w:b/>
          <w:bCs/>
          <w:lang w:val="en-US"/>
        </w:rPr>
        <w:t xml:space="preserve">: </w:t>
      </w:r>
      <w:r w:rsidRPr="00101DAF" w:rsidR="00843143">
        <w:rPr>
          <w:b/>
          <w:bCs/>
          <w:highlight w:val="cyan"/>
          <w:lang w:val="en-US"/>
        </w:rPr>
        <w:t>&lt;Complete if the Client is known&gt;</w:t>
      </w:r>
    </w:p>
    <w:tbl>
      <w:tblPr>
        <w:tblStyle w:val="Tabelraster"/>
        <w:tblW w:w="0" w:type="auto"/>
        <w:tblLook w:val="04A0" w:firstRow="1" w:lastRow="0" w:firstColumn="1" w:lastColumn="0" w:noHBand="0" w:noVBand="1"/>
      </w:tblPr>
      <w:tblGrid>
        <w:gridCol w:w="2136"/>
        <w:gridCol w:w="2522"/>
        <w:gridCol w:w="2201"/>
        <w:gridCol w:w="2202"/>
      </w:tblGrid>
      <w:tr w:rsidRPr="00822359" w:rsidR="003D7909" w14:paraId="4768155F" w14:textId="77777777">
        <w:tc>
          <w:tcPr>
            <w:tcW w:w="2136" w:type="dxa"/>
          </w:tcPr>
          <w:p w:rsidRPr="00822359" w:rsidR="003D7909" w:rsidRDefault="003D7909" w14:paraId="4204C116" w14:textId="77777777">
            <w:pPr>
              <w:rPr>
                <w:b/>
                <w:szCs w:val="18"/>
                <w:lang w:val="en-US"/>
              </w:rPr>
            </w:pPr>
            <w:r w:rsidRPr="00822359">
              <w:rPr>
                <w:b/>
                <w:szCs w:val="18"/>
                <w:lang w:val="en-US"/>
              </w:rPr>
              <w:t>Certificates</w:t>
            </w:r>
          </w:p>
        </w:tc>
        <w:tc>
          <w:tcPr>
            <w:tcW w:w="2522" w:type="dxa"/>
          </w:tcPr>
          <w:p w:rsidRPr="00822359" w:rsidR="003D7909" w:rsidRDefault="003D7909" w14:paraId="4B703857" w14:textId="77777777">
            <w:pPr>
              <w:rPr>
                <w:b/>
                <w:szCs w:val="18"/>
                <w:lang w:val="en-US"/>
              </w:rPr>
            </w:pPr>
            <w:r w:rsidRPr="00822359">
              <w:rPr>
                <w:b/>
                <w:szCs w:val="18"/>
                <w:lang w:val="en-US"/>
              </w:rPr>
              <w:t>Organizational unit/service to which the certificate relates</w:t>
            </w:r>
          </w:p>
        </w:tc>
        <w:tc>
          <w:tcPr>
            <w:tcW w:w="2201" w:type="dxa"/>
          </w:tcPr>
          <w:p w:rsidRPr="00822359" w:rsidR="003D7909" w:rsidRDefault="003D7909" w14:paraId="2B2E4928" w14:textId="77777777">
            <w:pPr>
              <w:rPr>
                <w:b/>
                <w:szCs w:val="18"/>
                <w:lang w:val="en-US"/>
              </w:rPr>
            </w:pPr>
            <w:r w:rsidRPr="00822359">
              <w:rPr>
                <w:b/>
                <w:szCs w:val="18"/>
                <w:lang w:val="en-US"/>
              </w:rPr>
              <w:t>Certificate validity period</w:t>
            </w:r>
          </w:p>
        </w:tc>
        <w:tc>
          <w:tcPr>
            <w:tcW w:w="2202" w:type="dxa"/>
          </w:tcPr>
          <w:p w:rsidRPr="00822359" w:rsidR="003D7909" w:rsidRDefault="003D7909" w14:paraId="29B95E6C" w14:textId="77777777">
            <w:pPr>
              <w:rPr>
                <w:b/>
                <w:szCs w:val="18"/>
                <w:lang w:val="en-US"/>
              </w:rPr>
            </w:pPr>
            <w:r w:rsidRPr="00822359">
              <w:rPr>
                <w:b/>
                <w:szCs w:val="18"/>
                <w:lang w:val="en-US"/>
              </w:rPr>
              <w:t>Statement of Applicability</w:t>
            </w:r>
          </w:p>
        </w:tc>
      </w:tr>
      <w:tr w:rsidRPr="00822359" w:rsidR="003D7909" w14:paraId="28D4AC78" w14:textId="77777777">
        <w:tc>
          <w:tcPr>
            <w:tcW w:w="2136" w:type="dxa"/>
          </w:tcPr>
          <w:p w:rsidRPr="00822359" w:rsidR="003D7909" w:rsidRDefault="003D7909" w14:paraId="7F08C9EE" w14:textId="77777777">
            <w:pPr>
              <w:rPr>
                <w:bCs/>
                <w:szCs w:val="18"/>
                <w:lang w:val="en-US"/>
              </w:rPr>
            </w:pPr>
          </w:p>
        </w:tc>
        <w:tc>
          <w:tcPr>
            <w:tcW w:w="2522" w:type="dxa"/>
          </w:tcPr>
          <w:p w:rsidRPr="00822359" w:rsidR="003D7909" w:rsidRDefault="003D7909" w14:paraId="0F37A94C" w14:textId="77777777">
            <w:pPr>
              <w:rPr>
                <w:bCs/>
                <w:szCs w:val="18"/>
                <w:lang w:val="en-US"/>
              </w:rPr>
            </w:pPr>
          </w:p>
        </w:tc>
        <w:tc>
          <w:tcPr>
            <w:tcW w:w="2201" w:type="dxa"/>
          </w:tcPr>
          <w:p w:rsidRPr="00822359" w:rsidR="003D7909" w:rsidRDefault="003D7909" w14:paraId="65668992" w14:textId="77777777">
            <w:pPr>
              <w:rPr>
                <w:bCs/>
                <w:szCs w:val="18"/>
                <w:lang w:val="en-US"/>
              </w:rPr>
            </w:pPr>
          </w:p>
        </w:tc>
        <w:tc>
          <w:tcPr>
            <w:tcW w:w="2202" w:type="dxa"/>
          </w:tcPr>
          <w:p w:rsidRPr="00822359" w:rsidR="003D7909" w:rsidRDefault="003D7909" w14:paraId="29B89263" w14:textId="77777777">
            <w:pPr>
              <w:rPr>
                <w:bCs/>
                <w:szCs w:val="18"/>
                <w:lang w:val="en-US"/>
              </w:rPr>
            </w:pPr>
          </w:p>
        </w:tc>
      </w:tr>
      <w:tr w:rsidRPr="00822359" w:rsidR="003D7909" w14:paraId="271E138A" w14:textId="77777777">
        <w:tc>
          <w:tcPr>
            <w:tcW w:w="2136" w:type="dxa"/>
          </w:tcPr>
          <w:p w:rsidRPr="00822359" w:rsidR="003D7909" w:rsidRDefault="003D7909" w14:paraId="01E93C88" w14:textId="77777777">
            <w:pPr>
              <w:rPr>
                <w:bCs/>
                <w:szCs w:val="18"/>
                <w:lang w:val="en-US"/>
              </w:rPr>
            </w:pPr>
          </w:p>
        </w:tc>
        <w:tc>
          <w:tcPr>
            <w:tcW w:w="2522" w:type="dxa"/>
          </w:tcPr>
          <w:p w:rsidRPr="00822359" w:rsidR="003D7909" w:rsidRDefault="003D7909" w14:paraId="6BC3E513" w14:textId="77777777">
            <w:pPr>
              <w:rPr>
                <w:bCs/>
                <w:szCs w:val="18"/>
                <w:lang w:val="en-US"/>
              </w:rPr>
            </w:pPr>
          </w:p>
        </w:tc>
        <w:tc>
          <w:tcPr>
            <w:tcW w:w="2201" w:type="dxa"/>
          </w:tcPr>
          <w:p w:rsidRPr="00822359" w:rsidR="003D7909" w:rsidRDefault="003D7909" w14:paraId="55380888" w14:textId="77777777">
            <w:pPr>
              <w:rPr>
                <w:bCs/>
                <w:szCs w:val="18"/>
                <w:lang w:val="en-US"/>
              </w:rPr>
            </w:pPr>
          </w:p>
        </w:tc>
        <w:tc>
          <w:tcPr>
            <w:tcW w:w="2202" w:type="dxa"/>
          </w:tcPr>
          <w:p w:rsidRPr="00822359" w:rsidR="003D7909" w:rsidRDefault="003D7909" w14:paraId="61AC3946" w14:textId="77777777">
            <w:pPr>
              <w:rPr>
                <w:bCs/>
                <w:szCs w:val="18"/>
                <w:lang w:val="en-US"/>
              </w:rPr>
            </w:pPr>
          </w:p>
        </w:tc>
      </w:tr>
    </w:tbl>
    <w:p w:rsidRPr="00822359" w:rsidR="003D7909" w:rsidP="003D7909" w:rsidRDefault="003D7909" w14:paraId="47E05832" w14:textId="77777777">
      <w:pPr>
        <w:rPr>
          <w:b/>
          <w:szCs w:val="18"/>
          <w:lang w:val="en-US"/>
        </w:rPr>
      </w:pPr>
    </w:p>
    <w:p w:rsidRPr="00822359" w:rsidR="003D7909" w:rsidP="003D7909" w:rsidRDefault="003D7909" w14:paraId="04A43F73" w14:textId="77777777">
      <w:pPr>
        <w:rPr>
          <w:b/>
          <w:szCs w:val="18"/>
          <w:lang w:val="en-US"/>
        </w:rPr>
      </w:pPr>
      <w:r w:rsidRPr="00822359">
        <w:rPr>
          <w:b/>
          <w:szCs w:val="18"/>
          <w:lang w:val="en-US"/>
        </w:rPr>
        <w:t>Other qualifications:</w:t>
      </w:r>
    </w:p>
    <w:tbl>
      <w:tblPr>
        <w:tblStyle w:val="Tabelraster"/>
        <w:tblW w:w="0" w:type="auto"/>
        <w:tblLook w:val="04A0" w:firstRow="1" w:lastRow="0" w:firstColumn="1" w:lastColumn="0" w:noHBand="0" w:noVBand="1"/>
      </w:tblPr>
      <w:tblGrid>
        <w:gridCol w:w="9017"/>
      </w:tblGrid>
      <w:tr w:rsidRPr="00822359" w:rsidR="003D7909" w14:paraId="4CDDB0D2" w14:textId="77777777">
        <w:tc>
          <w:tcPr>
            <w:tcW w:w="9017" w:type="dxa"/>
          </w:tcPr>
          <w:p w:rsidRPr="00822359" w:rsidR="003D7909" w:rsidRDefault="003D7909" w14:paraId="2C22C49E" w14:textId="77777777">
            <w:pPr>
              <w:rPr>
                <w:bCs/>
                <w:szCs w:val="18"/>
                <w:lang w:val="en-US"/>
              </w:rPr>
            </w:pPr>
          </w:p>
        </w:tc>
      </w:tr>
    </w:tbl>
    <w:p w:rsidRPr="00822359" w:rsidR="003D7909" w:rsidP="003D7909" w:rsidRDefault="003D7909" w14:paraId="6FD556CE" w14:textId="77777777">
      <w:pPr>
        <w:rPr>
          <w:b/>
          <w:szCs w:val="18"/>
          <w:lang w:val="en-US"/>
        </w:rPr>
      </w:pPr>
    </w:p>
    <w:p w:rsidRPr="00822359" w:rsidR="003D7909" w:rsidP="003D7909" w:rsidRDefault="003D7909" w14:paraId="6F067CD3" w14:textId="77777777">
      <w:pPr>
        <w:rPr>
          <w:b/>
          <w:szCs w:val="18"/>
          <w:lang w:val="en-US"/>
        </w:rPr>
      </w:pPr>
    </w:p>
    <w:p w:rsidRPr="00822359" w:rsidR="003D7909" w:rsidP="003D7909" w:rsidRDefault="003D7909" w14:paraId="66EFA1B6" w14:textId="77777777">
      <w:pPr>
        <w:rPr>
          <w:bCs/>
          <w:szCs w:val="18"/>
          <w:lang w:val="en-US"/>
        </w:rPr>
      </w:pPr>
      <w:r w:rsidRPr="00822359">
        <w:rPr>
          <w:bCs/>
          <w:szCs w:val="18"/>
          <w:lang w:val="en-US"/>
        </w:rPr>
        <w:br w:type="page"/>
      </w:r>
    </w:p>
    <w:p w:rsidRPr="00822359" w:rsidR="003D7909" w:rsidP="003D7909" w:rsidRDefault="003D7909" w14:paraId="121BB516" w14:textId="77777777">
      <w:pPr>
        <w:rPr>
          <w:bCs/>
          <w:szCs w:val="18"/>
          <w:lang w:val="en-US"/>
        </w:rPr>
      </w:pPr>
    </w:p>
    <w:p w:rsidRPr="003D7909" w:rsidR="003D7909" w:rsidP="003D7909" w:rsidRDefault="003D7909" w14:paraId="4BFECB08" w14:textId="1A9C0F2F">
      <w:pPr>
        <w:pStyle w:val="Kop3"/>
        <w:rPr>
          <w:rFonts w:ascii="Verdana" w:hAnsi="Verdana"/>
          <w:sz w:val="18"/>
          <w:szCs w:val="18"/>
          <w:lang w:val="en-US"/>
        </w:rPr>
      </w:pPr>
      <w:bookmarkStart w:name="_Hlk165567075" w:id="74"/>
      <w:r w:rsidRPr="003D7909">
        <w:rPr>
          <w:rFonts w:ascii="Verdana" w:hAnsi="Verdana"/>
          <w:sz w:val="18"/>
          <w:szCs w:val="18"/>
          <w:lang w:val="en-US"/>
        </w:rPr>
        <w:t>Appendix 3: Arrangements on Breaches involving Personal Data</w:t>
      </w:r>
    </w:p>
    <w:p w:rsidRPr="00822359" w:rsidR="003D7909" w:rsidP="003D7909" w:rsidRDefault="003D7909" w14:paraId="08BFDB09" w14:textId="77777777">
      <w:pPr>
        <w:spacing w:line="276" w:lineRule="auto"/>
        <w:rPr>
          <w:b/>
          <w:szCs w:val="18"/>
          <w:lang w:val="en-US"/>
        </w:rPr>
      </w:pPr>
    </w:p>
    <w:p w:rsidRPr="00822359" w:rsidR="003D7909" w:rsidP="003D7909" w:rsidRDefault="003D7909" w14:paraId="434295AD" w14:textId="77777777">
      <w:pPr>
        <w:spacing w:line="276" w:lineRule="auto"/>
        <w:rPr>
          <w:rFonts w:cs="Arial"/>
          <w:b/>
          <w:szCs w:val="18"/>
          <w:lang w:val="en-US"/>
        </w:rPr>
      </w:pPr>
      <w:r w:rsidRPr="00822359">
        <w:rPr>
          <w:b/>
          <w:szCs w:val="18"/>
          <w:lang w:val="en-US"/>
        </w:rPr>
        <w:t>Background</w:t>
      </w:r>
    </w:p>
    <w:p w:rsidRPr="00822359" w:rsidR="003D7909" w:rsidP="003D7909" w:rsidRDefault="003D7909" w14:paraId="6C74EA88" w14:textId="77777777">
      <w:pPr>
        <w:spacing w:line="276" w:lineRule="auto"/>
        <w:rPr>
          <w:rFonts w:cs="Arial"/>
          <w:szCs w:val="18"/>
          <w:lang w:val="en-US"/>
        </w:rPr>
      </w:pPr>
      <w:r w:rsidRPr="00822359">
        <w:rPr>
          <w:lang w:val="en-US"/>
        </w:rPr>
        <w:t>The data breach reporting obligation has been in force since 1 January 2016. This reporting obligation requires organizations (both businesses and government agencies) to report any serious data breach to the Dutch Data Protection Authority (</w:t>
      </w:r>
      <w:r w:rsidRPr="00457D35">
        <w:rPr>
          <w:i/>
          <w:iCs/>
          <w:lang w:val="en-US"/>
        </w:rPr>
        <w:t>Autoriteit Persoonsgegevens</w:t>
      </w:r>
      <w:r w:rsidRPr="00822359">
        <w:rPr>
          <w:lang w:val="en-US"/>
        </w:rPr>
        <w:t>) without delay. Under specific circumstances, they are obliged to report the data breach to the Data Subjects (the individuals whose Personal Data are involved in the breach) as well.</w:t>
      </w:r>
    </w:p>
    <w:p w:rsidRPr="00822359" w:rsidR="003D7909" w:rsidP="003D7909" w:rsidRDefault="003D7909" w14:paraId="5C5657B2" w14:textId="77777777">
      <w:pPr>
        <w:spacing w:line="276" w:lineRule="auto"/>
        <w:rPr>
          <w:rFonts w:cs="Arial"/>
          <w:szCs w:val="18"/>
          <w:lang w:val="en-US"/>
        </w:rPr>
      </w:pPr>
    </w:p>
    <w:p w:rsidRPr="00822359" w:rsidR="003D7909" w:rsidP="003D7909" w:rsidRDefault="003D7909" w14:paraId="776F1DE7" w14:textId="77777777">
      <w:pPr>
        <w:rPr>
          <w:szCs w:val="18"/>
          <w:lang w:val="en-US"/>
        </w:rPr>
      </w:pPr>
      <w:r w:rsidRPr="00822359">
        <w:rPr>
          <w:lang w:val="en-US"/>
        </w:rPr>
        <w:t xml:space="preserve">As the Contractor will be processing Personal Data within the framework of performing the agreement, the Contractor is obliged to report a breach involving personal data to the Contracting Authority as soon as it is discovered, without unreasonable delay (Article 33(2) of the GDPR). </w:t>
      </w:r>
    </w:p>
    <w:p w:rsidRPr="00822359" w:rsidR="003D7909" w:rsidP="003D7909" w:rsidRDefault="003D7909" w14:paraId="7CDB29BD" w14:textId="77777777">
      <w:pPr>
        <w:spacing w:line="276" w:lineRule="auto"/>
        <w:rPr>
          <w:rFonts w:cs="Arial"/>
          <w:szCs w:val="18"/>
          <w:lang w:val="en-US"/>
        </w:rPr>
      </w:pPr>
    </w:p>
    <w:p w:rsidRPr="00822359" w:rsidR="003D7909" w:rsidP="003D7909" w:rsidRDefault="003D7909" w14:paraId="7EDD3D8E" w14:textId="77777777">
      <w:pPr>
        <w:rPr>
          <w:b/>
          <w:szCs w:val="18"/>
          <w:lang w:val="en-US"/>
        </w:rPr>
      </w:pPr>
      <w:r w:rsidRPr="00822359">
        <w:rPr>
          <w:b/>
          <w:szCs w:val="18"/>
          <w:lang w:val="en-US"/>
        </w:rPr>
        <w:t xml:space="preserve">Cooperation </w:t>
      </w:r>
    </w:p>
    <w:p w:rsidRPr="00822359" w:rsidR="003D7909" w:rsidP="003D7909" w:rsidRDefault="003D7909" w14:paraId="088F6135" w14:textId="77777777">
      <w:pPr>
        <w:rPr>
          <w:szCs w:val="18"/>
          <w:lang w:val="en-US"/>
        </w:rPr>
      </w:pPr>
      <w:r w:rsidRPr="00822359">
        <w:rPr>
          <w:lang w:val="en-US"/>
        </w:rPr>
        <w:t>The Data Breach Response Team (DRT) coordinates the handling of the data breach for the Ministry of Economic Affairs and Climate Policy as well as the reporting thereof to the Dutch Data Protection Authority and – where necessary – the Data Subjects. The Contractor must cooperate fully by providing the DRT with all the requested information.</w:t>
      </w:r>
    </w:p>
    <w:p w:rsidRPr="00822359" w:rsidR="003D7909" w:rsidP="003D7909" w:rsidRDefault="003D7909" w14:paraId="7F90E207" w14:textId="77777777">
      <w:pPr>
        <w:tabs>
          <w:tab w:val="left" w:pos="1380"/>
        </w:tabs>
        <w:rPr>
          <w:szCs w:val="18"/>
          <w:lang w:val="en-US"/>
        </w:rPr>
      </w:pPr>
      <w:r w:rsidRPr="00822359">
        <w:rPr>
          <w:lang w:val="en-US"/>
        </w:rPr>
        <w:tab/>
      </w:r>
    </w:p>
    <w:p w:rsidRPr="00822359" w:rsidR="003D7909" w:rsidP="003D7909" w:rsidRDefault="003D7909" w14:paraId="743C1416" w14:textId="77777777">
      <w:pPr>
        <w:rPr>
          <w:szCs w:val="18"/>
          <w:lang w:val="en-US"/>
        </w:rPr>
      </w:pPr>
      <w:r w:rsidRPr="00822359">
        <w:rPr>
          <w:lang w:val="en-US"/>
        </w:rPr>
        <w:t>Among other things, the Contracting Authority will request the following information:</w:t>
      </w:r>
    </w:p>
    <w:p w:rsidRPr="00822359" w:rsidR="003D7909" w:rsidP="003D7909" w:rsidRDefault="003D7909" w14:paraId="3FDB7F69" w14:textId="77777777">
      <w:pPr>
        <w:rPr>
          <w:szCs w:val="18"/>
          <w:lang w:val="en-US"/>
        </w:rPr>
      </w:pPr>
    </w:p>
    <w:p w:rsidRPr="00822359" w:rsidR="003D7909" w:rsidP="003D7909" w:rsidRDefault="003D7909" w14:paraId="62B3BCE1" w14:textId="77777777">
      <w:pPr>
        <w:pStyle w:val="Lijstalinea"/>
        <w:numPr>
          <w:ilvl w:val="0"/>
          <w:numId w:val="27"/>
        </w:numPr>
        <w:overflowPunct/>
        <w:autoSpaceDE/>
        <w:autoSpaceDN/>
        <w:adjustRightInd/>
        <w:contextualSpacing w:val="0"/>
        <w:textAlignment w:val="auto"/>
        <w:rPr>
          <w:szCs w:val="18"/>
          <w:lang w:val="en-US"/>
        </w:rPr>
      </w:pPr>
      <w:r w:rsidRPr="00822359">
        <w:rPr>
          <w:lang w:val="en-US"/>
        </w:rPr>
        <w:t>details of its organisation (name of organisation, address, postal code, place of business, professional register or trade register registration);</w:t>
      </w:r>
    </w:p>
    <w:p w:rsidRPr="00822359" w:rsidR="003D7909" w:rsidP="003D7909" w:rsidRDefault="003D7909" w14:paraId="2461E67F" w14:textId="77777777">
      <w:pPr>
        <w:pStyle w:val="Lijstalinea"/>
        <w:numPr>
          <w:ilvl w:val="0"/>
          <w:numId w:val="27"/>
        </w:numPr>
        <w:overflowPunct/>
        <w:autoSpaceDE/>
        <w:autoSpaceDN/>
        <w:adjustRightInd/>
        <w:contextualSpacing w:val="0"/>
        <w:textAlignment w:val="auto"/>
        <w:rPr>
          <w:lang w:val="en-US"/>
        </w:rPr>
      </w:pPr>
      <w:r w:rsidRPr="00822359">
        <w:rPr>
          <w:lang w:val="en-US"/>
        </w:rPr>
        <w:t>details of the person reporting the breach (name, position, email address, telephone number(s));</w:t>
      </w:r>
    </w:p>
    <w:p w:rsidRPr="00822359" w:rsidR="003D7909" w:rsidP="003D7909" w:rsidRDefault="003D7909" w14:paraId="5AD4590C" w14:textId="77777777">
      <w:pPr>
        <w:pStyle w:val="Lijstalinea"/>
        <w:numPr>
          <w:ilvl w:val="0"/>
          <w:numId w:val="27"/>
        </w:numPr>
        <w:overflowPunct/>
        <w:autoSpaceDE/>
        <w:autoSpaceDN/>
        <w:adjustRightInd/>
        <w:contextualSpacing w:val="0"/>
        <w:textAlignment w:val="auto"/>
        <w:rPr>
          <w:lang w:val="en-US"/>
        </w:rPr>
      </w:pPr>
      <w:r w:rsidRPr="00822359">
        <w:rPr>
          <w:lang w:val="en-US"/>
        </w:rPr>
        <w:t>details of the data breach (short summary of the incident in which there was a Breach of the security of Personal Data, the minimum and maximum number of Data Subjects to whom the Breach of the Personal Data pertains, a description of the group of Data Subjects to whom the Breach pertains, the moment that the Breach took place (exact date or period), the moment the breach was discovered);</w:t>
      </w:r>
    </w:p>
    <w:p w:rsidRPr="00822359" w:rsidR="003D7909" w:rsidP="003D7909" w:rsidRDefault="003D7909" w14:paraId="1F690311" w14:textId="77777777">
      <w:pPr>
        <w:pStyle w:val="Lijstalinea"/>
        <w:numPr>
          <w:ilvl w:val="0"/>
          <w:numId w:val="27"/>
        </w:numPr>
        <w:overflowPunct/>
        <w:autoSpaceDE/>
        <w:autoSpaceDN/>
        <w:adjustRightInd/>
        <w:contextualSpacing w:val="0"/>
        <w:textAlignment w:val="auto"/>
        <w:rPr>
          <w:lang w:val="en-US"/>
        </w:rPr>
      </w:pPr>
      <w:r w:rsidRPr="00822359">
        <w:rPr>
          <w:lang w:val="en-US"/>
        </w:rPr>
        <w:t>information on the nature of the Breach (reading, copying, alteration, deletion, destruction, theft);</w:t>
      </w:r>
    </w:p>
    <w:p w:rsidRPr="00822359" w:rsidR="003D7909" w:rsidP="003D7909" w:rsidRDefault="003D7909" w14:paraId="1AA7779F" w14:textId="77777777">
      <w:pPr>
        <w:pStyle w:val="Lijstalinea"/>
        <w:numPr>
          <w:ilvl w:val="0"/>
          <w:numId w:val="27"/>
        </w:numPr>
        <w:overflowPunct/>
        <w:autoSpaceDE/>
        <w:autoSpaceDN/>
        <w:adjustRightInd/>
        <w:contextualSpacing w:val="0"/>
        <w:textAlignment w:val="auto"/>
        <w:rPr>
          <w:lang w:val="en-US"/>
        </w:rPr>
      </w:pPr>
      <w:r w:rsidRPr="00822359">
        <w:rPr>
          <w:lang w:val="en-US"/>
        </w:rPr>
        <w:t>type of Personal Data (address details, telephone numbers, email addresses or other addresses for electronic communication, access or identification details, financial details, citizen service number, passport or copies of other identity documents, gender, data of birth and/or age, special personal data such as ethnicity, political views, ideological beliefs, trade union membership, genetic details, biometric identification, health, sexual life and criminal details);</w:t>
      </w:r>
    </w:p>
    <w:p w:rsidRPr="00822359" w:rsidR="003D7909" w:rsidP="003D7909" w:rsidRDefault="003D7909" w14:paraId="25A4DD70" w14:textId="77777777">
      <w:pPr>
        <w:pStyle w:val="Lijstalinea"/>
        <w:numPr>
          <w:ilvl w:val="0"/>
          <w:numId w:val="27"/>
        </w:numPr>
        <w:overflowPunct/>
        <w:autoSpaceDE/>
        <w:autoSpaceDN/>
        <w:adjustRightInd/>
        <w:contextualSpacing w:val="0"/>
        <w:textAlignment w:val="auto"/>
        <w:rPr>
          <w:lang w:val="en-US"/>
        </w:rPr>
      </w:pPr>
      <w:r w:rsidRPr="00822359">
        <w:rPr>
          <w:lang w:val="en-US"/>
        </w:rPr>
        <w:t>technical and organisational measures which have been taken to deal with the data breach and prevent further Breaches;</w:t>
      </w:r>
    </w:p>
    <w:p w:rsidRPr="00822359" w:rsidR="003D7909" w:rsidP="003D7909" w:rsidRDefault="003D7909" w14:paraId="40CFE0E3" w14:textId="77777777">
      <w:pPr>
        <w:pStyle w:val="Lijstalinea"/>
        <w:numPr>
          <w:ilvl w:val="0"/>
          <w:numId w:val="27"/>
        </w:numPr>
        <w:overflowPunct/>
        <w:autoSpaceDE/>
        <w:autoSpaceDN/>
        <w:adjustRightInd/>
        <w:contextualSpacing w:val="0"/>
        <w:textAlignment w:val="auto"/>
        <w:rPr>
          <w:lang w:val="en-US"/>
        </w:rPr>
      </w:pPr>
      <w:r w:rsidRPr="00822359">
        <w:rPr>
          <w:lang w:val="en-US"/>
        </w:rPr>
        <w:t>technical security measures (whether the Personal Data were partially or fully encrypted, hashed or otherwise rendered incomprehensible or inaccessible to unauthorised persons at the time of the data breach and how the Personal Data were rendered incomprehensible or inaccessible).</w:t>
      </w:r>
    </w:p>
    <w:p w:rsidRPr="00822359" w:rsidR="003D7909" w:rsidP="003D7909" w:rsidRDefault="003D7909" w14:paraId="01F33E15" w14:textId="77777777">
      <w:pPr>
        <w:rPr>
          <w:lang w:val="en-US"/>
        </w:rPr>
      </w:pPr>
    </w:p>
    <w:p w:rsidRPr="00822359" w:rsidR="003D7909" w:rsidP="003D7909" w:rsidRDefault="003D7909" w14:paraId="6BA16865" w14:textId="77777777">
      <w:pPr>
        <w:rPr>
          <w:lang w:val="en-US"/>
        </w:rPr>
      </w:pPr>
      <w:r w:rsidRPr="00822359">
        <w:rPr>
          <w:lang w:val="en-US"/>
        </w:rPr>
        <w:t xml:space="preserve">Even if not all of the above information is available yet, the Contracting Authority’s contact person for data breaches must be contacted without delay. </w:t>
      </w:r>
    </w:p>
    <w:p w:rsidRPr="00822359" w:rsidR="003D7909" w:rsidP="003D7909" w:rsidRDefault="003D7909" w14:paraId="2A2ED073" w14:textId="77777777">
      <w:pPr>
        <w:rPr>
          <w:rFonts w:cs="Arial"/>
          <w:szCs w:val="18"/>
          <w:lang w:val="en-US"/>
        </w:rPr>
      </w:pPr>
    </w:p>
    <w:p w:rsidRPr="00822359" w:rsidR="003D7909" w:rsidP="003D7909" w:rsidRDefault="003D7909" w14:paraId="60FF8997" w14:textId="77777777">
      <w:pPr>
        <w:ind w:right="1"/>
        <w:rPr>
          <w:b/>
          <w:lang w:val="en-US"/>
        </w:rPr>
      </w:pPr>
      <w:r w:rsidRPr="00822359">
        <w:rPr>
          <w:b/>
          <w:lang w:val="en-US"/>
        </w:rPr>
        <w:t>Examples of data breaches:</w:t>
      </w:r>
    </w:p>
    <w:p w:rsidRPr="00822359" w:rsidR="003D7909" w:rsidP="003D7909" w:rsidRDefault="003D7909" w14:paraId="464E6070" w14:textId="77777777">
      <w:pPr>
        <w:ind w:left="360" w:right="1"/>
        <w:rPr>
          <w:b/>
          <w:lang w:val="en-US"/>
        </w:rPr>
      </w:pPr>
    </w:p>
    <w:p w:rsidRPr="00822359" w:rsidR="003D7909" w:rsidP="003D7909" w:rsidRDefault="003D7909" w14:paraId="47D688D2" w14:textId="77777777">
      <w:pPr>
        <w:pStyle w:val="HoofdtekstA"/>
        <w:numPr>
          <w:ilvl w:val="0"/>
          <w:numId w:val="28"/>
        </w:numPr>
        <w:ind w:left="720" w:right="1"/>
        <w:rPr>
          <w:rFonts w:ascii="Verdana" w:hAnsi="Verdana" w:eastAsia="Verdana" w:cs="Verdana"/>
          <w:sz w:val="18"/>
          <w:szCs w:val="18"/>
          <w:lang w:val="en-US"/>
        </w:rPr>
      </w:pPr>
      <w:r w:rsidRPr="00822359">
        <w:rPr>
          <w:rFonts w:ascii="Verdana" w:hAnsi="Verdana"/>
          <w:sz w:val="18"/>
          <w:szCs w:val="18"/>
          <w:lang w:val="en-US"/>
        </w:rPr>
        <w:t>loss or theft of a laptop, smartphone, flash drive, and so on, also if it concerns encrypted data;</w:t>
      </w:r>
    </w:p>
    <w:p w:rsidRPr="00822359" w:rsidR="003D7909" w:rsidP="003D7909" w:rsidRDefault="003D7909" w14:paraId="0C4BBBDB" w14:textId="77777777">
      <w:pPr>
        <w:pStyle w:val="HoofdtekstA"/>
        <w:numPr>
          <w:ilvl w:val="0"/>
          <w:numId w:val="28"/>
        </w:numPr>
        <w:ind w:left="720" w:right="1"/>
        <w:rPr>
          <w:rFonts w:ascii="Verdana" w:hAnsi="Verdana" w:eastAsia="Verdana" w:cs="Verdana"/>
          <w:sz w:val="18"/>
          <w:szCs w:val="18"/>
          <w:lang w:val="en-US"/>
        </w:rPr>
      </w:pPr>
      <w:r w:rsidRPr="00822359">
        <w:rPr>
          <w:rFonts w:ascii="Verdana" w:hAnsi="Verdana"/>
          <w:sz w:val="18"/>
          <w:szCs w:val="18"/>
          <w:lang w:val="en-US"/>
        </w:rPr>
        <w:t>accidental publication of Personal Data.</w:t>
      </w:r>
    </w:p>
    <w:p w:rsidRPr="00822359" w:rsidR="003D7909" w:rsidP="003D7909" w:rsidRDefault="003D7909" w14:paraId="507272AF" w14:textId="77777777">
      <w:pPr>
        <w:pStyle w:val="HoofdtekstA"/>
        <w:numPr>
          <w:ilvl w:val="0"/>
          <w:numId w:val="28"/>
        </w:numPr>
        <w:ind w:left="720" w:right="1"/>
        <w:rPr>
          <w:rFonts w:ascii="Verdana" w:hAnsi="Verdana" w:eastAsia="Verdana" w:cs="Verdana"/>
          <w:sz w:val="18"/>
          <w:szCs w:val="18"/>
          <w:lang w:val="en-US"/>
        </w:rPr>
      </w:pPr>
      <w:r w:rsidRPr="00822359">
        <w:rPr>
          <w:rFonts w:ascii="Verdana" w:hAnsi="Verdana"/>
          <w:sz w:val="18"/>
          <w:szCs w:val="18"/>
          <w:lang w:val="en-US"/>
        </w:rPr>
        <w:t>sending an email with names in the CC rather than in the BCC if the addressees have nothing to do with each other, or sending an email to the wrong address;</w:t>
      </w:r>
    </w:p>
    <w:p w:rsidRPr="00822359" w:rsidR="003D7909" w:rsidP="003D7909" w:rsidRDefault="003D7909" w14:paraId="51A69145" w14:textId="77777777">
      <w:pPr>
        <w:pStyle w:val="HoofdtekstA"/>
        <w:numPr>
          <w:ilvl w:val="0"/>
          <w:numId w:val="28"/>
        </w:numPr>
        <w:ind w:left="720" w:right="1"/>
        <w:rPr>
          <w:rFonts w:ascii="Verdana" w:hAnsi="Verdana" w:eastAsia="Verdana" w:cs="Verdana"/>
          <w:sz w:val="18"/>
          <w:szCs w:val="18"/>
          <w:lang w:val="en-US"/>
        </w:rPr>
      </w:pPr>
      <w:r w:rsidRPr="00822359">
        <w:rPr>
          <w:rFonts w:ascii="Verdana" w:hAnsi="Verdana"/>
          <w:sz w:val="18"/>
          <w:szCs w:val="18"/>
          <w:lang w:val="en-US"/>
        </w:rPr>
        <w:t>being the victim of a phishing email or hack;</w:t>
      </w:r>
    </w:p>
    <w:p w:rsidRPr="00822359" w:rsidR="003D7909" w:rsidP="003D7909" w:rsidRDefault="003D7909" w14:paraId="7E1FDAE8" w14:textId="77777777">
      <w:pPr>
        <w:pStyle w:val="HoofdtekstA"/>
        <w:numPr>
          <w:ilvl w:val="0"/>
          <w:numId w:val="28"/>
        </w:numPr>
        <w:ind w:left="720" w:right="1"/>
        <w:rPr>
          <w:rFonts w:ascii="Verdana" w:hAnsi="Verdana" w:eastAsia="Verdana" w:cs="Verdana"/>
          <w:sz w:val="18"/>
          <w:szCs w:val="18"/>
          <w:lang w:val="en-US"/>
        </w:rPr>
      </w:pPr>
      <w:r w:rsidRPr="00822359">
        <w:rPr>
          <w:rFonts w:ascii="Verdana" w:hAnsi="Verdana"/>
          <w:sz w:val="18"/>
          <w:szCs w:val="18"/>
          <w:lang w:val="en-US"/>
        </w:rPr>
        <w:t>illegal transfer of usernames/login codes or having access to files which you are not (or no longer) authorised to access;</w:t>
      </w:r>
    </w:p>
    <w:p w:rsidRPr="00822359" w:rsidR="003D7909" w:rsidP="003D7909" w:rsidRDefault="003D7909" w14:paraId="271DE421" w14:textId="77777777">
      <w:pPr>
        <w:pStyle w:val="HoofdtekstA"/>
        <w:numPr>
          <w:ilvl w:val="0"/>
          <w:numId w:val="28"/>
        </w:numPr>
        <w:ind w:left="720" w:right="1"/>
        <w:rPr>
          <w:rFonts w:ascii="Verdana" w:hAnsi="Verdana" w:eastAsia="Verdana" w:cs="Verdana"/>
          <w:sz w:val="18"/>
          <w:szCs w:val="18"/>
          <w:lang w:val="en-US"/>
        </w:rPr>
      </w:pPr>
      <w:r w:rsidRPr="00822359">
        <w:rPr>
          <w:rFonts w:ascii="Verdana" w:hAnsi="Verdana"/>
          <w:sz w:val="18"/>
          <w:szCs w:val="18"/>
          <w:lang w:val="en-US"/>
        </w:rPr>
        <w:t>destruction of a data base containing Personal Data as a result of human error, without the presence of a back-up.</w:t>
      </w:r>
    </w:p>
    <w:p w:rsidRPr="00822359" w:rsidR="003D7909" w:rsidP="003D7909" w:rsidRDefault="003D7909" w14:paraId="40C5848E" w14:textId="77777777">
      <w:pPr>
        <w:pStyle w:val="HoofdtekstA"/>
        <w:ind w:right="1"/>
        <w:rPr>
          <w:rFonts w:ascii="Verdana" w:hAnsi="Verdana"/>
          <w:sz w:val="18"/>
          <w:szCs w:val="18"/>
          <w:lang w:val="en-US"/>
        </w:rPr>
      </w:pPr>
    </w:p>
    <w:p w:rsidRPr="00822359" w:rsidR="003D7909" w:rsidP="003D7909" w:rsidRDefault="003D7909" w14:paraId="747B08C2" w14:textId="77777777">
      <w:pPr>
        <w:pStyle w:val="HoofdtekstA"/>
        <w:ind w:right="1"/>
        <w:rPr>
          <w:rFonts w:ascii="Verdana" w:hAnsi="Verdana" w:eastAsia="Verdana" w:cs="Verdana"/>
          <w:sz w:val="18"/>
          <w:szCs w:val="18"/>
          <w:lang w:val="en-US"/>
        </w:rPr>
      </w:pPr>
    </w:p>
    <w:p w:rsidRPr="00822359" w:rsidR="003D7909" w:rsidP="003D7909" w:rsidRDefault="003D7909" w14:paraId="2F0BFE20" w14:textId="77777777">
      <w:pPr>
        <w:rPr>
          <w:b/>
          <w:lang w:val="en-US"/>
        </w:rPr>
      </w:pPr>
      <w:r w:rsidRPr="002C552C">
        <w:rPr>
          <w:b/>
          <w:highlight w:val="cyan"/>
          <w:lang w:val="en-US"/>
        </w:rPr>
        <w:t>To be completed by the Contractor:</w:t>
      </w:r>
    </w:p>
    <w:p w:rsidRPr="00822359" w:rsidR="003D7909" w:rsidP="003D7909" w:rsidRDefault="003D7909" w14:paraId="7A20F101" w14:textId="77777777">
      <w:pPr>
        <w:rPr>
          <w:szCs w:val="18"/>
          <w:lang w:val="en-US"/>
        </w:rPr>
      </w:pPr>
    </w:p>
    <w:p w:rsidRPr="002C552C" w:rsidR="003D7909" w:rsidP="003D7909" w:rsidRDefault="003D7909" w14:paraId="5CCABC55" w14:textId="77777777">
      <w:pPr>
        <w:rPr>
          <w:szCs w:val="18"/>
          <w:highlight w:val="cyan"/>
          <w:lang w:val="en-US"/>
        </w:rPr>
      </w:pPr>
      <w:r w:rsidRPr="002C552C">
        <w:rPr>
          <w:highlight w:val="cyan"/>
          <w:lang w:val="en-US"/>
        </w:rPr>
        <w:t>Contact details for data breaches:</w:t>
      </w:r>
    </w:p>
    <w:p w:rsidRPr="002C552C" w:rsidR="003D7909" w:rsidP="003D7909" w:rsidRDefault="003D7909" w14:paraId="68A7E437" w14:textId="77777777">
      <w:pPr>
        <w:rPr>
          <w:highlight w:val="cyan"/>
          <w:lang w:val="en-US"/>
        </w:rPr>
      </w:pPr>
      <w:r w:rsidRPr="002C552C">
        <w:rPr>
          <w:highlight w:val="cyan"/>
          <w:lang w:val="en-US"/>
        </w:rPr>
        <w:t xml:space="preserve">E: </w:t>
      </w:r>
    </w:p>
    <w:p w:rsidRPr="002C552C" w:rsidR="003D7909" w:rsidP="003D7909" w:rsidRDefault="003D7909" w14:paraId="0BEAFBEF" w14:textId="77777777">
      <w:pPr>
        <w:rPr>
          <w:highlight w:val="cyan"/>
          <w:lang w:val="en-US"/>
        </w:rPr>
      </w:pPr>
      <w:r w:rsidRPr="002C552C">
        <w:rPr>
          <w:highlight w:val="cyan"/>
          <w:lang w:val="en-US"/>
        </w:rPr>
        <w:t xml:space="preserve">T: </w:t>
      </w:r>
    </w:p>
    <w:p w:rsidRPr="00822359" w:rsidR="003D7909" w:rsidP="003D7909" w:rsidRDefault="003D7909" w14:paraId="50CFAD28" w14:textId="77777777">
      <w:pPr>
        <w:rPr>
          <w:lang w:val="en-US"/>
        </w:rPr>
      </w:pPr>
      <w:r w:rsidRPr="002C552C">
        <w:rPr>
          <w:highlight w:val="cyan"/>
          <w:lang w:val="en-US"/>
        </w:rPr>
        <w:t>Availability:</w:t>
      </w:r>
      <w:r w:rsidRPr="00822359">
        <w:rPr>
          <w:lang w:val="en-US"/>
        </w:rPr>
        <w:t xml:space="preserve">   </w:t>
      </w:r>
    </w:p>
    <w:p w:rsidRPr="00822359" w:rsidR="003D7909" w:rsidP="003D7909" w:rsidRDefault="003D7909" w14:paraId="4A32AD40" w14:textId="77777777">
      <w:pPr>
        <w:rPr>
          <w:lang w:val="en-US"/>
        </w:rPr>
      </w:pPr>
    </w:p>
    <w:p w:rsidRPr="00822359" w:rsidR="003D7909" w:rsidP="003D7909" w:rsidRDefault="003D7909" w14:paraId="152D424D" w14:textId="77777777">
      <w:pPr>
        <w:rPr>
          <w:b/>
          <w:lang w:val="en-US"/>
        </w:rPr>
      </w:pPr>
      <w:r w:rsidRPr="00822359">
        <w:rPr>
          <w:b/>
          <w:lang w:val="en-US"/>
        </w:rPr>
        <w:t>To be completed by the Contracting Authority:</w:t>
      </w:r>
    </w:p>
    <w:p w:rsidRPr="00822359" w:rsidR="003D7909" w:rsidP="003D7909" w:rsidRDefault="003D7909" w14:paraId="0455337B" w14:textId="77777777">
      <w:pPr>
        <w:rPr>
          <w:lang w:val="en-US"/>
        </w:rPr>
      </w:pPr>
    </w:p>
    <w:p w:rsidRPr="00822359" w:rsidR="003D7909" w:rsidP="003D7909" w:rsidRDefault="003D7909" w14:paraId="53A4AF4D" w14:textId="77777777">
      <w:pPr>
        <w:rPr>
          <w:szCs w:val="18"/>
          <w:lang w:val="en-US"/>
        </w:rPr>
      </w:pPr>
      <w:r w:rsidRPr="00822359">
        <w:rPr>
          <w:lang w:val="en-US"/>
        </w:rPr>
        <w:t>Contact details for data breaches</w:t>
      </w:r>
    </w:p>
    <w:p w:rsidRPr="00822359" w:rsidR="003D7909" w:rsidP="003D7909" w:rsidRDefault="003D7909" w14:paraId="6FE610F6" w14:textId="77777777">
      <w:pPr>
        <w:rPr>
          <w:lang w:val="en-US"/>
        </w:rPr>
      </w:pPr>
      <w:r w:rsidRPr="00822359">
        <w:rPr>
          <w:lang w:val="en-US"/>
        </w:rPr>
        <w:t>E: rvoinformatiebeveiliging@rvo.nl</w:t>
      </w:r>
    </w:p>
    <w:p w:rsidRPr="00822359" w:rsidR="003D7909" w:rsidP="003D7909" w:rsidRDefault="003D7909" w14:paraId="68258E19" w14:textId="77777777">
      <w:pPr>
        <w:rPr>
          <w:lang w:val="en-US"/>
        </w:rPr>
      </w:pPr>
      <w:r w:rsidRPr="00822359">
        <w:rPr>
          <w:lang w:val="en-US"/>
        </w:rPr>
        <w:t>Availability: Monday to Friday from 07:30 to 18:30 CET</w:t>
      </w:r>
    </w:p>
    <w:bookmarkEnd w:id="74"/>
    <w:p w:rsidRPr="00822359" w:rsidR="003D7909" w:rsidP="003D7909" w:rsidRDefault="003D7909" w14:paraId="03C9421B" w14:textId="77777777">
      <w:pPr>
        <w:rPr>
          <w:szCs w:val="18"/>
          <w:lang w:val="en-US"/>
        </w:rPr>
      </w:pPr>
    </w:p>
    <w:p w:rsidRPr="00822359" w:rsidR="003D7909" w:rsidP="003D7909" w:rsidRDefault="003D7909" w14:paraId="5AF9C44C" w14:textId="77777777">
      <w:pPr>
        <w:rPr>
          <w:lang w:val="en-US"/>
        </w:rPr>
      </w:pPr>
    </w:p>
    <w:p w:rsidRPr="00822359" w:rsidR="003D7909" w:rsidP="003D7909" w:rsidRDefault="003D7909" w14:paraId="3AEC842E" w14:textId="77777777">
      <w:pPr>
        <w:rPr>
          <w:lang w:val="en-US"/>
        </w:rPr>
      </w:pPr>
    </w:p>
    <w:p w:rsidRPr="00471AA7" w:rsidR="004D3AA8" w:rsidP="003D7909" w:rsidRDefault="004D3AA8" w14:paraId="75C5F46E" w14:textId="50F44072">
      <w:pPr>
        <w:spacing w:line="276" w:lineRule="auto"/>
        <w:rPr>
          <w:rFonts w:cs="Arial"/>
          <w:szCs w:val="18"/>
          <w:lang w:val="en-US"/>
        </w:rPr>
      </w:pPr>
    </w:p>
    <w:sectPr w:rsidRPr="00471AA7" w:rsidR="004D3AA8" w:rsidSect="003E5923">
      <w:headerReference w:type="even" r:id="rId17"/>
      <w:headerReference w:type="default" r:id="rId18"/>
      <w:footerReference w:type="even" r:id="rId19"/>
      <w:footerReference w:type="default" r:id="rId20"/>
      <w:headerReference w:type="first" r:id="rId21"/>
      <w:footerReference w:type="first" r:id="rId22"/>
      <w:footnotePr>
        <w:numFmt w:val="chicago"/>
        <w:numRestart w:val="eachSect"/>
      </w:footnotePr>
      <w:endnotePr>
        <w:numFmt w:val="decimal"/>
      </w:endnotePr>
      <w:pgSz w:w="11907" w:h="16840" w:orient="portrait" w:code="9"/>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168E" w:rsidRDefault="00D9168E" w14:paraId="45E38CE0" w14:textId="77777777">
      <w:r>
        <w:separator/>
      </w:r>
    </w:p>
  </w:endnote>
  <w:endnote w:type="continuationSeparator" w:id="0">
    <w:p w:rsidR="00D9168E" w:rsidRDefault="00D9168E" w14:paraId="2F23EE5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086D3E" w:rsidRDefault="00086D3E" w14:paraId="4B7A173B" w14:textId="77777777">
    <w:pPr>
      <w:pStyle w:val="Voettekst"/>
    </w:pPr>
    <w:r>
      <w:rPr>
        <w:noProof/>
      </w:rPr>
      <mc:AlternateContent>
        <mc:Choice Requires="wps">
          <w:drawing>
            <wp:anchor distT="0" distB="0" distL="0" distR="0" simplePos="0" relativeHeight="251658246" behindDoc="0" locked="0" layoutInCell="1" allowOverlap="1" wp14:anchorId="08D80DC2" wp14:editId="63948DF0">
              <wp:simplePos x="635" y="635"/>
              <wp:positionH relativeFrom="page">
                <wp:align>left</wp:align>
              </wp:positionH>
              <wp:positionV relativeFrom="page">
                <wp:align>bottom</wp:align>
              </wp:positionV>
              <wp:extent cx="443865" cy="443865"/>
              <wp:effectExtent l="0" t="0" r="16510" b="0"/>
              <wp:wrapNone/>
              <wp:docPr id="32" name="Tekstvak 32" descr="Vertrouwelij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9476EE" w:rsidR="00086D3E" w:rsidRDefault="00086D3E" w14:paraId="0AD6CB65" w14:textId="77777777">
                          <w:pPr>
                            <w:rPr>
                              <w:rFonts w:ascii="Calibri" w:hAnsi="Calibri" w:eastAsia="Calibri" w:cs="Calibri"/>
                              <w:noProof/>
                              <w:color w:val="000000"/>
                              <w:sz w:val="20"/>
                            </w:rPr>
                          </w:pPr>
                          <w:r w:rsidRPr="009476EE">
                            <w:rPr>
                              <w:rFonts w:ascii="Calibri" w:hAnsi="Calibri" w:eastAsia="Calibri" w:cs="Calibri"/>
                              <w:noProof/>
                              <w:color w:val="000000"/>
                              <w:sz w:val="20"/>
                            </w:rPr>
                            <w:t>Vertrouwelijk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w14:anchorId="0E2A71E1">
            <v:shapetype id="_x0000_t202" coordsize="21600,21600" o:spt="202" path="m,l,21600r21600,l21600,xe" w14:anchorId="08D80DC2">
              <v:stroke joinstyle="miter"/>
              <v:path gradientshapeok="t" o:connecttype="rect"/>
            </v:shapetype>
            <v:shape id="Tekstvak 32" style="position:absolute;margin-left:0;margin-top:0;width:34.95pt;height:34.95pt;z-index:251658246;visibility:visible;mso-wrap-style:none;mso-wrap-distance-left:0;mso-wrap-distance-top:0;mso-wrap-distance-right:0;mso-wrap-distance-bottom:0;mso-position-horizontal:left;mso-position-horizontal-relative:page;mso-position-vertical:bottom;mso-position-vertical-relative:page;v-text-anchor:bottom" alt="Vertrouwelijk"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v:textbox style="mso-fit-shape-to-text:t" inset="20pt,0,0,15pt">
                <w:txbxContent>
                  <w:p w:rsidRPr="009476EE" w:rsidR="00086D3E" w:rsidRDefault="00086D3E" w14:paraId="5A8D08EF" w14:textId="77777777">
                    <w:pPr>
                      <w:rPr>
                        <w:rFonts w:ascii="Calibri" w:hAnsi="Calibri" w:eastAsia="Calibri" w:cs="Calibri"/>
                        <w:noProof/>
                        <w:color w:val="000000"/>
                        <w:sz w:val="20"/>
                      </w:rPr>
                    </w:pPr>
                    <w:r w:rsidRPr="009476EE">
                      <w:rPr>
                        <w:rFonts w:ascii="Calibri" w:hAnsi="Calibri" w:eastAsia="Calibri" w:cs="Calibri"/>
                        <w:noProof/>
                        <w:color w:val="000000"/>
                        <w:sz w:val="20"/>
                      </w:rPr>
                      <w:t>Vertrouwelijk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086D3E" w:rsidRDefault="00086D3E" w14:paraId="382CD594" w14:textId="77777777">
    <w:pPr>
      <w:pStyle w:val="Voettekst"/>
      <w:rPr>
        <w:sz w:val="12"/>
        <w:szCs w:val="12"/>
      </w:rPr>
    </w:pPr>
    <w:r>
      <w:rPr>
        <w:noProof/>
        <w:sz w:val="12"/>
        <w:szCs w:val="12"/>
      </w:rPr>
      <mc:AlternateContent>
        <mc:Choice Requires="wps">
          <w:drawing>
            <wp:anchor distT="0" distB="0" distL="0" distR="0" simplePos="0" relativeHeight="251658247" behindDoc="0" locked="0" layoutInCell="1" allowOverlap="1" wp14:anchorId="55160E72" wp14:editId="4A351896">
              <wp:simplePos x="635" y="635"/>
              <wp:positionH relativeFrom="page">
                <wp:align>left</wp:align>
              </wp:positionH>
              <wp:positionV relativeFrom="page">
                <wp:align>bottom</wp:align>
              </wp:positionV>
              <wp:extent cx="443865" cy="443865"/>
              <wp:effectExtent l="0" t="0" r="16510" b="0"/>
              <wp:wrapNone/>
              <wp:docPr id="33" name="Tekstvak 33" descr="Vertrouwelij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9476EE" w:rsidR="00086D3E" w:rsidRDefault="00086D3E" w14:paraId="24CE1DE3" w14:textId="77777777">
                          <w:pPr>
                            <w:rPr>
                              <w:rFonts w:ascii="Calibri" w:hAnsi="Calibri" w:eastAsia="Calibri" w:cs="Calibri"/>
                              <w:noProof/>
                              <w:color w:val="000000"/>
                              <w:sz w:val="20"/>
                            </w:rPr>
                          </w:pPr>
                          <w:r w:rsidRPr="009476EE">
                            <w:rPr>
                              <w:rFonts w:ascii="Calibri" w:hAnsi="Calibri" w:eastAsia="Calibri" w:cs="Calibri"/>
                              <w:noProof/>
                              <w:color w:val="000000"/>
                              <w:sz w:val="20"/>
                            </w:rPr>
                            <w:t>Vertrouwelijk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w14:anchorId="7F73DD55">
            <v:shapetype id="_x0000_t202" coordsize="21600,21600" o:spt="202" path="m,l,21600r21600,l21600,xe" w14:anchorId="55160E72">
              <v:stroke joinstyle="miter"/>
              <v:path gradientshapeok="t" o:connecttype="rect"/>
            </v:shapetype>
            <v:shape id="Tekstvak 33" style="position:absolute;margin-left:0;margin-top:0;width:34.95pt;height:34.95pt;z-index:251658247;visibility:visible;mso-wrap-style:none;mso-wrap-distance-left:0;mso-wrap-distance-top:0;mso-wrap-distance-right:0;mso-wrap-distance-bottom:0;mso-position-horizontal:left;mso-position-horizontal-relative:page;mso-position-vertical:bottom;mso-position-vertical-relative:page;v-text-anchor:bottom" alt="Vertrouwelijk"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v:textbox style="mso-fit-shape-to-text:t" inset="20pt,0,0,15pt">
                <w:txbxContent>
                  <w:p w:rsidRPr="009476EE" w:rsidR="00086D3E" w:rsidRDefault="00086D3E" w14:paraId="177E21A0" w14:textId="77777777">
                    <w:pPr>
                      <w:rPr>
                        <w:rFonts w:ascii="Calibri" w:hAnsi="Calibri" w:eastAsia="Calibri" w:cs="Calibri"/>
                        <w:noProof/>
                        <w:color w:val="000000"/>
                        <w:sz w:val="20"/>
                      </w:rPr>
                    </w:pPr>
                    <w:r w:rsidRPr="009476EE">
                      <w:rPr>
                        <w:rFonts w:ascii="Calibri" w:hAnsi="Calibri" w:eastAsia="Calibri" w:cs="Calibri"/>
                        <w:noProof/>
                        <w:color w:val="000000"/>
                        <w:sz w:val="20"/>
                      </w:rPr>
                      <w:t>Vertrouwelijk</w:t>
                    </w:r>
                  </w:p>
                </w:txbxContent>
              </v:textbox>
              <w10:wrap anchorx="page" anchory="page"/>
            </v:shape>
          </w:pict>
        </mc:Fallback>
      </mc:AlternateContent>
    </w:r>
    <w:r w:rsidRPr="00F36445">
      <w:rPr>
        <w:sz w:val="12"/>
        <w:szCs w:val="12"/>
      </w:rPr>
      <w:t xml:space="preserve">Verwerkersovereenkomst </w:t>
    </w:r>
    <w:r>
      <w:rPr>
        <w:sz w:val="12"/>
        <w:szCs w:val="12"/>
      </w:rPr>
      <w:t>Afk Afdeling Team Naam</w:t>
    </w:r>
    <w:r w:rsidRPr="00F36445">
      <w:rPr>
        <w:sz w:val="12"/>
        <w:szCs w:val="12"/>
      </w:rPr>
      <w:t xml:space="preserve"> / </w:t>
    </w:r>
    <w:r>
      <w:rPr>
        <w:sz w:val="12"/>
        <w:szCs w:val="12"/>
      </w:rPr>
      <w:t>Derde partij</w:t>
    </w:r>
  </w:p>
  <w:p w:rsidR="00086D3E" w:rsidRDefault="00086D3E" w14:paraId="2B0A5CB1" w14:textId="77777777">
    <w:pPr>
      <w:pStyle w:val="Voettekst"/>
      <w:jc w:val="right"/>
      <w:rPr>
        <w:sz w:val="12"/>
        <w:szCs w:val="12"/>
      </w:rPr>
    </w:pPr>
  </w:p>
  <w:p w:rsidRPr="00B56067" w:rsidR="00086D3E" w:rsidRDefault="00086D3E" w14:paraId="4792C88B" w14:textId="77777777">
    <w:pPr>
      <w:pStyle w:val="Voettekst"/>
      <w:jc w:val="right"/>
      <w:rPr>
        <w:sz w:val="12"/>
        <w:szCs w:val="12"/>
      </w:rPr>
    </w:pPr>
    <w:r w:rsidRPr="00B56067">
      <w:rPr>
        <w:sz w:val="12"/>
        <w:szCs w:val="12"/>
      </w:rPr>
      <w:t xml:space="preserve">Pagina </w:t>
    </w:r>
    <w:r w:rsidRPr="00B56067">
      <w:rPr>
        <w:b/>
        <w:bCs/>
        <w:sz w:val="12"/>
        <w:szCs w:val="12"/>
      </w:rPr>
      <w:fldChar w:fldCharType="begin"/>
    </w:r>
    <w:r w:rsidRPr="00B56067">
      <w:rPr>
        <w:b/>
        <w:bCs/>
        <w:sz w:val="12"/>
        <w:szCs w:val="12"/>
      </w:rPr>
      <w:instrText>PAGE  \* Arabic  \* MERGEFORMAT</w:instrText>
    </w:r>
    <w:r w:rsidRPr="00B56067">
      <w:rPr>
        <w:b/>
        <w:bCs/>
        <w:sz w:val="12"/>
        <w:szCs w:val="12"/>
      </w:rPr>
      <w:fldChar w:fldCharType="separate"/>
    </w:r>
    <w:r>
      <w:rPr>
        <w:b/>
        <w:bCs/>
        <w:sz w:val="12"/>
        <w:szCs w:val="12"/>
      </w:rPr>
      <w:t>2</w:t>
    </w:r>
    <w:r w:rsidRPr="00B56067">
      <w:rPr>
        <w:b/>
        <w:bCs/>
        <w:sz w:val="12"/>
        <w:szCs w:val="12"/>
      </w:rPr>
      <w:fldChar w:fldCharType="end"/>
    </w:r>
    <w:r w:rsidRPr="00B56067">
      <w:rPr>
        <w:sz w:val="12"/>
        <w:szCs w:val="12"/>
      </w:rPr>
      <w:t xml:space="preserve"> van </w:t>
    </w:r>
    <w:r w:rsidRPr="00B56067">
      <w:rPr>
        <w:sz w:val="12"/>
        <w:szCs w:val="12"/>
      </w:rPr>
      <w:fldChar w:fldCharType="begin"/>
    </w:r>
    <w:r w:rsidRPr="00B56067">
      <w:rPr>
        <w:sz w:val="12"/>
        <w:szCs w:val="12"/>
      </w:rPr>
      <w:instrText>NUMPAGES  \* Arabic  \* MERGEFORMAT</w:instrText>
    </w:r>
    <w:r w:rsidRPr="00B56067">
      <w:rPr>
        <w:sz w:val="12"/>
        <w:szCs w:val="12"/>
      </w:rPr>
      <w:fldChar w:fldCharType="separate"/>
    </w:r>
    <w:r>
      <w:rPr>
        <w:sz w:val="12"/>
        <w:szCs w:val="12"/>
      </w:rPr>
      <w:t>10</w:t>
    </w:r>
    <w:r w:rsidRPr="00B56067">
      <w:rPr>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086D3E" w:rsidRDefault="00086D3E" w14:paraId="275E814F" w14:textId="77777777">
    <w:pPr>
      <w:pStyle w:val="Voettekst"/>
    </w:pPr>
    <w:r>
      <w:rPr>
        <w:noProof/>
      </w:rPr>
      <mc:AlternateContent>
        <mc:Choice Requires="wps">
          <w:drawing>
            <wp:anchor distT="0" distB="0" distL="0" distR="0" simplePos="0" relativeHeight="251658245" behindDoc="0" locked="0" layoutInCell="1" allowOverlap="1" wp14:anchorId="78D165EE" wp14:editId="144053A6">
              <wp:simplePos x="2071370" y="10083800"/>
              <wp:positionH relativeFrom="page">
                <wp:align>left</wp:align>
              </wp:positionH>
              <wp:positionV relativeFrom="page">
                <wp:align>bottom</wp:align>
              </wp:positionV>
              <wp:extent cx="443865" cy="443865"/>
              <wp:effectExtent l="0" t="0" r="16510" b="0"/>
              <wp:wrapNone/>
              <wp:docPr id="31" name="Tekstvak 31" descr="Vertrouwelij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9476EE" w:rsidR="00086D3E" w:rsidRDefault="00086D3E" w14:paraId="1F0FA989" w14:textId="77777777">
                          <w:pPr>
                            <w:rPr>
                              <w:rFonts w:ascii="Calibri" w:hAnsi="Calibri" w:eastAsia="Calibri" w:cs="Calibri"/>
                              <w:noProof/>
                              <w:color w:val="000000"/>
                              <w:sz w:val="20"/>
                            </w:rPr>
                          </w:pPr>
                          <w:r w:rsidRPr="009476EE">
                            <w:rPr>
                              <w:rFonts w:ascii="Calibri" w:hAnsi="Calibri" w:eastAsia="Calibri" w:cs="Calibri"/>
                              <w:noProof/>
                              <w:color w:val="000000"/>
                              <w:sz w:val="20"/>
                            </w:rPr>
                            <w:t>Vertrouwelijk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w14:anchorId="59CF435B">
            <v:shapetype id="_x0000_t202" coordsize="21600,21600" o:spt="202" path="m,l,21600r21600,l21600,xe" w14:anchorId="78D165EE">
              <v:stroke joinstyle="miter"/>
              <v:path gradientshapeok="t" o:connecttype="rect"/>
            </v:shapetype>
            <v:shape id="Tekstvak 31" style="position:absolute;margin-left:0;margin-top:0;width:34.95pt;height:34.95pt;z-index:251658245;visibility:visible;mso-wrap-style:none;mso-wrap-distance-left:0;mso-wrap-distance-top:0;mso-wrap-distance-right:0;mso-wrap-distance-bottom:0;mso-position-horizontal:left;mso-position-horizontal-relative:page;mso-position-vertical:bottom;mso-position-vertical-relative:page;v-text-anchor:bottom" alt="Vertrouwelijk"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v:textbox style="mso-fit-shape-to-text:t" inset="20pt,0,0,15pt">
                <w:txbxContent>
                  <w:p w:rsidRPr="009476EE" w:rsidR="00086D3E" w:rsidRDefault="00086D3E" w14:paraId="399A122A" w14:textId="77777777">
                    <w:pPr>
                      <w:rPr>
                        <w:rFonts w:ascii="Calibri" w:hAnsi="Calibri" w:eastAsia="Calibri" w:cs="Calibri"/>
                        <w:noProof/>
                        <w:color w:val="000000"/>
                        <w:sz w:val="20"/>
                      </w:rPr>
                    </w:pPr>
                    <w:r w:rsidRPr="009476EE">
                      <w:rPr>
                        <w:rFonts w:ascii="Calibri" w:hAnsi="Calibri" w:eastAsia="Calibri" w:cs="Calibri"/>
                        <w:noProof/>
                        <w:color w:val="000000"/>
                        <w:sz w:val="20"/>
                      </w:rPr>
                      <w:t>Vertrouwelijk</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71AA7" w:rsidRDefault="00471AA7" w14:paraId="1AC1425F" w14:textId="4ED5E3AC">
    <w:pPr>
      <w:pStyle w:val="Voettekst"/>
    </w:pPr>
    <w:r>
      <w:rPr>
        <w:noProof/>
      </w:rPr>
      <mc:AlternateContent>
        <mc:Choice Requires="wps">
          <w:drawing>
            <wp:anchor distT="0" distB="0" distL="0" distR="0" simplePos="0" relativeHeight="251658243" behindDoc="0" locked="0" layoutInCell="1" allowOverlap="1" wp14:anchorId="7E8C2B7A" wp14:editId="1262E544">
              <wp:simplePos x="635" y="635"/>
              <wp:positionH relativeFrom="page">
                <wp:align>left</wp:align>
              </wp:positionH>
              <wp:positionV relativeFrom="page">
                <wp:align>bottom</wp:align>
              </wp:positionV>
              <wp:extent cx="986155" cy="345440"/>
              <wp:effectExtent l="0" t="0" r="4445" b="0"/>
              <wp:wrapNone/>
              <wp:docPr id="765468321"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rsidRPr="00471AA7" w:rsidR="00471AA7" w:rsidP="00471AA7" w:rsidRDefault="00471AA7" w14:paraId="55BEAEA3" w14:textId="0F3E769D">
                          <w:pPr>
                            <w:rPr>
                              <w:rFonts w:ascii="Calibri" w:hAnsi="Calibri" w:eastAsia="Calibri" w:cs="Calibri"/>
                              <w:noProof/>
                              <w:color w:val="000000"/>
                              <w:sz w:val="20"/>
                            </w:rPr>
                          </w:pPr>
                          <w:r w:rsidRPr="00471AA7">
                            <w:rPr>
                              <w:rFonts w:ascii="Calibri" w:hAnsi="Calibri" w:eastAsia="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w14:anchorId="24170C7E">
            <v:shapetype id="_x0000_t202" coordsize="21600,21600" o:spt="202" path="m,l,21600r21600,l21600,xe" w14:anchorId="7E8C2B7A">
              <v:stroke joinstyle="miter"/>
              <v:path gradientshapeok="t" o:connecttype="rect"/>
            </v:shapetype>
            <v:shape id="Tekstvak 2" style="position:absolute;margin-left:0;margin-top:0;width:77.65pt;height:27.2pt;z-index:251658243;visibility:visible;mso-wrap-style:none;mso-wrap-distance-left:0;mso-wrap-distance-top:0;mso-wrap-distance-right:0;mso-wrap-distance-bottom:0;mso-position-horizontal:left;mso-position-horizontal-relative:page;mso-position-vertical:bottom;mso-position-vertical-relative:page;v-text-anchor:bottom" alt="Intern gebruik"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S9YEw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">
              <v:textbox style="mso-fit-shape-to-text:t" inset="20pt,0,0,15pt">
                <w:txbxContent>
                  <w:p w:rsidRPr="00471AA7" w:rsidR="00471AA7" w:rsidP="00471AA7" w:rsidRDefault="00471AA7" w14:paraId="62DEF172" w14:textId="0F3E769D">
                    <w:pPr>
                      <w:rPr>
                        <w:rFonts w:ascii="Calibri" w:hAnsi="Calibri" w:eastAsia="Calibri" w:cs="Calibri"/>
                        <w:noProof/>
                        <w:color w:val="000000"/>
                        <w:sz w:val="20"/>
                      </w:rPr>
                    </w:pPr>
                    <w:r w:rsidRPr="00471AA7">
                      <w:rPr>
                        <w:rFonts w:ascii="Calibri" w:hAnsi="Calibri" w:eastAsia="Calibri" w:cs="Calibri"/>
                        <w:noProof/>
                        <w:color w:val="000000"/>
                        <w:sz w:val="20"/>
                      </w:rPr>
                      <w:t>Intern gebruik</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2D56C7" w:rsidR="007539B1" w:rsidP="00C13470" w:rsidRDefault="00E621A8" w14:paraId="2E8EA0CF" w14:textId="4B5DF025">
    <w:pPr>
      <w:pStyle w:val="Voettekst"/>
      <w:rPr>
        <w:szCs w:val="18"/>
        <w:lang w:val="en-US"/>
      </w:rPr>
    </w:pPr>
    <w:r w:rsidRPr="002D56C7">
      <w:rPr>
        <w:szCs w:val="18"/>
        <w:lang w:val="en-US"/>
      </w:rPr>
      <w:t xml:space="preserve">Processing </w:t>
    </w:r>
    <w:r w:rsidR="002D56C7">
      <w:rPr>
        <w:szCs w:val="18"/>
        <w:lang w:val="en-US"/>
      </w:rPr>
      <w:t>A</w:t>
    </w:r>
    <w:r w:rsidRPr="002D56C7">
      <w:rPr>
        <w:szCs w:val="18"/>
        <w:lang w:val="en-US"/>
      </w:rPr>
      <w:t>greement</w:t>
    </w:r>
    <w:r w:rsidR="00471AA7">
      <w:rPr>
        <w:noProof/>
        <w:sz w:val="16"/>
        <w:szCs w:val="16"/>
      </w:rPr>
      <mc:AlternateContent>
        <mc:Choice Requires="wps">
          <w:drawing>
            <wp:anchor distT="0" distB="0" distL="0" distR="0" simplePos="0" relativeHeight="251658244" behindDoc="0" locked="0" layoutInCell="1" allowOverlap="1" wp14:anchorId="0D8A29EC" wp14:editId="6AFF39EB">
              <wp:simplePos x="904875" y="9839325"/>
              <wp:positionH relativeFrom="page">
                <wp:align>left</wp:align>
              </wp:positionH>
              <wp:positionV relativeFrom="page">
                <wp:align>bottom</wp:align>
              </wp:positionV>
              <wp:extent cx="986155" cy="345440"/>
              <wp:effectExtent l="0" t="0" r="4445" b="0"/>
              <wp:wrapNone/>
              <wp:docPr id="188806678"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rsidRPr="00471AA7" w:rsidR="00471AA7" w:rsidP="00471AA7" w:rsidRDefault="00930E30" w14:paraId="267BC35C" w14:textId="6355A96F">
                          <w:pPr>
                            <w:rPr>
                              <w:rFonts w:ascii="Calibri" w:hAnsi="Calibri" w:eastAsia="Calibri" w:cs="Calibri"/>
                              <w:noProof/>
                              <w:color w:val="000000"/>
                              <w:sz w:val="20"/>
                            </w:rPr>
                          </w:pPr>
                          <w:r>
                            <w:rPr>
                              <w:rFonts w:ascii="Calibri" w:hAnsi="Calibri" w:eastAsia="Calibri" w:cs="Calibri"/>
                              <w:noProof/>
                              <w:color w:val="000000"/>
                              <w:sz w:val="20"/>
                            </w:rPr>
                            <w:t>Vertrouwelijk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w14:anchorId="28D0AE8B">
            <v:shapetype id="_x0000_t202" coordsize="21600,21600" o:spt="202" path="m,l,21600r21600,l21600,xe" w14:anchorId="0D8A29EC">
              <v:stroke joinstyle="miter"/>
              <v:path gradientshapeok="t" o:connecttype="rect"/>
            </v:shapetype>
            <v:shape id="Tekstvak 3" style="position:absolute;margin-left:0;margin-top:0;width:77.65pt;height:27.2pt;z-index:251658244;visibility:visible;mso-wrap-style:none;mso-wrap-distance-left:0;mso-wrap-distance-top:0;mso-wrap-distance-right:0;mso-wrap-distance-bottom:0;mso-position-horizontal:left;mso-position-horizontal-relative:page;mso-position-vertical:bottom;mso-position-vertical-relative:page;v-text-anchor:bottom" alt="Intern gebruik"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klV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rOxu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AA9klV&#10;FAIAACEEAAAOAAAAAAAAAAAAAAAAAC4CAABkcnMvZTJvRG9jLnhtbFBLAQItABQABgAIAAAAIQBH&#10;zAyJ2gAAAAQBAAAPAAAAAAAAAAAAAAAAAG4EAABkcnMvZG93bnJldi54bWxQSwUGAAAAAAQABADz&#10;AAAAdQUAAAAA&#10;">
              <v:textbox style="mso-fit-shape-to-text:t" inset="20pt,0,0,15pt">
                <w:txbxContent>
                  <w:p w:rsidRPr="00471AA7" w:rsidR="00471AA7" w:rsidP="00471AA7" w:rsidRDefault="00930E30" w14:paraId="1F24DBB0" w14:textId="6355A96F">
                    <w:pPr>
                      <w:rPr>
                        <w:rFonts w:ascii="Calibri" w:hAnsi="Calibri" w:eastAsia="Calibri" w:cs="Calibri"/>
                        <w:noProof/>
                        <w:color w:val="000000"/>
                        <w:sz w:val="20"/>
                      </w:rPr>
                    </w:pPr>
                    <w:r>
                      <w:rPr>
                        <w:rFonts w:ascii="Calibri" w:hAnsi="Calibri" w:eastAsia="Calibri" w:cs="Calibri"/>
                        <w:noProof/>
                        <w:color w:val="000000"/>
                        <w:sz w:val="20"/>
                      </w:rPr>
                      <w:t>Vertrouwelijk</w:t>
                    </w:r>
                  </w:p>
                </w:txbxContent>
              </v:textbox>
              <w10:wrap anchorx="page" anchory="page"/>
            </v:shape>
          </w:pict>
        </mc:Fallback>
      </mc:AlternateContent>
    </w:r>
    <w:r w:rsidRPr="002D56C7">
      <w:rPr>
        <w:szCs w:val="18"/>
        <w:lang w:val="en-US"/>
      </w:rPr>
      <w:t xml:space="preserve"> </w:t>
    </w:r>
    <w:r w:rsidRPr="002D56C7" w:rsidR="002D56C7">
      <w:rPr>
        <w:szCs w:val="18"/>
        <w:lang w:val="en-US"/>
      </w:rPr>
      <w:t>Netherlands Foreign Investment Agency</w:t>
    </w:r>
    <w:r w:rsidRPr="002D56C7" w:rsidR="0008599F">
      <w:rPr>
        <w:szCs w:val="18"/>
        <w:lang w:val="en-US"/>
      </w:rPr>
      <w:t xml:space="preserve"> / </w:t>
    </w:r>
    <w:r w:rsidR="002D56C7">
      <w:rPr>
        <w:szCs w:val="18"/>
        <w:lang w:val="en-US"/>
      </w:rPr>
      <w:t>Name Processor</w:t>
    </w:r>
    <w:r w:rsidRPr="002D56C7">
      <w:rPr>
        <w:szCs w:val="18"/>
        <w:lang w:val="en-US"/>
      </w:rPr>
      <w:tab/>
    </w:r>
    <w:r w:rsidRPr="002D56C7" w:rsidR="003C2D95">
      <w:rPr>
        <w:szCs w:val="18"/>
        <w:lang w:val="en-US"/>
      </w:rPr>
      <w:t xml:space="preserve">Page </w:t>
    </w:r>
    <w:sdt>
      <w:sdtPr>
        <w:rPr>
          <w:szCs w:val="18"/>
        </w:rPr>
        <w:id w:val="3092034"/>
        <w:docPartObj>
          <w:docPartGallery w:val="Page Numbers (Bottom of Page)"/>
          <w:docPartUnique/>
        </w:docPartObj>
      </w:sdtPr>
      <w:sdtEndPr/>
      <w:sdtContent>
        <w:r w:rsidRPr="0045336F" w:rsidR="007539B1">
          <w:rPr>
            <w:szCs w:val="18"/>
          </w:rPr>
          <w:fldChar w:fldCharType="begin"/>
        </w:r>
        <w:r w:rsidRPr="002D56C7" w:rsidR="007539B1">
          <w:rPr>
            <w:szCs w:val="18"/>
            <w:lang w:val="en-US"/>
          </w:rPr>
          <w:instrText xml:space="preserve"> PAGE   \* MERGEFORMAT </w:instrText>
        </w:r>
        <w:r w:rsidRPr="0045336F" w:rsidR="007539B1">
          <w:rPr>
            <w:szCs w:val="18"/>
          </w:rPr>
          <w:fldChar w:fldCharType="separate"/>
        </w:r>
        <w:r w:rsidRPr="002D56C7" w:rsidR="0000242D">
          <w:rPr>
            <w:noProof/>
            <w:szCs w:val="18"/>
            <w:lang w:val="en-US"/>
          </w:rPr>
          <w:t>9</w:t>
        </w:r>
        <w:r w:rsidRPr="0045336F" w:rsidR="007539B1">
          <w:rPr>
            <w:noProof/>
            <w:szCs w:val="18"/>
          </w:rPr>
          <w:fldChar w:fldCharType="end"/>
        </w:r>
        <w:r w:rsidRPr="002D56C7" w:rsidR="00EA4C9C">
          <w:rPr>
            <w:noProof/>
            <w:szCs w:val="18"/>
            <w:lang w:val="en-US"/>
          </w:rPr>
          <w:t xml:space="preserve"> </w:t>
        </w:r>
        <w:r w:rsidRPr="002D56C7" w:rsidR="003C2D95">
          <w:rPr>
            <w:noProof/>
            <w:szCs w:val="18"/>
            <w:lang w:val="en-US"/>
          </w:rPr>
          <w:t xml:space="preserve">of </w:t>
        </w:r>
        <w:r w:rsidRPr="0045336F" w:rsidR="003C2D95">
          <w:rPr>
            <w:noProof/>
            <w:szCs w:val="18"/>
          </w:rPr>
          <w:fldChar w:fldCharType="begin"/>
        </w:r>
        <w:r w:rsidRPr="002D56C7" w:rsidR="003C2D95">
          <w:rPr>
            <w:noProof/>
            <w:szCs w:val="18"/>
            <w:lang w:val="en-US"/>
          </w:rPr>
          <w:instrText xml:space="preserve"> NUMPAGES  \* Arabic  \* MERGEFORMAT </w:instrText>
        </w:r>
        <w:r w:rsidRPr="0045336F" w:rsidR="003C2D95">
          <w:rPr>
            <w:noProof/>
            <w:szCs w:val="18"/>
          </w:rPr>
          <w:fldChar w:fldCharType="separate"/>
        </w:r>
        <w:r w:rsidRPr="002D56C7" w:rsidR="003C2D95">
          <w:rPr>
            <w:noProof/>
            <w:szCs w:val="18"/>
            <w:lang w:val="en-US"/>
          </w:rPr>
          <w:t>11</w:t>
        </w:r>
        <w:r w:rsidRPr="0045336F" w:rsidR="003C2D95">
          <w:rPr>
            <w:noProof/>
            <w:szCs w:val="18"/>
          </w:rPr>
          <w:fldChar w:fldCharType="end"/>
        </w:r>
      </w:sdtContent>
    </w:sdt>
  </w:p>
  <w:p w:rsidRPr="002D56C7" w:rsidR="007539B1" w:rsidRDefault="007539B1" w14:paraId="30BBFC0B" w14:textId="77777777">
    <w:pPr>
      <w:pStyle w:val="Voettekst"/>
      <w:rPr>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71AA7" w:rsidRDefault="00471AA7" w14:paraId="4CEECB31" w14:textId="1A2A9477">
    <w:pPr>
      <w:pStyle w:val="Voettekst"/>
    </w:pPr>
    <w:r>
      <w:rPr>
        <w:noProof/>
      </w:rPr>
      <mc:AlternateContent>
        <mc:Choice Requires="wps">
          <w:drawing>
            <wp:anchor distT="0" distB="0" distL="0" distR="0" simplePos="0" relativeHeight="251658242" behindDoc="0" locked="0" layoutInCell="1" allowOverlap="1" wp14:anchorId="6E8E6C2C" wp14:editId="37406240">
              <wp:simplePos x="635" y="635"/>
              <wp:positionH relativeFrom="page">
                <wp:align>left</wp:align>
              </wp:positionH>
              <wp:positionV relativeFrom="page">
                <wp:align>bottom</wp:align>
              </wp:positionV>
              <wp:extent cx="986155" cy="345440"/>
              <wp:effectExtent l="0" t="0" r="4445" b="0"/>
              <wp:wrapNone/>
              <wp:docPr id="81203791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rsidRPr="00471AA7" w:rsidR="00471AA7" w:rsidP="00471AA7" w:rsidRDefault="00471AA7" w14:paraId="494A780A" w14:textId="48EBEC3A">
                          <w:pPr>
                            <w:rPr>
                              <w:rFonts w:ascii="Calibri" w:hAnsi="Calibri" w:eastAsia="Calibri" w:cs="Calibri"/>
                              <w:noProof/>
                              <w:color w:val="000000"/>
                              <w:sz w:val="20"/>
                            </w:rPr>
                          </w:pPr>
                          <w:r w:rsidRPr="00471AA7">
                            <w:rPr>
                              <w:rFonts w:ascii="Calibri" w:hAnsi="Calibri" w:eastAsia="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w14:anchorId="3CD7E222">
            <v:shapetype id="_x0000_t202" coordsize="21600,21600" o:spt="202" path="m,l,21600r21600,l21600,xe" w14:anchorId="6E8E6C2C">
              <v:stroke joinstyle="miter"/>
              <v:path gradientshapeok="t" o:connecttype="rect"/>
            </v:shapetype>
            <v:shape id="Tekstvak 1" style="position:absolute;margin-left:0;margin-top:0;width:77.65pt;height:27.2pt;z-index:251658242;visibility:visible;mso-wrap-style:none;mso-wrap-distance-left:0;mso-wrap-distance-top:0;mso-wrap-distance-right:0;mso-wrap-distance-bottom:0;mso-position-horizontal:left;mso-position-horizontal-relative:page;mso-position-vertical:bottom;mso-position-vertical-relative:page;v-text-anchor:bottom" alt="Intern gebruik"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Dwecjd&#10;FAIAACEEAAAOAAAAAAAAAAAAAAAAAC4CAABkcnMvZTJvRG9jLnhtbFBLAQItABQABgAIAAAAIQBH&#10;zAyJ2gAAAAQBAAAPAAAAAAAAAAAAAAAAAG4EAABkcnMvZG93bnJldi54bWxQSwUGAAAAAAQABADz&#10;AAAAdQUAAAAA&#10;">
              <v:textbox style="mso-fit-shape-to-text:t" inset="20pt,0,0,15pt">
                <w:txbxContent>
                  <w:p w:rsidRPr="00471AA7" w:rsidR="00471AA7" w:rsidP="00471AA7" w:rsidRDefault="00471AA7" w14:paraId="31FBC014" w14:textId="48EBEC3A">
                    <w:pPr>
                      <w:rPr>
                        <w:rFonts w:ascii="Calibri" w:hAnsi="Calibri" w:eastAsia="Calibri" w:cs="Calibri"/>
                        <w:noProof/>
                        <w:color w:val="000000"/>
                        <w:sz w:val="20"/>
                      </w:rPr>
                    </w:pPr>
                    <w:r w:rsidRPr="00471AA7">
                      <w:rPr>
                        <w:rFonts w:ascii="Calibri" w:hAnsi="Calibri" w:eastAsia="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168E" w:rsidRDefault="00D9168E" w14:paraId="75CA4990" w14:textId="77777777">
      <w:r>
        <w:separator/>
      </w:r>
    </w:p>
  </w:footnote>
  <w:footnote w:type="continuationSeparator" w:id="0">
    <w:p w:rsidR="00D9168E" w:rsidRDefault="00D9168E" w14:paraId="637A8D7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5893" w:type="dxa"/>
      <w:tblInd w:w="2123" w:type="dxa"/>
      <w:tblLayout w:type="fixed"/>
      <w:tblCellMar>
        <w:left w:w="0" w:type="dxa"/>
        <w:right w:w="0" w:type="dxa"/>
      </w:tblCellMar>
      <w:tblLook w:val="04A0" w:firstRow="1" w:lastRow="0" w:firstColumn="1" w:lastColumn="0" w:noHBand="0" w:noVBand="1"/>
    </w:tblPr>
    <w:tblGrid>
      <w:gridCol w:w="737"/>
      <w:gridCol w:w="5156"/>
    </w:tblGrid>
    <w:tr w:rsidR="00086D3E" w:rsidTr="004D3778" w14:paraId="57A71260" w14:textId="77777777">
      <w:trPr>
        <w:trHeight w:val="2636"/>
      </w:trPr>
      <w:tc>
        <w:tcPr>
          <w:tcW w:w="737" w:type="dxa"/>
        </w:tcPr>
        <w:p w:rsidR="00086D3E" w:rsidRDefault="00086D3E" w14:paraId="3E758E63" w14:textId="490143E0">
          <w:pPr>
            <w:framePr w:w="6340" w:h="2750" w:hSpace="180" w:wrap="around" w:hAnchor="text" w:vAnchor="page" w:x="2172" w:y="-140"/>
            <w:rPr>
              <w:lang w:val="en-US" w:eastAsia="en-US"/>
            </w:rPr>
          </w:pPr>
          <w:r>
            <w:rPr>
              <w:noProof/>
            </w:rPr>
            <w:drawing>
              <wp:inline distT="0" distB="0" distL="0" distR="0" wp14:anchorId="71FCFEEB" wp14:editId="11CC61B4">
                <wp:extent cx="457200" cy="1323975"/>
                <wp:effectExtent l="0" t="0" r="0" b="9525"/>
                <wp:docPr id="23" name="Afbeelding 23"/>
                <wp:cNvGraphicFramePr/>
                <a:graphic xmlns:a="http://schemas.openxmlformats.org/drawingml/2006/main">
                  <a:graphicData uri="http://schemas.openxmlformats.org/drawingml/2006/picture">
                    <pic:pic xmlns:pic="http://schemas.openxmlformats.org/drawingml/2006/picture">
                      <pic:nvPicPr>
                        <pic:cNvPr id="1" name="Afbeelding 519486"/>
                        <pic:cNvPicPr/>
                      </pic:nvPicPr>
                      <pic:blipFill>
                        <a:blip r:embed="rId1"/>
                        <a:stretch>
                          <a:fillRect/>
                        </a:stretch>
                      </pic:blipFill>
                      <pic:spPr>
                        <a:xfrm>
                          <a:off x="0" y="0"/>
                          <a:ext cx="457200" cy="1323975"/>
                        </a:xfrm>
                        <a:prstGeom prst="rect">
                          <a:avLst/>
                        </a:prstGeom>
                      </pic:spPr>
                    </pic:pic>
                  </a:graphicData>
                </a:graphic>
              </wp:inline>
            </w:drawing>
          </w:r>
        </w:p>
      </w:tc>
      <w:tc>
        <w:tcPr>
          <w:tcW w:w="5156" w:type="dxa"/>
          <w:hideMark/>
        </w:tcPr>
        <w:p w:rsidRPr="00B842B9" w:rsidR="00086D3E" w:rsidRDefault="00086D3E" w14:paraId="3EE44E92" w14:textId="77777777">
          <w:pPr>
            <w:framePr w:w="6340" w:h="2750" w:hSpace="180" w:wrap="around" w:hAnchor="text" w:vAnchor="page" w:x="2172" w:y="-140"/>
            <w:rPr>
              <w:lang w:eastAsia="en-US"/>
            </w:rPr>
          </w:pPr>
          <w:r>
            <w:rPr>
              <w:noProof/>
              <w:lang w:eastAsia="en-US"/>
            </w:rPr>
            <w:drawing>
              <wp:inline distT="0" distB="0" distL="0" distR="0" wp14:anchorId="68CCF242" wp14:editId="1976ACD7">
                <wp:extent cx="2340610" cy="1583055"/>
                <wp:effectExtent l="0" t="0" r="2540" b="0"/>
                <wp:docPr id="24" name="Afbeelding 24"/>
                <wp:cNvGraphicFramePr/>
                <a:graphic xmlns:a="http://schemas.openxmlformats.org/drawingml/2006/main">
                  <a:graphicData uri="http://schemas.openxmlformats.org/drawingml/2006/picture">
                    <pic:pic xmlns:pic="http://schemas.openxmlformats.org/drawingml/2006/picture">
                      <pic:nvPicPr>
                        <pic:cNvPr id="2" name="Afbeelding 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610" cy="1583055"/>
                        </a:xfrm>
                        <a:prstGeom prst="rect">
                          <a:avLst/>
                        </a:prstGeom>
                      </pic:spPr>
                    </pic:pic>
                  </a:graphicData>
                </a:graphic>
              </wp:inline>
            </w:drawing>
          </w:r>
        </w:p>
      </w:tc>
    </w:tr>
  </w:tbl>
  <w:p w:rsidR="00086D3E" w:rsidRDefault="00086D3E" w14:paraId="3F78D6D3" w14:textId="77777777"/>
  <w:p w:rsidR="00086D3E" w:rsidRDefault="00086D3E" w14:paraId="10B470C6"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39B1" w:rsidRDefault="00613535" w14:paraId="3BC0C58C" w14:textId="77777777">
    <w:pPr>
      <w:pStyle w:val="Koptekst"/>
    </w:pPr>
    <w:r>
      <w:rPr>
        <w:noProof/>
      </w:rPr>
      <w:pict w14:anchorId="419D2A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style="position:absolute;margin-left:0;margin-top:0;width:511.55pt;height:127.85pt;rotation:315;z-index:-251658239;mso-position-horizontal:center;mso-position-horizontal-relative:margin;mso-position-vertical:center;mso-position-vertical-relative:margin" wrapcoords="21410 1271 18971 1398 18971 2922 18591 2414 17863 1398 16279 1398 16216 2160 16248 3558 15646 1525 15139 635 14981 1271 13334 1398 13302 1906 12225 1906 11528 254 11307 1016 10800 1779 10388 3049 9596 1652 9248 1271 9248 1271 9026 1525 8963 5972 7570 1906 7189 889 6936 1398 6873 2160 6873 6226 5764 2287 5036 381 4877 1016 4592 1271 4276 1525 3864 2795 3579 4447 2090 1271 1900 1144 1362 1144 855 2160 507 3685 285 5591 158 8005 190 11054 158 11308 475 14485 570 14866 950 16391 1013 16645 1710 17534 2312 16645 2692 15374 2945 13468 3072 13976 4529 17153 4592 17153 5289 17153 5764 16136 6113 14612 6461 16009 7253 17534 7379 16899 7379 11054 8551 15628 9311 17788 9470 16518 9470 13849 11022 17026 11750 17280 11782 17153 12257 16264 12605 14739 12922 16136 13777 17661 13904 17153 15297 17026 15551 17280 15709 16899 15741 15882 15899 16518 16659 17407 16754 17026 16754 11308 17356 10800 17989 10546 18591 12833 20238 17534 20460 17026 20523 3431 21220 3431 21410 3685 21505 3304 21537 1779 21410 1271" o:spid="_x0000_s1026" fillcolor="silver" stroked="f" type="#_x0000_t136">
          <v:textpath style="font-family:&quot;Arial&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D3E" w:rsidP="00086D3E" w:rsidRDefault="00086D3E" w14:paraId="541B68F9" w14:textId="0213689F">
    <w:bookmarkStart w:name="_Hlk201849340" w:id="75"/>
  </w:p>
  <w:bookmarkEnd w:id="75"/>
  <w:p w:rsidR="00086D3E" w:rsidP="00086D3E" w:rsidRDefault="00086D3E" w14:paraId="5827CCFD" w14:textId="77777777"/>
  <w:p w:rsidR="00086D3E" w:rsidRDefault="00086D3E" w14:paraId="6AAF0F70" w14:textId="26D531EC">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39B1" w:rsidRDefault="00613535" w14:paraId="242FA21A" w14:textId="77777777">
    <w:pPr>
      <w:pStyle w:val="Koptekst"/>
    </w:pPr>
    <w:r>
      <w:rPr>
        <w:noProof/>
      </w:rPr>
      <w:pict w14:anchorId="456CB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style="position:absolute;margin-left:0;margin-top:0;width:511.55pt;height:127.85pt;rotation:315;z-index:-251658240;mso-position-horizontal:center;mso-position-horizontal-relative:margin;mso-position-vertical:center;mso-position-vertical-relative:margin" wrapcoords="21410 1271 18971 1398 18971 2922 18591 2414 17863 1398 16279 1398 16216 2160 16248 3558 15646 1525 15139 635 14981 1271 13334 1398 13302 1906 12225 1906 11528 254 11307 1016 10800 1779 10388 3049 9596 1652 9248 1271 9248 1271 9026 1525 8963 5972 7570 1906 7189 889 6936 1398 6873 2160 6873 6226 5764 2287 5036 381 4877 1016 4592 1271 4276 1525 3864 2795 3579 4447 2090 1271 1900 1144 1362 1144 855 2160 507 3685 285 5591 158 8005 190 11054 158 11308 475 14485 570 14866 950 16391 1013 16645 1710 17534 2312 16645 2692 15374 2945 13468 3072 13976 4529 17153 4592 17153 5289 17153 5764 16136 6113 14612 6461 16009 7253 17534 7379 16899 7379 11054 8551 15628 9311 17788 9470 16518 9470 13849 11022 17026 11750 17280 11782 17153 12257 16264 12605 14739 12922 16136 13777 17661 13904 17153 15297 17026 15551 17280 15709 16899 15741 15882 15899 16518 16659 17407 16754 17026 16754 11308 17356 10800 17989 10546 18591 12833 20238 17534 20460 17026 20523 3431 21220 3431 21410 3685 21505 3304 21537 1779 21410 1271" o:spid="_x0000_s1025" fillcolor="silver" stroked="f" type="#_x0000_t136">
          <v:textpath style="font-family:&quot;Arial&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12E2684"/>
    <w:lvl w:ilvl="0">
      <w:start w:val="1"/>
      <w:numFmt w:val="bullet"/>
      <w:lvlText w:val=""/>
      <w:lvlJc w:val="left"/>
      <w:pPr>
        <w:tabs>
          <w:tab w:val="num" w:pos="643"/>
        </w:tabs>
        <w:ind w:left="643" w:hanging="360"/>
      </w:pPr>
      <w:rPr>
        <w:rFonts w:hint="default" w:ascii="Symbol" w:hAnsi="Symbol"/>
      </w:rPr>
    </w:lvl>
  </w:abstractNum>
  <w:abstractNum w:abstractNumId="1" w15:restartNumberingAfterBreak="0">
    <w:nsid w:val="074646B9"/>
    <w:multiLevelType w:val="hybridMultilevel"/>
    <w:tmpl w:val="DBB0A924"/>
    <w:lvl w:ilvl="0" w:tplc="0413000B">
      <w:start w:val="1"/>
      <w:numFmt w:val="bullet"/>
      <w:lvlText w:val=""/>
      <w:lvlJc w:val="left"/>
      <w:pPr>
        <w:ind w:left="720" w:hanging="360"/>
      </w:pPr>
      <w:rPr>
        <w:rFonts w:hint="default" w:ascii="Wingdings" w:hAnsi="Wingdings"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076A200A"/>
    <w:multiLevelType w:val="hybridMultilevel"/>
    <w:tmpl w:val="301605C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0DD302E6"/>
    <w:multiLevelType w:val="multilevel"/>
    <w:tmpl w:val="29EA6DDE"/>
    <w:lvl w:ilvl="0">
      <w:start w:val="1"/>
      <w:numFmt w:val="decimal"/>
      <w:lvlText w:val="%1."/>
      <w:lvlJc w:val="left"/>
      <w:pPr>
        <w:tabs>
          <w:tab w:val="num" w:pos="1065"/>
        </w:tabs>
        <w:ind w:left="1065" w:hanging="705"/>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E3259D4"/>
    <w:multiLevelType w:val="hybridMultilevel"/>
    <w:tmpl w:val="A3D4799E"/>
    <w:lvl w:ilvl="0" w:tplc="04130017">
      <w:start w:val="1"/>
      <w:numFmt w:val="lowerLetter"/>
      <w:lvlText w:val="%1)"/>
      <w:lvlJc w:val="left"/>
      <w:pPr>
        <w:ind w:left="812" w:hanging="360"/>
      </w:pPr>
    </w:lvl>
    <w:lvl w:ilvl="1" w:tplc="04130019" w:tentative="1">
      <w:start w:val="1"/>
      <w:numFmt w:val="lowerLetter"/>
      <w:lvlText w:val="%2."/>
      <w:lvlJc w:val="left"/>
      <w:pPr>
        <w:ind w:left="1532" w:hanging="360"/>
      </w:pPr>
    </w:lvl>
    <w:lvl w:ilvl="2" w:tplc="0413001B" w:tentative="1">
      <w:start w:val="1"/>
      <w:numFmt w:val="lowerRoman"/>
      <w:lvlText w:val="%3."/>
      <w:lvlJc w:val="right"/>
      <w:pPr>
        <w:ind w:left="2252" w:hanging="180"/>
      </w:pPr>
    </w:lvl>
    <w:lvl w:ilvl="3" w:tplc="0413000F" w:tentative="1">
      <w:start w:val="1"/>
      <w:numFmt w:val="decimal"/>
      <w:lvlText w:val="%4."/>
      <w:lvlJc w:val="left"/>
      <w:pPr>
        <w:ind w:left="2972" w:hanging="360"/>
      </w:pPr>
    </w:lvl>
    <w:lvl w:ilvl="4" w:tplc="04130019" w:tentative="1">
      <w:start w:val="1"/>
      <w:numFmt w:val="lowerLetter"/>
      <w:lvlText w:val="%5."/>
      <w:lvlJc w:val="left"/>
      <w:pPr>
        <w:ind w:left="3692" w:hanging="360"/>
      </w:pPr>
    </w:lvl>
    <w:lvl w:ilvl="5" w:tplc="0413001B" w:tentative="1">
      <w:start w:val="1"/>
      <w:numFmt w:val="lowerRoman"/>
      <w:lvlText w:val="%6."/>
      <w:lvlJc w:val="right"/>
      <w:pPr>
        <w:ind w:left="4412" w:hanging="180"/>
      </w:pPr>
    </w:lvl>
    <w:lvl w:ilvl="6" w:tplc="0413000F" w:tentative="1">
      <w:start w:val="1"/>
      <w:numFmt w:val="decimal"/>
      <w:lvlText w:val="%7."/>
      <w:lvlJc w:val="left"/>
      <w:pPr>
        <w:ind w:left="5132" w:hanging="360"/>
      </w:pPr>
    </w:lvl>
    <w:lvl w:ilvl="7" w:tplc="04130019" w:tentative="1">
      <w:start w:val="1"/>
      <w:numFmt w:val="lowerLetter"/>
      <w:lvlText w:val="%8."/>
      <w:lvlJc w:val="left"/>
      <w:pPr>
        <w:ind w:left="5852" w:hanging="360"/>
      </w:pPr>
    </w:lvl>
    <w:lvl w:ilvl="8" w:tplc="0413001B" w:tentative="1">
      <w:start w:val="1"/>
      <w:numFmt w:val="lowerRoman"/>
      <w:lvlText w:val="%9."/>
      <w:lvlJc w:val="right"/>
      <w:pPr>
        <w:ind w:left="6572" w:hanging="180"/>
      </w:pPr>
    </w:lvl>
  </w:abstractNum>
  <w:abstractNum w:abstractNumId="5" w15:restartNumberingAfterBreak="0">
    <w:nsid w:val="158D7280"/>
    <w:multiLevelType w:val="hybridMultilevel"/>
    <w:tmpl w:val="B5C02D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95E6F80"/>
    <w:multiLevelType w:val="hybridMultilevel"/>
    <w:tmpl w:val="31D630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0243829"/>
    <w:multiLevelType w:val="hybridMultilevel"/>
    <w:tmpl w:val="3D2C0F56"/>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8" w15:restartNumberingAfterBreak="0">
    <w:nsid w:val="28F73EBB"/>
    <w:multiLevelType w:val="hybridMultilevel"/>
    <w:tmpl w:val="A07648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F883DE1"/>
    <w:multiLevelType w:val="hybridMultilevel"/>
    <w:tmpl w:val="7256AD1A"/>
    <w:lvl w:ilvl="0" w:tplc="E8EAE2B2">
      <w:numFmt w:val="bullet"/>
      <w:lvlText w:val="-"/>
      <w:lvlJc w:val="left"/>
      <w:pPr>
        <w:ind w:left="720" w:hanging="360"/>
      </w:pPr>
      <w:rPr>
        <w:rFonts w:hint="default" w:ascii="Verdana" w:hAnsi="Verdana" w:eastAsia="Times New Roman" w:cs="Courier Ne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0" w15:restartNumberingAfterBreak="0">
    <w:nsid w:val="33267367"/>
    <w:multiLevelType w:val="hybridMultilevel"/>
    <w:tmpl w:val="19B0FBD6"/>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11" w15:restartNumberingAfterBreak="0">
    <w:nsid w:val="33EC1511"/>
    <w:multiLevelType w:val="hybridMultilevel"/>
    <w:tmpl w:val="6610D8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A0807D8"/>
    <w:multiLevelType w:val="hybridMultilevel"/>
    <w:tmpl w:val="17823E20"/>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13" w15:restartNumberingAfterBreak="0">
    <w:nsid w:val="3E784190"/>
    <w:multiLevelType w:val="hybridMultilevel"/>
    <w:tmpl w:val="F5C643EA"/>
    <w:lvl w:ilvl="0" w:tplc="04130001">
      <w:start w:val="1"/>
      <w:numFmt w:val="bullet"/>
      <w:lvlText w:val=""/>
      <w:lvlJc w:val="left"/>
      <w:pPr>
        <w:ind w:left="360" w:hanging="360"/>
      </w:pPr>
      <w:rPr>
        <w:rFonts w:hint="default" w:ascii="Symbol" w:hAnsi="Symbol"/>
        <w:b w:val="0"/>
        <w:bCs w:val="0"/>
        <w:i w:val="0"/>
        <w:iCs w:val="0"/>
        <w:caps w:val="0"/>
        <w:smallCaps w:val="0"/>
        <w:strike w:val="0"/>
        <w:dstrike w:val="0"/>
        <w:color w:val="000000"/>
        <w:spacing w:val="0"/>
        <w:w w:val="100"/>
        <w:kern w:val="0"/>
        <w:position w:val="0"/>
        <w:highlight w:val="none"/>
        <w:vertAlign w:val="baseline"/>
      </w:rPr>
    </w:lvl>
    <w:lvl w:ilvl="1" w:tplc="251AD214">
      <w:start w:val="1"/>
      <w:numFmt w:val="bullet"/>
      <w:lvlText w:val="-"/>
      <w:lvlJc w:val="left"/>
      <w:pPr>
        <w:ind w:left="108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rPr>
    </w:lvl>
    <w:lvl w:ilvl="2" w:tplc="D9226F08">
      <w:start w:val="1"/>
      <w:numFmt w:val="bullet"/>
      <w:lvlText w:val="▪"/>
      <w:lvlJc w:val="left"/>
      <w:pPr>
        <w:ind w:left="180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rPr>
    </w:lvl>
    <w:lvl w:ilvl="3" w:tplc="EA242702">
      <w:start w:val="1"/>
      <w:numFmt w:val="bullet"/>
      <w:lvlText w:val="•"/>
      <w:lvlJc w:val="left"/>
      <w:pPr>
        <w:ind w:left="252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rPr>
    </w:lvl>
    <w:lvl w:ilvl="4" w:tplc="D4F2E576">
      <w:start w:val="1"/>
      <w:numFmt w:val="bullet"/>
      <w:lvlText w:val="o"/>
      <w:lvlJc w:val="left"/>
      <w:pPr>
        <w:ind w:left="324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rPr>
    </w:lvl>
    <w:lvl w:ilvl="5" w:tplc="60F02BC6">
      <w:start w:val="1"/>
      <w:numFmt w:val="bullet"/>
      <w:lvlText w:val="▪"/>
      <w:lvlJc w:val="left"/>
      <w:pPr>
        <w:ind w:left="39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rPr>
    </w:lvl>
    <w:lvl w:ilvl="6" w:tplc="BC941E4E">
      <w:start w:val="1"/>
      <w:numFmt w:val="bullet"/>
      <w:lvlText w:val="•"/>
      <w:lvlJc w:val="left"/>
      <w:pPr>
        <w:ind w:left="468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rPr>
    </w:lvl>
    <w:lvl w:ilvl="7" w:tplc="DD187CF4">
      <w:start w:val="1"/>
      <w:numFmt w:val="bullet"/>
      <w:lvlText w:val="o"/>
      <w:lvlJc w:val="left"/>
      <w:pPr>
        <w:ind w:left="540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rPr>
    </w:lvl>
    <w:lvl w:ilvl="8" w:tplc="1714BBD2">
      <w:start w:val="1"/>
      <w:numFmt w:val="bullet"/>
      <w:lvlText w:val="▪"/>
      <w:lvlJc w:val="left"/>
      <w:pPr>
        <w:ind w:left="612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 w15:restartNumberingAfterBreak="0">
    <w:nsid w:val="438C078C"/>
    <w:multiLevelType w:val="hybridMultilevel"/>
    <w:tmpl w:val="AF90B1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3F4276E"/>
    <w:multiLevelType w:val="multilevel"/>
    <w:tmpl w:val="C84A6F0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7443B2C"/>
    <w:multiLevelType w:val="multilevel"/>
    <w:tmpl w:val="863078F8"/>
    <w:lvl w:ilvl="0">
      <w:start w:val="1"/>
      <w:numFmt w:val="decimal"/>
      <w:lvlText w:val="%1"/>
      <w:lvlJc w:val="left"/>
      <w:pPr>
        <w:ind w:left="705" w:hanging="705"/>
      </w:pPr>
      <w:rPr>
        <w:rFonts w:hint="default" w:cs="Arial"/>
      </w:rPr>
    </w:lvl>
    <w:lvl w:ilvl="1">
      <w:start w:val="1"/>
      <w:numFmt w:val="decimal"/>
      <w:lvlText w:val="%1.%2"/>
      <w:lvlJc w:val="left"/>
      <w:pPr>
        <w:ind w:left="705" w:hanging="705"/>
      </w:pPr>
      <w:rPr>
        <w:rFonts w:hint="default" w:cs="Arial"/>
      </w:rPr>
    </w:lvl>
    <w:lvl w:ilvl="2">
      <w:start w:val="1"/>
      <w:numFmt w:val="decimal"/>
      <w:lvlText w:val="%1.%2.%3"/>
      <w:lvlJc w:val="left"/>
      <w:pPr>
        <w:ind w:left="720" w:hanging="720"/>
      </w:pPr>
      <w:rPr>
        <w:rFonts w:hint="default" w:cs="Arial"/>
      </w:rPr>
    </w:lvl>
    <w:lvl w:ilvl="3">
      <w:start w:val="1"/>
      <w:numFmt w:val="decimal"/>
      <w:lvlText w:val="%1.%2.%3.%4"/>
      <w:lvlJc w:val="left"/>
      <w:pPr>
        <w:ind w:left="1080" w:hanging="1080"/>
      </w:pPr>
      <w:rPr>
        <w:rFonts w:hint="default" w:cs="Arial"/>
      </w:rPr>
    </w:lvl>
    <w:lvl w:ilvl="4">
      <w:start w:val="1"/>
      <w:numFmt w:val="decimal"/>
      <w:lvlText w:val="%1.%2.%3.%4.%5"/>
      <w:lvlJc w:val="left"/>
      <w:pPr>
        <w:ind w:left="1080" w:hanging="1080"/>
      </w:pPr>
      <w:rPr>
        <w:rFonts w:hint="default" w:cs="Arial"/>
      </w:rPr>
    </w:lvl>
    <w:lvl w:ilvl="5">
      <w:start w:val="1"/>
      <w:numFmt w:val="decimal"/>
      <w:lvlText w:val="%1.%2.%3.%4.%5.%6"/>
      <w:lvlJc w:val="left"/>
      <w:pPr>
        <w:ind w:left="1440" w:hanging="1440"/>
      </w:pPr>
      <w:rPr>
        <w:rFonts w:hint="default" w:cs="Arial"/>
      </w:rPr>
    </w:lvl>
    <w:lvl w:ilvl="6">
      <w:start w:val="1"/>
      <w:numFmt w:val="decimal"/>
      <w:lvlText w:val="%1.%2.%3.%4.%5.%6.%7"/>
      <w:lvlJc w:val="left"/>
      <w:pPr>
        <w:ind w:left="1440" w:hanging="1440"/>
      </w:pPr>
      <w:rPr>
        <w:rFonts w:hint="default" w:cs="Arial"/>
      </w:rPr>
    </w:lvl>
    <w:lvl w:ilvl="7">
      <w:start w:val="1"/>
      <w:numFmt w:val="decimal"/>
      <w:lvlText w:val="%1.%2.%3.%4.%5.%6.%7.%8"/>
      <w:lvlJc w:val="left"/>
      <w:pPr>
        <w:ind w:left="1800" w:hanging="1800"/>
      </w:pPr>
      <w:rPr>
        <w:rFonts w:hint="default" w:cs="Arial"/>
      </w:rPr>
    </w:lvl>
    <w:lvl w:ilvl="8">
      <w:start w:val="1"/>
      <w:numFmt w:val="decimal"/>
      <w:lvlText w:val="%1.%2.%3.%4.%5.%6.%7.%8.%9"/>
      <w:lvlJc w:val="left"/>
      <w:pPr>
        <w:ind w:left="2160" w:hanging="2160"/>
      </w:pPr>
      <w:rPr>
        <w:rFonts w:hint="default" w:cs="Arial"/>
      </w:rPr>
    </w:lvl>
  </w:abstractNum>
  <w:abstractNum w:abstractNumId="17" w15:restartNumberingAfterBreak="0">
    <w:nsid w:val="531B78C6"/>
    <w:multiLevelType w:val="hybridMultilevel"/>
    <w:tmpl w:val="50006FC2"/>
    <w:lvl w:ilvl="0" w:tplc="04130001">
      <w:start w:val="1"/>
      <w:numFmt w:val="bullet"/>
      <w:lvlText w:val=""/>
      <w:lvlJc w:val="left"/>
      <w:pPr>
        <w:tabs>
          <w:tab w:val="num" w:pos="720"/>
        </w:tabs>
        <w:ind w:left="720" w:hanging="360"/>
      </w:pPr>
      <w:rPr>
        <w:rFonts w:hint="default" w:ascii="Symbol" w:hAnsi="Symbol"/>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5C711C36"/>
    <w:multiLevelType w:val="hybridMultilevel"/>
    <w:tmpl w:val="1602A206"/>
    <w:lvl w:ilvl="0" w:tplc="0413000B">
      <w:start w:val="1"/>
      <w:numFmt w:val="bullet"/>
      <w:lvlText w:val=""/>
      <w:lvlJc w:val="left"/>
      <w:pPr>
        <w:ind w:left="720" w:hanging="360"/>
      </w:pPr>
      <w:rPr>
        <w:rFonts w:hint="default" w:ascii="Wingdings" w:hAnsi="Wingdings"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9" w15:restartNumberingAfterBreak="0">
    <w:nsid w:val="5C80713C"/>
    <w:multiLevelType w:val="hybridMultilevel"/>
    <w:tmpl w:val="B13CD0C6"/>
    <w:lvl w:ilvl="0" w:tplc="74EC0C0E">
      <w:start w:val="9"/>
      <w:numFmt w:val="bullet"/>
      <w:lvlText w:val=""/>
      <w:lvlJc w:val="left"/>
      <w:pPr>
        <w:ind w:left="360" w:hanging="360"/>
      </w:pPr>
      <w:rPr>
        <w:rFonts w:hint="default" w:ascii="Symbol" w:hAnsi="Symbol" w:eastAsia="Calibri" w:cs="Aria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5FEA5169"/>
    <w:multiLevelType w:val="hybridMultilevel"/>
    <w:tmpl w:val="76483490"/>
    <w:lvl w:ilvl="0" w:tplc="0809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1" w15:restartNumberingAfterBreak="0">
    <w:nsid w:val="639212AF"/>
    <w:multiLevelType w:val="hybridMultilevel"/>
    <w:tmpl w:val="72E64C3C"/>
    <w:lvl w:ilvl="0" w:tplc="721AB2A2">
      <w:start w:val="13"/>
      <w:numFmt w:val="bullet"/>
      <w:lvlText w:val="-"/>
      <w:lvlJc w:val="left"/>
      <w:pPr>
        <w:ind w:left="720" w:hanging="360"/>
      </w:pPr>
      <w:rPr>
        <w:rFonts w:hint="default" w:ascii="Verdana" w:hAnsi="Verdana" w:eastAsia="Times New Roman" w:cs="Arial"/>
        <w:sz w:val="18"/>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2" w15:restartNumberingAfterBreak="0">
    <w:nsid w:val="643F0178"/>
    <w:multiLevelType w:val="multilevel"/>
    <w:tmpl w:val="F10E38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6AA5336"/>
    <w:multiLevelType w:val="hybridMultilevel"/>
    <w:tmpl w:val="F7D66D64"/>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4" w15:restartNumberingAfterBreak="0">
    <w:nsid w:val="67311808"/>
    <w:multiLevelType w:val="hybridMultilevel"/>
    <w:tmpl w:val="65781C28"/>
    <w:lvl w:ilvl="0" w:tplc="85E8948C">
      <w:start w:val="1"/>
      <w:numFmt w:val="bullet"/>
      <w:lvlText w:val="·"/>
      <w:lvlJc w:val="left"/>
      <w:pPr>
        <w:ind w:left="720" w:hanging="360"/>
      </w:pPr>
    </w:lvl>
    <w:lvl w:ilvl="1" w:tplc="5456F544">
      <w:numFmt w:val="decimal"/>
      <w:lvlText w:val=""/>
      <w:lvlJc w:val="left"/>
    </w:lvl>
    <w:lvl w:ilvl="2" w:tplc="D5D26882">
      <w:numFmt w:val="decimal"/>
      <w:lvlText w:val=""/>
      <w:lvlJc w:val="left"/>
    </w:lvl>
    <w:lvl w:ilvl="3" w:tplc="AA9A5E9A">
      <w:numFmt w:val="decimal"/>
      <w:lvlText w:val=""/>
      <w:lvlJc w:val="left"/>
    </w:lvl>
    <w:lvl w:ilvl="4" w:tplc="8EFAB21E">
      <w:numFmt w:val="decimal"/>
      <w:lvlText w:val=""/>
      <w:lvlJc w:val="left"/>
    </w:lvl>
    <w:lvl w:ilvl="5" w:tplc="B6E8853C">
      <w:numFmt w:val="decimal"/>
      <w:lvlText w:val=""/>
      <w:lvlJc w:val="left"/>
    </w:lvl>
    <w:lvl w:ilvl="6" w:tplc="E5EC4C0A">
      <w:numFmt w:val="decimal"/>
      <w:lvlText w:val=""/>
      <w:lvlJc w:val="left"/>
    </w:lvl>
    <w:lvl w:ilvl="7" w:tplc="ACAE07D4">
      <w:numFmt w:val="decimal"/>
      <w:lvlText w:val=""/>
      <w:lvlJc w:val="left"/>
    </w:lvl>
    <w:lvl w:ilvl="8" w:tplc="9D845A78">
      <w:numFmt w:val="decimal"/>
      <w:lvlText w:val=""/>
      <w:lvlJc w:val="left"/>
    </w:lvl>
  </w:abstractNum>
  <w:abstractNum w:abstractNumId="25" w15:restartNumberingAfterBreak="0">
    <w:nsid w:val="70E371C5"/>
    <w:multiLevelType w:val="hybridMultilevel"/>
    <w:tmpl w:val="13621916"/>
    <w:lvl w:ilvl="0" w:tplc="04130001">
      <w:start w:val="1"/>
      <w:numFmt w:val="bullet"/>
      <w:lvlText w:val=""/>
      <w:lvlJc w:val="left"/>
      <w:pPr>
        <w:ind w:left="360" w:hanging="360"/>
      </w:pPr>
      <w:rPr>
        <w:rFonts w:hint="default" w:ascii="Symbol" w:hAnsi="Symbol"/>
      </w:rPr>
    </w:lvl>
    <w:lvl w:ilvl="1" w:tplc="04130003">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6" w15:restartNumberingAfterBreak="0">
    <w:nsid w:val="719831BF"/>
    <w:multiLevelType w:val="multilevel"/>
    <w:tmpl w:val="6C127D60"/>
    <w:lvl w:ilvl="0">
      <w:start w:val="1"/>
      <w:numFmt w:val="decimal"/>
      <w:pStyle w:val="OpmaakprofielMeerdereniveausVet"/>
      <w:lvlText w:val="Artikel %1."/>
      <w:lvlJc w:val="left"/>
      <w:pPr>
        <w:tabs>
          <w:tab w:val="num" w:pos="851"/>
        </w:tabs>
        <w:ind w:left="0" w:firstLine="0"/>
      </w:pPr>
      <w:rPr>
        <w:rFonts w:hint="default" w:ascii="Arial" w:hAnsi="Arial"/>
        <w:b/>
        <w:bCs/>
        <w:i w:val="0"/>
        <w:sz w:val="18"/>
        <w:szCs w:val="18"/>
      </w:rPr>
    </w:lvl>
    <w:lvl w:ilvl="1">
      <w:start w:val="1"/>
      <w:numFmt w:val="decimal"/>
      <w:pStyle w:val="Artikellid"/>
      <w:lvlText w:val="%1.%2"/>
      <w:lvlJc w:val="left"/>
      <w:pPr>
        <w:tabs>
          <w:tab w:val="num" w:pos="567"/>
        </w:tabs>
        <w:ind w:left="567" w:hanging="567"/>
      </w:pPr>
      <w:rPr>
        <w:rFonts w:hint="default" w:ascii="Arial" w:hAnsi="Arial"/>
        <w:b w:val="0"/>
        <w:i w:val="0"/>
        <w:caps w:val="0"/>
        <w:strike w:val="0"/>
        <w:dstrike w:val="0"/>
        <w:vanish w:val="0"/>
        <w:sz w:val="18"/>
        <w:szCs w:val="18"/>
        <w:vertAlign w:val="base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73320388"/>
    <w:multiLevelType w:val="hybridMultilevel"/>
    <w:tmpl w:val="5DFE5474"/>
    <w:lvl w:ilvl="0" w:tplc="0413000B">
      <w:start w:val="1"/>
      <w:numFmt w:val="bullet"/>
      <w:lvlText w:val=""/>
      <w:lvlJc w:val="left"/>
      <w:pPr>
        <w:tabs>
          <w:tab w:val="num" w:pos="720"/>
        </w:tabs>
        <w:ind w:left="720" w:hanging="360"/>
      </w:pPr>
      <w:rPr>
        <w:rFonts w:hint="default" w:ascii="Wingdings" w:hAnsi="Wingdings" w:cs="Times New Roman"/>
      </w:rPr>
    </w:lvl>
    <w:lvl w:ilvl="1" w:tplc="04130003">
      <w:start w:val="1"/>
      <w:numFmt w:val="bullet"/>
      <w:lvlText w:val="o"/>
      <w:lvlJc w:val="left"/>
      <w:pPr>
        <w:tabs>
          <w:tab w:val="num" w:pos="1440"/>
        </w:tabs>
        <w:ind w:left="1440" w:hanging="360"/>
      </w:pPr>
      <w:rPr>
        <w:rFonts w:hint="default" w:ascii="Courier New" w:hAnsi="Courier New" w:cs="Courier New"/>
      </w:rPr>
    </w:lvl>
    <w:lvl w:ilvl="2" w:tplc="04130005">
      <w:start w:val="1"/>
      <w:numFmt w:val="bullet"/>
      <w:lvlText w:val=""/>
      <w:lvlJc w:val="left"/>
      <w:pPr>
        <w:tabs>
          <w:tab w:val="num" w:pos="2160"/>
        </w:tabs>
        <w:ind w:left="2160" w:hanging="360"/>
      </w:pPr>
      <w:rPr>
        <w:rFonts w:hint="default" w:ascii="Wingdings" w:hAnsi="Wingdings" w:cs="Times New Roman"/>
      </w:rPr>
    </w:lvl>
    <w:lvl w:ilvl="3" w:tplc="04130001">
      <w:start w:val="1"/>
      <w:numFmt w:val="bullet"/>
      <w:lvlText w:val=""/>
      <w:lvlJc w:val="left"/>
      <w:pPr>
        <w:tabs>
          <w:tab w:val="num" w:pos="2880"/>
        </w:tabs>
        <w:ind w:left="2880" w:hanging="360"/>
      </w:pPr>
      <w:rPr>
        <w:rFonts w:hint="default" w:ascii="Symbol" w:hAnsi="Symbol" w:cs="Times New Roman"/>
      </w:rPr>
    </w:lvl>
    <w:lvl w:ilvl="4" w:tplc="04130003">
      <w:start w:val="1"/>
      <w:numFmt w:val="bullet"/>
      <w:lvlText w:val="o"/>
      <w:lvlJc w:val="left"/>
      <w:pPr>
        <w:tabs>
          <w:tab w:val="num" w:pos="3600"/>
        </w:tabs>
        <w:ind w:left="3600" w:hanging="360"/>
      </w:pPr>
      <w:rPr>
        <w:rFonts w:hint="default" w:ascii="Courier New" w:hAnsi="Courier New" w:cs="Courier New"/>
      </w:rPr>
    </w:lvl>
    <w:lvl w:ilvl="5" w:tplc="04130005">
      <w:start w:val="1"/>
      <w:numFmt w:val="bullet"/>
      <w:lvlText w:val=""/>
      <w:lvlJc w:val="left"/>
      <w:pPr>
        <w:tabs>
          <w:tab w:val="num" w:pos="4320"/>
        </w:tabs>
        <w:ind w:left="4320" w:hanging="360"/>
      </w:pPr>
      <w:rPr>
        <w:rFonts w:hint="default" w:ascii="Wingdings" w:hAnsi="Wingdings" w:cs="Times New Roman"/>
      </w:rPr>
    </w:lvl>
    <w:lvl w:ilvl="6" w:tplc="04130001">
      <w:start w:val="1"/>
      <w:numFmt w:val="bullet"/>
      <w:lvlText w:val=""/>
      <w:lvlJc w:val="left"/>
      <w:pPr>
        <w:tabs>
          <w:tab w:val="num" w:pos="5040"/>
        </w:tabs>
        <w:ind w:left="5040" w:hanging="360"/>
      </w:pPr>
      <w:rPr>
        <w:rFonts w:hint="default" w:ascii="Symbol" w:hAnsi="Symbol" w:cs="Times New Roman"/>
      </w:rPr>
    </w:lvl>
    <w:lvl w:ilvl="7" w:tplc="04130003">
      <w:start w:val="1"/>
      <w:numFmt w:val="bullet"/>
      <w:lvlText w:val="o"/>
      <w:lvlJc w:val="left"/>
      <w:pPr>
        <w:tabs>
          <w:tab w:val="num" w:pos="5760"/>
        </w:tabs>
        <w:ind w:left="5760" w:hanging="360"/>
      </w:pPr>
      <w:rPr>
        <w:rFonts w:hint="default" w:ascii="Courier New" w:hAnsi="Courier New" w:cs="Courier New"/>
      </w:rPr>
    </w:lvl>
    <w:lvl w:ilvl="8" w:tplc="04130005">
      <w:start w:val="1"/>
      <w:numFmt w:val="bullet"/>
      <w:lvlText w:val=""/>
      <w:lvlJc w:val="left"/>
      <w:pPr>
        <w:tabs>
          <w:tab w:val="num" w:pos="6480"/>
        </w:tabs>
        <w:ind w:left="6480" w:hanging="360"/>
      </w:pPr>
      <w:rPr>
        <w:rFonts w:hint="default" w:ascii="Wingdings" w:hAnsi="Wingdings" w:cs="Times New Roman"/>
      </w:rPr>
    </w:lvl>
  </w:abstractNum>
  <w:num w:numId="1" w16cid:durableId="1062488904">
    <w:abstractNumId w:val="3"/>
  </w:num>
  <w:num w:numId="2" w16cid:durableId="646906278">
    <w:abstractNumId w:val="27"/>
  </w:num>
  <w:num w:numId="3" w16cid:durableId="700785910">
    <w:abstractNumId w:val="26"/>
  </w:num>
  <w:num w:numId="4" w16cid:durableId="1145121140">
    <w:abstractNumId w:val="17"/>
  </w:num>
  <w:num w:numId="5" w16cid:durableId="2139949211">
    <w:abstractNumId w:val="22"/>
  </w:num>
  <w:num w:numId="6" w16cid:durableId="11410761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98689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0517714">
    <w:abstractNumId w:val="18"/>
  </w:num>
  <w:num w:numId="9" w16cid:durableId="1168211326">
    <w:abstractNumId w:val="1"/>
  </w:num>
  <w:num w:numId="10" w16cid:durableId="1398354435">
    <w:abstractNumId w:val="14"/>
  </w:num>
  <w:num w:numId="11" w16cid:durableId="1356149310">
    <w:abstractNumId w:val="8"/>
  </w:num>
  <w:num w:numId="12" w16cid:durableId="731077877">
    <w:abstractNumId w:val="10"/>
  </w:num>
  <w:num w:numId="13" w16cid:durableId="901409502">
    <w:abstractNumId w:val="23"/>
  </w:num>
  <w:num w:numId="14" w16cid:durableId="419180900">
    <w:abstractNumId w:val="24"/>
  </w:num>
  <w:num w:numId="15" w16cid:durableId="1684815638">
    <w:abstractNumId w:val="15"/>
  </w:num>
  <w:num w:numId="16" w16cid:durableId="28797029">
    <w:abstractNumId w:val="9"/>
  </w:num>
  <w:num w:numId="17" w16cid:durableId="1376269922">
    <w:abstractNumId w:val="25"/>
  </w:num>
  <w:num w:numId="18" w16cid:durableId="339898148">
    <w:abstractNumId w:val="21"/>
  </w:num>
  <w:num w:numId="19" w16cid:durableId="1624926193">
    <w:abstractNumId w:val="16"/>
  </w:num>
  <w:num w:numId="20" w16cid:durableId="642464838">
    <w:abstractNumId w:val="0"/>
  </w:num>
  <w:num w:numId="21" w16cid:durableId="1195385876">
    <w:abstractNumId w:val="11"/>
  </w:num>
  <w:num w:numId="22" w16cid:durableId="1082023175">
    <w:abstractNumId w:val="5"/>
  </w:num>
  <w:num w:numId="23" w16cid:durableId="213086249">
    <w:abstractNumId w:val="2"/>
  </w:num>
  <w:num w:numId="24" w16cid:durableId="849150262">
    <w:abstractNumId w:val="6"/>
  </w:num>
  <w:num w:numId="25" w16cid:durableId="768814671">
    <w:abstractNumId w:val="20"/>
  </w:num>
  <w:num w:numId="26" w16cid:durableId="1511144054">
    <w:abstractNumId w:val="19"/>
  </w:num>
  <w:num w:numId="27" w16cid:durableId="1625580208">
    <w:abstractNumId w:val="12"/>
  </w:num>
  <w:num w:numId="28" w16cid:durableId="1446996349">
    <w:abstractNumId w:val="13"/>
  </w:num>
  <w:num w:numId="29" w16cid:durableId="1342510421">
    <w:abstractNumId w:val="4"/>
  </w:num>
  <w:num w:numId="30" w16cid:durableId="1935240957">
    <w:abstractNumId w:val="7"/>
  </w:num>
  <w:numIdMacAtCleanup w:val="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417"/>
    <w:rsid w:val="0000012C"/>
    <w:rsid w:val="0000242D"/>
    <w:rsid w:val="000028C8"/>
    <w:rsid w:val="00002BA4"/>
    <w:rsid w:val="000031B7"/>
    <w:rsid w:val="00004D72"/>
    <w:rsid w:val="00005E1A"/>
    <w:rsid w:val="00005FC6"/>
    <w:rsid w:val="00011880"/>
    <w:rsid w:val="00020632"/>
    <w:rsid w:val="000207B3"/>
    <w:rsid w:val="0002243C"/>
    <w:rsid w:val="00025A4E"/>
    <w:rsid w:val="000275E5"/>
    <w:rsid w:val="000330BE"/>
    <w:rsid w:val="00033621"/>
    <w:rsid w:val="00035C27"/>
    <w:rsid w:val="00036CDF"/>
    <w:rsid w:val="00041D85"/>
    <w:rsid w:val="000424F1"/>
    <w:rsid w:val="00044EE7"/>
    <w:rsid w:val="00045FB6"/>
    <w:rsid w:val="0004600F"/>
    <w:rsid w:val="00046AC5"/>
    <w:rsid w:val="00051602"/>
    <w:rsid w:val="00051E19"/>
    <w:rsid w:val="00052F8B"/>
    <w:rsid w:val="00053F3E"/>
    <w:rsid w:val="00057DD1"/>
    <w:rsid w:val="00061638"/>
    <w:rsid w:val="0006461E"/>
    <w:rsid w:val="000734B8"/>
    <w:rsid w:val="00073A23"/>
    <w:rsid w:val="00073ECE"/>
    <w:rsid w:val="0007684A"/>
    <w:rsid w:val="000776BA"/>
    <w:rsid w:val="000800C2"/>
    <w:rsid w:val="00081451"/>
    <w:rsid w:val="00082A6F"/>
    <w:rsid w:val="000840C3"/>
    <w:rsid w:val="0008502E"/>
    <w:rsid w:val="0008599F"/>
    <w:rsid w:val="00086BAA"/>
    <w:rsid w:val="00086D3E"/>
    <w:rsid w:val="000872D7"/>
    <w:rsid w:val="00091235"/>
    <w:rsid w:val="00091F9C"/>
    <w:rsid w:val="00094270"/>
    <w:rsid w:val="00095D36"/>
    <w:rsid w:val="000973FA"/>
    <w:rsid w:val="000A08C5"/>
    <w:rsid w:val="000A3E38"/>
    <w:rsid w:val="000A45D7"/>
    <w:rsid w:val="000B4A24"/>
    <w:rsid w:val="000B52DF"/>
    <w:rsid w:val="000B7EC8"/>
    <w:rsid w:val="000C0031"/>
    <w:rsid w:val="000C024A"/>
    <w:rsid w:val="000C40E9"/>
    <w:rsid w:val="000C506F"/>
    <w:rsid w:val="000D4FDA"/>
    <w:rsid w:val="000D5E68"/>
    <w:rsid w:val="000D6C2B"/>
    <w:rsid w:val="000D725E"/>
    <w:rsid w:val="000E1C3E"/>
    <w:rsid w:val="000E2CBC"/>
    <w:rsid w:val="000E3486"/>
    <w:rsid w:val="000E3DF3"/>
    <w:rsid w:val="000E6E9F"/>
    <w:rsid w:val="000E7D87"/>
    <w:rsid w:val="000F1F6F"/>
    <w:rsid w:val="000F260A"/>
    <w:rsid w:val="000F3105"/>
    <w:rsid w:val="000F421E"/>
    <w:rsid w:val="000F5C03"/>
    <w:rsid w:val="000F67FD"/>
    <w:rsid w:val="000F6C8C"/>
    <w:rsid w:val="000F78E0"/>
    <w:rsid w:val="000F7D9C"/>
    <w:rsid w:val="001019B1"/>
    <w:rsid w:val="00101DAF"/>
    <w:rsid w:val="001044D9"/>
    <w:rsid w:val="00104579"/>
    <w:rsid w:val="0010525B"/>
    <w:rsid w:val="00105C78"/>
    <w:rsid w:val="00105F37"/>
    <w:rsid w:val="001212DE"/>
    <w:rsid w:val="00122C63"/>
    <w:rsid w:val="00131571"/>
    <w:rsid w:val="0013258B"/>
    <w:rsid w:val="00132DA7"/>
    <w:rsid w:val="00133E69"/>
    <w:rsid w:val="00135A99"/>
    <w:rsid w:val="001370D5"/>
    <w:rsid w:val="00137F02"/>
    <w:rsid w:val="001407AF"/>
    <w:rsid w:val="0014239F"/>
    <w:rsid w:val="0014428F"/>
    <w:rsid w:val="00145FB2"/>
    <w:rsid w:val="00151A90"/>
    <w:rsid w:val="00156599"/>
    <w:rsid w:val="00157417"/>
    <w:rsid w:val="00165510"/>
    <w:rsid w:val="001661AE"/>
    <w:rsid w:val="00170E21"/>
    <w:rsid w:val="00175938"/>
    <w:rsid w:val="00180F6A"/>
    <w:rsid w:val="00181BDF"/>
    <w:rsid w:val="00182E64"/>
    <w:rsid w:val="00183061"/>
    <w:rsid w:val="00183799"/>
    <w:rsid w:val="00186C33"/>
    <w:rsid w:val="00186D70"/>
    <w:rsid w:val="0018794F"/>
    <w:rsid w:val="001914DB"/>
    <w:rsid w:val="00191818"/>
    <w:rsid w:val="0019549E"/>
    <w:rsid w:val="00196F6A"/>
    <w:rsid w:val="00197468"/>
    <w:rsid w:val="001A0394"/>
    <w:rsid w:val="001A039F"/>
    <w:rsid w:val="001A076E"/>
    <w:rsid w:val="001A09C2"/>
    <w:rsid w:val="001A1E23"/>
    <w:rsid w:val="001A4D32"/>
    <w:rsid w:val="001B3254"/>
    <w:rsid w:val="001B5C28"/>
    <w:rsid w:val="001B637F"/>
    <w:rsid w:val="001C09E9"/>
    <w:rsid w:val="001C49F5"/>
    <w:rsid w:val="001C6031"/>
    <w:rsid w:val="001D3310"/>
    <w:rsid w:val="001D339C"/>
    <w:rsid w:val="001D35AD"/>
    <w:rsid w:val="001D7844"/>
    <w:rsid w:val="001E0D08"/>
    <w:rsid w:val="001E4598"/>
    <w:rsid w:val="001E7602"/>
    <w:rsid w:val="001F32EA"/>
    <w:rsid w:val="001F5A04"/>
    <w:rsid w:val="001F5A31"/>
    <w:rsid w:val="001F5E14"/>
    <w:rsid w:val="001F6B5A"/>
    <w:rsid w:val="001F7EF6"/>
    <w:rsid w:val="002005E5"/>
    <w:rsid w:val="00206AA0"/>
    <w:rsid w:val="0021018D"/>
    <w:rsid w:val="00210421"/>
    <w:rsid w:val="00215421"/>
    <w:rsid w:val="0021699E"/>
    <w:rsid w:val="00216E15"/>
    <w:rsid w:val="0022017E"/>
    <w:rsid w:val="00220D14"/>
    <w:rsid w:val="002260BB"/>
    <w:rsid w:val="002274EF"/>
    <w:rsid w:val="00230073"/>
    <w:rsid w:val="00230D8E"/>
    <w:rsid w:val="00232971"/>
    <w:rsid w:val="002376D8"/>
    <w:rsid w:val="002410C9"/>
    <w:rsid w:val="00242070"/>
    <w:rsid w:val="00242923"/>
    <w:rsid w:val="00242997"/>
    <w:rsid w:val="00242A90"/>
    <w:rsid w:val="00244C27"/>
    <w:rsid w:val="00244C33"/>
    <w:rsid w:val="00251E8F"/>
    <w:rsid w:val="00252F3F"/>
    <w:rsid w:val="00254BF3"/>
    <w:rsid w:val="00256AE2"/>
    <w:rsid w:val="00260B08"/>
    <w:rsid w:val="00260F01"/>
    <w:rsid w:val="00271483"/>
    <w:rsid w:val="00271B0B"/>
    <w:rsid w:val="00272F00"/>
    <w:rsid w:val="00273397"/>
    <w:rsid w:val="002737A6"/>
    <w:rsid w:val="0027568B"/>
    <w:rsid w:val="00280124"/>
    <w:rsid w:val="00280699"/>
    <w:rsid w:val="002856D8"/>
    <w:rsid w:val="00285739"/>
    <w:rsid w:val="00286984"/>
    <w:rsid w:val="00287488"/>
    <w:rsid w:val="002875EA"/>
    <w:rsid w:val="00295B8B"/>
    <w:rsid w:val="0029709D"/>
    <w:rsid w:val="002A099F"/>
    <w:rsid w:val="002A1308"/>
    <w:rsid w:val="002A13F8"/>
    <w:rsid w:val="002A4AA5"/>
    <w:rsid w:val="002A54AA"/>
    <w:rsid w:val="002A7DA2"/>
    <w:rsid w:val="002B0710"/>
    <w:rsid w:val="002B0DFD"/>
    <w:rsid w:val="002B3E19"/>
    <w:rsid w:val="002C282C"/>
    <w:rsid w:val="002C34A5"/>
    <w:rsid w:val="002C552C"/>
    <w:rsid w:val="002C581A"/>
    <w:rsid w:val="002C76EE"/>
    <w:rsid w:val="002C7AB3"/>
    <w:rsid w:val="002D0648"/>
    <w:rsid w:val="002D1F21"/>
    <w:rsid w:val="002D46F4"/>
    <w:rsid w:val="002D56C7"/>
    <w:rsid w:val="002E17A6"/>
    <w:rsid w:val="002E2400"/>
    <w:rsid w:val="002E31C9"/>
    <w:rsid w:val="002E3E4D"/>
    <w:rsid w:val="002E44EE"/>
    <w:rsid w:val="002F120D"/>
    <w:rsid w:val="002F46A6"/>
    <w:rsid w:val="002F71C6"/>
    <w:rsid w:val="003005EA"/>
    <w:rsid w:val="00302C47"/>
    <w:rsid w:val="00303FAC"/>
    <w:rsid w:val="003048A5"/>
    <w:rsid w:val="00304988"/>
    <w:rsid w:val="003063A4"/>
    <w:rsid w:val="0030646F"/>
    <w:rsid w:val="00310D8C"/>
    <w:rsid w:val="00311FED"/>
    <w:rsid w:val="003133B4"/>
    <w:rsid w:val="00314DF3"/>
    <w:rsid w:val="0032549C"/>
    <w:rsid w:val="00330135"/>
    <w:rsid w:val="00330D2C"/>
    <w:rsid w:val="00331EDF"/>
    <w:rsid w:val="003333DD"/>
    <w:rsid w:val="00333468"/>
    <w:rsid w:val="0034227E"/>
    <w:rsid w:val="00343024"/>
    <w:rsid w:val="003455DE"/>
    <w:rsid w:val="00346726"/>
    <w:rsid w:val="00346BAA"/>
    <w:rsid w:val="00351DAA"/>
    <w:rsid w:val="0036071D"/>
    <w:rsid w:val="003607FF"/>
    <w:rsid w:val="003627F5"/>
    <w:rsid w:val="00362B71"/>
    <w:rsid w:val="00363FA6"/>
    <w:rsid w:val="00364091"/>
    <w:rsid w:val="0036466A"/>
    <w:rsid w:val="00366186"/>
    <w:rsid w:val="00366BB0"/>
    <w:rsid w:val="00366D14"/>
    <w:rsid w:val="00370A8F"/>
    <w:rsid w:val="00372E59"/>
    <w:rsid w:val="00375786"/>
    <w:rsid w:val="0038091F"/>
    <w:rsid w:val="00383781"/>
    <w:rsid w:val="00385607"/>
    <w:rsid w:val="003861E7"/>
    <w:rsid w:val="00387D3B"/>
    <w:rsid w:val="00392FA1"/>
    <w:rsid w:val="00394032"/>
    <w:rsid w:val="00394C5D"/>
    <w:rsid w:val="00395288"/>
    <w:rsid w:val="00395E2E"/>
    <w:rsid w:val="003A0485"/>
    <w:rsid w:val="003A33C4"/>
    <w:rsid w:val="003A4E69"/>
    <w:rsid w:val="003A69C0"/>
    <w:rsid w:val="003B0E0C"/>
    <w:rsid w:val="003B27E2"/>
    <w:rsid w:val="003B3339"/>
    <w:rsid w:val="003B5373"/>
    <w:rsid w:val="003B6A67"/>
    <w:rsid w:val="003C022A"/>
    <w:rsid w:val="003C1ABB"/>
    <w:rsid w:val="003C2D95"/>
    <w:rsid w:val="003C630F"/>
    <w:rsid w:val="003C63EF"/>
    <w:rsid w:val="003D0310"/>
    <w:rsid w:val="003D3392"/>
    <w:rsid w:val="003D578E"/>
    <w:rsid w:val="003D7297"/>
    <w:rsid w:val="003D7399"/>
    <w:rsid w:val="003D7909"/>
    <w:rsid w:val="003E1117"/>
    <w:rsid w:val="003E11F8"/>
    <w:rsid w:val="003E370A"/>
    <w:rsid w:val="003E5923"/>
    <w:rsid w:val="003F2201"/>
    <w:rsid w:val="003F3121"/>
    <w:rsid w:val="00400940"/>
    <w:rsid w:val="00400C99"/>
    <w:rsid w:val="00401C85"/>
    <w:rsid w:val="00402089"/>
    <w:rsid w:val="004106CD"/>
    <w:rsid w:val="00411337"/>
    <w:rsid w:val="004114A7"/>
    <w:rsid w:val="00411BA2"/>
    <w:rsid w:val="004155C6"/>
    <w:rsid w:val="004170DE"/>
    <w:rsid w:val="004175CE"/>
    <w:rsid w:val="004178CC"/>
    <w:rsid w:val="00421E92"/>
    <w:rsid w:val="00422772"/>
    <w:rsid w:val="004236FE"/>
    <w:rsid w:val="004243B2"/>
    <w:rsid w:val="00424829"/>
    <w:rsid w:val="004257FE"/>
    <w:rsid w:val="00430E6E"/>
    <w:rsid w:val="00431383"/>
    <w:rsid w:val="00433A73"/>
    <w:rsid w:val="00433B25"/>
    <w:rsid w:val="004340B6"/>
    <w:rsid w:val="0043631B"/>
    <w:rsid w:val="00443370"/>
    <w:rsid w:val="00443486"/>
    <w:rsid w:val="00445F56"/>
    <w:rsid w:val="00451F9B"/>
    <w:rsid w:val="00452B21"/>
    <w:rsid w:val="00452BFF"/>
    <w:rsid w:val="0045336F"/>
    <w:rsid w:val="00453919"/>
    <w:rsid w:val="00454135"/>
    <w:rsid w:val="00455F23"/>
    <w:rsid w:val="004566F6"/>
    <w:rsid w:val="00456C3D"/>
    <w:rsid w:val="00457D35"/>
    <w:rsid w:val="00465BF1"/>
    <w:rsid w:val="00465E37"/>
    <w:rsid w:val="00466073"/>
    <w:rsid w:val="00466EAF"/>
    <w:rsid w:val="00467A06"/>
    <w:rsid w:val="0047074A"/>
    <w:rsid w:val="00471AA7"/>
    <w:rsid w:val="00471B28"/>
    <w:rsid w:val="00476979"/>
    <w:rsid w:val="004821EE"/>
    <w:rsid w:val="00483476"/>
    <w:rsid w:val="004901AE"/>
    <w:rsid w:val="004925CA"/>
    <w:rsid w:val="00492CD9"/>
    <w:rsid w:val="00494D87"/>
    <w:rsid w:val="00495B26"/>
    <w:rsid w:val="004974D7"/>
    <w:rsid w:val="00497658"/>
    <w:rsid w:val="004A0A2E"/>
    <w:rsid w:val="004A0D92"/>
    <w:rsid w:val="004A3C00"/>
    <w:rsid w:val="004A4CAE"/>
    <w:rsid w:val="004A6298"/>
    <w:rsid w:val="004A725E"/>
    <w:rsid w:val="004B3AAE"/>
    <w:rsid w:val="004B3EA3"/>
    <w:rsid w:val="004C05E4"/>
    <w:rsid w:val="004C195C"/>
    <w:rsid w:val="004C2FB5"/>
    <w:rsid w:val="004C6EBF"/>
    <w:rsid w:val="004D01D0"/>
    <w:rsid w:val="004D124D"/>
    <w:rsid w:val="004D242A"/>
    <w:rsid w:val="004D3778"/>
    <w:rsid w:val="004D3AA8"/>
    <w:rsid w:val="004D3E1D"/>
    <w:rsid w:val="004D4139"/>
    <w:rsid w:val="004D5172"/>
    <w:rsid w:val="004D58F7"/>
    <w:rsid w:val="004D72A5"/>
    <w:rsid w:val="004D7614"/>
    <w:rsid w:val="004D7ECE"/>
    <w:rsid w:val="004E327A"/>
    <w:rsid w:val="004E412F"/>
    <w:rsid w:val="004E4A3E"/>
    <w:rsid w:val="004E66B8"/>
    <w:rsid w:val="004E76DB"/>
    <w:rsid w:val="004F1D9F"/>
    <w:rsid w:val="004F2783"/>
    <w:rsid w:val="004F2D16"/>
    <w:rsid w:val="004F3219"/>
    <w:rsid w:val="004F5E77"/>
    <w:rsid w:val="004F72D2"/>
    <w:rsid w:val="00500956"/>
    <w:rsid w:val="0050284D"/>
    <w:rsid w:val="00502AFB"/>
    <w:rsid w:val="00502E24"/>
    <w:rsid w:val="00504F38"/>
    <w:rsid w:val="00510393"/>
    <w:rsid w:val="005122E0"/>
    <w:rsid w:val="00515167"/>
    <w:rsid w:val="00515837"/>
    <w:rsid w:val="00515ED8"/>
    <w:rsid w:val="00520DA8"/>
    <w:rsid w:val="0052360B"/>
    <w:rsid w:val="00530E76"/>
    <w:rsid w:val="00530FCB"/>
    <w:rsid w:val="00535664"/>
    <w:rsid w:val="00536C9C"/>
    <w:rsid w:val="00537127"/>
    <w:rsid w:val="005406F6"/>
    <w:rsid w:val="00541E5C"/>
    <w:rsid w:val="00542CB0"/>
    <w:rsid w:val="00543F54"/>
    <w:rsid w:val="0055110C"/>
    <w:rsid w:val="0055180E"/>
    <w:rsid w:val="00557B88"/>
    <w:rsid w:val="005619DA"/>
    <w:rsid w:val="0056391C"/>
    <w:rsid w:val="00564989"/>
    <w:rsid w:val="00564BC5"/>
    <w:rsid w:val="00572129"/>
    <w:rsid w:val="005759BA"/>
    <w:rsid w:val="00576A66"/>
    <w:rsid w:val="00580FD6"/>
    <w:rsid w:val="0058143C"/>
    <w:rsid w:val="00587F79"/>
    <w:rsid w:val="00591137"/>
    <w:rsid w:val="00591793"/>
    <w:rsid w:val="00592D32"/>
    <w:rsid w:val="00593D91"/>
    <w:rsid w:val="005941D5"/>
    <w:rsid w:val="00594925"/>
    <w:rsid w:val="005A16AA"/>
    <w:rsid w:val="005A6359"/>
    <w:rsid w:val="005B1436"/>
    <w:rsid w:val="005B1A6D"/>
    <w:rsid w:val="005B3280"/>
    <w:rsid w:val="005B5660"/>
    <w:rsid w:val="005B7DC7"/>
    <w:rsid w:val="005C3515"/>
    <w:rsid w:val="005C6295"/>
    <w:rsid w:val="005C6BC7"/>
    <w:rsid w:val="005D1435"/>
    <w:rsid w:val="005D28CD"/>
    <w:rsid w:val="005D490E"/>
    <w:rsid w:val="005D4FAC"/>
    <w:rsid w:val="005D6688"/>
    <w:rsid w:val="005D7BC2"/>
    <w:rsid w:val="005E29FB"/>
    <w:rsid w:val="005E3860"/>
    <w:rsid w:val="005E6CB9"/>
    <w:rsid w:val="005E7890"/>
    <w:rsid w:val="005F12FC"/>
    <w:rsid w:val="005F1430"/>
    <w:rsid w:val="005F284E"/>
    <w:rsid w:val="005F5B82"/>
    <w:rsid w:val="006056B3"/>
    <w:rsid w:val="006074AE"/>
    <w:rsid w:val="006074B1"/>
    <w:rsid w:val="006118CA"/>
    <w:rsid w:val="00613535"/>
    <w:rsid w:val="00613DF5"/>
    <w:rsid w:val="00616C0D"/>
    <w:rsid w:val="00616DDB"/>
    <w:rsid w:val="00620282"/>
    <w:rsid w:val="006212E1"/>
    <w:rsid w:val="00622204"/>
    <w:rsid w:val="00622E2B"/>
    <w:rsid w:val="00624D5D"/>
    <w:rsid w:val="006252FE"/>
    <w:rsid w:val="00627F4C"/>
    <w:rsid w:val="0063001E"/>
    <w:rsid w:val="006364B4"/>
    <w:rsid w:val="00642A13"/>
    <w:rsid w:val="00644F18"/>
    <w:rsid w:val="00645CED"/>
    <w:rsid w:val="00647421"/>
    <w:rsid w:val="00647960"/>
    <w:rsid w:val="00650A21"/>
    <w:rsid w:val="00652947"/>
    <w:rsid w:val="00652ED4"/>
    <w:rsid w:val="00657BA6"/>
    <w:rsid w:val="006625B6"/>
    <w:rsid w:val="0066261D"/>
    <w:rsid w:val="00665B1A"/>
    <w:rsid w:val="006674EA"/>
    <w:rsid w:val="006735DE"/>
    <w:rsid w:val="00673D3C"/>
    <w:rsid w:val="0068471F"/>
    <w:rsid w:val="00685775"/>
    <w:rsid w:val="006908B8"/>
    <w:rsid w:val="006918DE"/>
    <w:rsid w:val="00694219"/>
    <w:rsid w:val="00695DF1"/>
    <w:rsid w:val="006972D8"/>
    <w:rsid w:val="00697E02"/>
    <w:rsid w:val="006A456A"/>
    <w:rsid w:val="006B2549"/>
    <w:rsid w:val="006B348F"/>
    <w:rsid w:val="006B4322"/>
    <w:rsid w:val="006B472F"/>
    <w:rsid w:val="006B71A7"/>
    <w:rsid w:val="006B7A27"/>
    <w:rsid w:val="006C035E"/>
    <w:rsid w:val="006C04AF"/>
    <w:rsid w:val="006C1936"/>
    <w:rsid w:val="006C7660"/>
    <w:rsid w:val="006D2D5B"/>
    <w:rsid w:val="006D2EF2"/>
    <w:rsid w:val="006D4E1F"/>
    <w:rsid w:val="006D4F17"/>
    <w:rsid w:val="006D5955"/>
    <w:rsid w:val="006D61B0"/>
    <w:rsid w:val="006D6EA0"/>
    <w:rsid w:val="006E13C1"/>
    <w:rsid w:val="006E38CC"/>
    <w:rsid w:val="006E4247"/>
    <w:rsid w:val="006E557B"/>
    <w:rsid w:val="006E55AE"/>
    <w:rsid w:val="006E6AB4"/>
    <w:rsid w:val="006F1367"/>
    <w:rsid w:val="006F3FCA"/>
    <w:rsid w:val="006F7DAB"/>
    <w:rsid w:val="00700023"/>
    <w:rsid w:val="007002CA"/>
    <w:rsid w:val="00702CCD"/>
    <w:rsid w:val="00704397"/>
    <w:rsid w:val="00711804"/>
    <w:rsid w:val="00713607"/>
    <w:rsid w:val="00713F86"/>
    <w:rsid w:val="0071615F"/>
    <w:rsid w:val="00716AB9"/>
    <w:rsid w:val="00726F14"/>
    <w:rsid w:val="00730091"/>
    <w:rsid w:val="0073115E"/>
    <w:rsid w:val="00736848"/>
    <w:rsid w:val="0074231F"/>
    <w:rsid w:val="00744E22"/>
    <w:rsid w:val="00750A35"/>
    <w:rsid w:val="007527E4"/>
    <w:rsid w:val="007535A3"/>
    <w:rsid w:val="007538D1"/>
    <w:rsid w:val="007539B1"/>
    <w:rsid w:val="0076146D"/>
    <w:rsid w:val="007657AF"/>
    <w:rsid w:val="00770BA3"/>
    <w:rsid w:val="00771D7A"/>
    <w:rsid w:val="00773C3D"/>
    <w:rsid w:val="00776076"/>
    <w:rsid w:val="00782DE7"/>
    <w:rsid w:val="00786B9D"/>
    <w:rsid w:val="007873B3"/>
    <w:rsid w:val="00787CBC"/>
    <w:rsid w:val="00793611"/>
    <w:rsid w:val="00797742"/>
    <w:rsid w:val="007A09D4"/>
    <w:rsid w:val="007A5234"/>
    <w:rsid w:val="007A5369"/>
    <w:rsid w:val="007B0C7A"/>
    <w:rsid w:val="007B2695"/>
    <w:rsid w:val="007B387F"/>
    <w:rsid w:val="007B492E"/>
    <w:rsid w:val="007B6BAF"/>
    <w:rsid w:val="007C06C9"/>
    <w:rsid w:val="007C15C8"/>
    <w:rsid w:val="007C271C"/>
    <w:rsid w:val="007C2F93"/>
    <w:rsid w:val="007C346C"/>
    <w:rsid w:val="007C5A0A"/>
    <w:rsid w:val="007C72F6"/>
    <w:rsid w:val="007C7790"/>
    <w:rsid w:val="007D4122"/>
    <w:rsid w:val="007D619F"/>
    <w:rsid w:val="007D6953"/>
    <w:rsid w:val="007E16DD"/>
    <w:rsid w:val="007E2719"/>
    <w:rsid w:val="007E2A2F"/>
    <w:rsid w:val="007E65DF"/>
    <w:rsid w:val="007E6D3D"/>
    <w:rsid w:val="007F18DD"/>
    <w:rsid w:val="007F4AAB"/>
    <w:rsid w:val="007F5108"/>
    <w:rsid w:val="007F6F46"/>
    <w:rsid w:val="008011D1"/>
    <w:rsid w:val="008049BE"/>
    <w:rsid w:val="00805891"/>
    <w:rsid w:val="008065D7"/>
    <w:rsid w:val="00807E90"/>
    <w:rsid w:val="008105CE"/>
    <w:rsid w:val="0081143A"/>
    <w:rsid w:val="008116FC"/>
    <w:rsid w:val="008133BD"/>
    <w:rsid w:val="0081568A"/>
    <w:rsid w:val="00815FBE"/>
    <w:rsid w:val="008210DC"/>
    <w:rsid w:val="00821D05"/>
    <w:rsid w:val="00822D90"/>
    <w:rsid w:val="00822FD5"/>
    <w:rsid w:val="0083225B"/>
    <w:rsid w:val="008336EC"/>
    <w:rsid w:val="008342EA"/>
    <w:rsid w:val="008359EA"/>
    <w:rsid w:val="008405F1"/>
    <w:rsid w:val="008422F9"/>
    <w:rsid w:val="0084290E"/>
    <w:rsid w:val="00843143"/>
    <w:rsid w:val="00845EEA"/>
    <w:rsid w:val="00845FE7"/>
    <w:rsid w:val="00850504"/>
    <w:rsid w:val="00850673"/>
    <w:rsid w:val="00852A8C"/>
    <w:rsid w:val="00852C4A"/>
    <w:rsid w:val="00855340"/>
    <w:rsid w:val="00857067"/>
    <w:rsid w:val="00857676"/>
    <w:rsid w:val="00864D8A"/>
    <w:rsid w:val="00874ACB"/>
    <w:rsid w:val="00876012"/>
    <w:rsid w:val="00876025"/>
    <w:rsid w:val="00876534"/>
    <w:rsid w:val="008770D4"/>
    <w:rsid w:val="008902DA"/>
    <w:rsid w:val="00892C40"/>
    <w:rsid w:val="00893040"/>
    <w:rsid w:val="00893F63"/>
    <w:rsid w:val="0089406A"/>
    <w:rsid w:val="00896296"/>
    <w:rsid w:val="008A0ECA"/>
    <w:rsid w:val="008A1341"/>
    <w:rsid w:val="008A2869"/>
    <w:rsid w:val="008A3C92"/>
    <w:rsid w:val="008A4551"/>
    <w:rsid w:val="008A4934"/>
    <w:rsid w:val="008A5405"/>
    <w:rsid w:val="008A7677"/>
    <w:rsid w:val="008A772D"/>
    <w:rsid w:val="008B0A4F"/>
    <w:rsid w:val="008B1452"/>
    <w:rsid w:val="008B1551"/>
    <w:rsid w:val="008B28EA"/>
    <w:rsid w:val="008B3EC1"/>
    <w:rsid w:val="008B52F3"/>
    <w:rsid w:val="008C27F0"/>
    <w:rsid w:val="008C5105"/>
    <w:rsid w:val="008D20E0"/>
    <w:rsid w:val="008D2207"/>
    <w:rsid w:val="008D39C4"/>
    <w:rsid w:val="008D454B"/>
    <w:rsid w:val="008D5A0C"/>
    <w:rsid w:val="008E033A"/>
    <w:rsid w:val="008E1FE4"/>
    <w:rsid w:val="008E3782"/>
    <w:rsid w:val="008E3899"/>
    <w:rsid w:val="008E3ADD"/>
    <w:rsid w:val="008E7BA8"/>
    <w:rsid w:val="008F0619"/>
    <w:rsid w:val="008F0721"/>
    <w:rsid w:val="008F1251"/>
    <w:rsid w:val="008F1C3C"/>
    <w:rsid w:val="008F3811"/>
    <w:rsid w:val="0090207A"/>
    <w:rsid w:val="00903714"/>
    <w:rsid w:val="0090447E"/>
    <w:rsid w:val="009052B7"/>
    <w:rsid w:val="00907C0A"/>
    <w:rsid w:val="00910E41"/>
    <w:rsid w:val="00911626"/>
    <w:rsid w:val="00911B96"/>
    <w:rsid w:val="00912D64"/>
    <w:rsid w:val="00913285"/>
    <w:rsid w:val="009137CE"/>
    <w:rsid w:val="00916E31"/>
    <w:rsid w:val="00922240"/>
    <w:rsid w:val="0092469C"/>
    <w:rsid w:val="0092602B"/>
    <w:rsid w:val="009266B3"/>
    <w:rsid w:val="00926701"/>
    <w:rsid w:val="009304D5"/>
    <w:rsid w:val="00930E30"/>
    <w:rsid w:val="00932FF4"/>
    <w:rsid w:val="00934726"/>
    <w:rsid w:val="009356C7"/>
    <w:rsid w:val="0094131A"/>
    <w:rsid w:val="0094166F"/>
    <w:rsid w:val="009501F3"/>
    <w:rsid w:val="00953DFA"/>
    <w:rsid w:val="00954E73"/>
    <w:rsid w:val="009622A4"/>
    <w:rsid w:val="00962951"/>
    <w:rsid w:val="009629F3"/>
    <w:rsid w:val="00963088"/>
    <w:rsid w:val="00964791"/>
    <w:rsid w:val="009652F8"/>
    <w:rsid w:val="00967B50"/>
    <w:rsid w:val="00971DCB"/>
    <w:rsid w:val="0097337B"/>
    <w:rsid w:val="009740F3"/>
    <w:rsid w:val="00974BDA"/>
    <w:rsid w:val="00975682"/>
    <w:rsid w:val="00975C25"/>
    <w:rsid w:val="0097702C"/>
    <w:rsid w:val="0097753A"/>
    <w:rsid w:val="00983876"/>
    <w:rsid w:val="009852D2"/>
    <w:rsid w:val="00985387"/>
    <w:rsid w:val="009907D3"/>
    <w:rsid w:val="00991C74"/>
    <w:rsid w:val="00991FFC"/>
    <w:rsid w:val="00995660"/>
    <w:rsid w:val="0099732E"/>
    <w:rsid w:val="009A1FCC"/>
    <w:rsid w:val="009A255E"/>
    <w:rsid w:val="009A388C"/>
    <w:rsid w:val="009A4F12"/>
    <w:rsid w:val="009A7776"/>
    <w:rsid w:val="009A7C03"/>
    <w:rsid w:val="009B01AB"/>
    <w:rsid w:val="009B335E"/>
    <w:rsid w:val="009B578E"/>
    <w:rsid w:val="009C1F57"/>
    <w:rsid w:val="009C2E29"/>
    <w:rsid w:val="009C50B9"/>
    <w:rsid w:val="009C521A"/>
    <w:rsid w:val="009C53CF"/>
    <w:rsid w:val="009C5CB5"/>
    <w:rsid w:val="009C60BB"/>
    <w:rsid w:val="009C65BD"/>
    <w:rsid w:val="009C6B19"/>
    <w:rsid w:val="009D1BE1"/>
    <w:rsid w:val="009D30E7"/>
    <w:rsid w:val="009D4534"/>
    <w:rsid w:val="009D4E41"/>
    <w:rsid w:val="009D4F2B"/>
    <w:rsid w:val="009E04DE"/>
    <w:rsid w:val="009E07ED"/>
    <w:rsid w:val="009E3DBD"/>
    <w:rsid w:val="009E5B73"/>
    <w:rsid w:val="009E5E58"/>
    <w:rsid w:val="009F0657"/>
    <w:rsid w:val="009F21B3"/>
    <w:rsid w:val="009F4E8C"/>
    <w:rsid w:val="009F6803"/>
    <w:rsid w:val="00A07AED"/>
    <w:rsid w:val="00A15001"/>
    <w:rsid w:val="00A164D8"/>
    <w:rsid w:val="00A1671F"/>
    <w:rsid w:val="00A1686E"/>
    <w:rsid w:val="00A20C01"/>
    <w:rsid w:val="00A23345"/>
    <w:rsid w:val="00A25680"/>
    <w:rsid w:val="00A31D6F"/>
    <w:rsid w:val="00A331FF"/>
    <w:rsid w:val="00A34E9A"/>
    <w:rsid w:val="00A405ED"/>
    <w:rsid w:val="00A41530"/>
    <w:rsid w:val="00A41D4E"/>
    <w:rsid w:val="00A47CEE"/>
    <w:rsid w:val="00A51000"/>
    <w:rsid w:val="00A54CA5"/>
    <w:rsid w:val="00A57844"/>
    <w:rsid w:val="00A6035D"/>
    <w:rsid w:val="00A61500"/>
    <w:rsid w:val="00A61CAC"/>
    <w:rsid w:val="00A62616"/>
    <w:rsid w:val="00A6396C"/>
    <w:rsid w:val="00A651B8"/>
    <w:rsid w:val="00A66E25"/>
    <w:rsid w:val="00A7082E"/>
    <w:rsid w:val="00A715D5"/>
    <w:rsid w:val="00A71D3F"/>
    <w:rsid w:val="00A73874"/>
    <w:rsid w:val="00A75025"/>
    <w:rsid w:val="00A759C4"/>
    <w:rsid w:val="00A80F89"/>
    <w:rsid w:val="00A828C1"/>
    <w:rsid w:val="00A83AA1"/>
    <w:rsid w:val="00A85A67"/>
    <w:rsid w:val="00A86CCB"/>
    <w:rsid w:val="00A872A9"/>
    <w:rsid w:val="00A9054A"/>
    <w:rsid w:val="00A91944"/>
    <w:rsid w:val="00A91F62"/>
    <w:rsid w:val="00A97661"/>
    <w:rsid w:val="00AA1ACC"/>
    <w:rsid w:val="00AA1AE0"/>
    <w:rsid w:val="00AA3CB2"/>
    <w:rsid w:val="00AA5271"/>
    <w:rsid w:val="00AA72E3"/>
    <w:rsid w:val="00AB3498"/>
    <w:rsid w:val="00AB4620"/>
    <w:rsid w:val="00AB7E99"/>
    <w:rsid w:val="00AC2C94"/>
    <w:rsid w:val="00AC562B"/>
    <w:rsid w:val="00AC6B27"/>
    <w:rsid w:val="00AC6D1C"/>
    <w:rsid w:val="00AD5A51"/>
    <w:rsid w:val="00AD62D6"/>
    <w:rsid w:val="00AD703F"/>
    <w:rsid w:val="00AE2679"/>
    <w:rsid w:val="00AE26C4"/>
    <w:rsid w:val="00AE344C"/>
    <w:rsid w:val="00AE5803"/>
    <w:rsid w:val="00AF0D87"/>
    <w:rsid w:val="00AF2CFE"/>
    <w:rsid w:val="00AF5EE2"/>
    <w:rsid w:val="00B014A1"/>
    <w:rsid w:val="00B04EB7"/>
    <w:rsid w:val="00B05110"/>
    <w:rsid w:val="00B05193"/>
    <w:rsid w:val="00B1091C"/>
    <w:rsid w:val="00B124B2"/>
    <w:rsid w:val="00B127AC"/>
    <w:rsid w:val="00B12B2E"/>
    <w:rsid w:val="00B12C1B"/>
    <w:rsid w:val="00B130D9"/>
    <w:rsid w:val="00B134E0"/>
    <w:rsid w:val="00B14966"/>
    <w:rsid w:val="00B150D1"/>
    <w:rsid w:val="00B1614F"/>
    <w:rsid w:val="00B17DB6"/>
    <w:rsid w:val="00B17E07"/>
    <w:rsid w:val="00B208B3"/>
    <w:rsid w:val="00B23CD8"/>
    <w:rsid w:val="00B24DBA"/>
    <w:rsid w:val="00B2664E"/>
    <w:rsid w:val="00B269B1"/>
    <w:rsid w:val="00B30817"/>
    <w:rsid w:val="00B312E2"/>
    <w:rsid w:val="00B319E4"/>
    <w:rsid w:val="00B33C43"/>
    <w:rsid w:val="00B34897"/>
    <w:rsid w:val="00B401C4"/>
    <w:rsid w:val="00B442ED"/>
    <w:rsid w:val="00B5621A"/>
    <w:rsid w:val="00B56A2F"/>
    <w:rsid w:val="00B61259"/>
    <w:rsid w:val="00B62A28"/>
    <w:rsid w:val="00B62AB5"/>
    <w:rsid w:val="00B65253"/>
    <w:rsid w:val="00B70EC8"/>
    <w:rsid w:val="00B717BA"/>
    <w:rsid w:val="00B72B8A"/>
    <w:rsid w:val="00B739AA"/>
    <w:rsid w:val="00B73A6D"/>
    <w:rsid w:val="00B755CD"/>
    <w:rsid w:val="00B77313"/>
    <w:rsid w:val="00B81857"/>
    <w:rsid w:val="00B81930"/>
    <w:rsid w:val="00B843FC"/>
    <w:rsid w:val="00B84C69"/>
    <w:rsid w:val="00B84E7F"/>
    <w:rsid w:val="00B85D13"/>
    <w:rsid w:val="00B86951"/>
    <w:rsid w:val="00B87105"/>
    <w:rsid w:val="00B87983"/>
    <w:rsid w:val="00B879E4"/>
    <w:rsid w:val="00B87FA6"/>
    <w:rsid w:val="00B91F41"/>
    <w:rsid w:val="00B93580"/>
    <w:rsid w:val="00B93B18"/>
    <w:rsid w:val="00BA121A"/>
    <w:rsid w:val="00BA361C"/>
    <w:rsid w:val="00BA38CF"/>
    <w:rsid w:val="00BA49C5"/>
    <w:rsid w:val="00BA4C36"/>
    <w:rsid w:val="00BB2BB8"/>
    <w:rsid w:val="00BB410B"/>
    <w:rsid w:val="00BB48BE"/>
    <w:rsid w:val="00BB4B28"/>
    <w:rsid w:val="00BB5AFD"/>
    <w:rsid w:val="00BC0700"/>
    <w:rsid w:val="00BC1440"/>
    <w:rsid w:val="00BC175C"/>
    <w:rsid w:val="00BC18C7"/>
    <w:rsid w:val="00BD3D9C"/>
    <w:rsid w:val="00BD4A14"/>
    <w:rsid w:val="00BE0866"/>
    <w:rsid w:val="00BE2933"/>
    <w:rsid w:val="00BE3D0B"/>
    <w:rsid w:val="00BE5EAB"/>
    <w:rsid w:val="00BE601E"/>
    <w:rsid w:val="00BE6F56"/>
    <w:rsid w:val="00BF1471"/>
    <w:rsid w:val="00BF1714"/>
    <w:rsid w:val="00BF259D"/>
    <w:rsid w:val="00BF2758"/>
    <w:rsid w:val="00BF3BF2"/>
    <w:rsid w:val="00BF4DAC"/>
    <w:rsid w:val="00C02DF6"/>
    <w:rsid w:val="00C06BD5"/>
    <w:rsid w:val="00C07152"/>
    <w:rsid w:val="00C1060E"/>
    <w:rsid w:val="00C1234C"/>
    <w:rsid w:val="00C13470"/>
    <w:rsid w:val="00C14E7A"/>
    <w:rsid w:val="00C2123D"/>
    <w:rsid w:val="00C222E0"/>
    <w:rsid w:val="00C25193"/>
    <w:rsid w:val="00C27DFD"/>
    <w:rsid w:val="00C27FCA"/>
    <w:rsid w:val="00C33D20"/>
    <w:rsid w:val="00C34716"/>
    <w:rsid w:val="00C36710"/>
    <w:rsid w:val="00C373C5"/>
    <w:rsid w:val="00C377DA"/>
    <w:rsid w:val="00C42EEF"/>
    <w:rsid w:val="00C50828"/>
    <w:rsid w:val="00C50E72"/>
    <w:rsid w:val="00C51591"/>
    <w:rsid w:val="00C52B49"/>
    <w:rsid w:val="00C55B3C"/>
    <w:rsid w:val="00C56648"/>
    <w:rsid w:val="00C5735C"/>
    <w:rsid w:val="00C575FB"/>
    <w:rsid w:val="00C61954"/>
    <w:rsid w:val="00C65499"/>
    <w:rsid w:val="00C70D6D"/>
    <w:rsid w:val="00C85B74"/>
    <w:rsid w:val="00C904A3"/>
    <w:rsid w:val="00C91030"/>
    <w:rsid w:val="00C9293C"/>
    <w:rsid w:val="00C93329"/>
    <w:rsid w:val="00C94E55"/>
    <w:rsid w:val="00C960B5"/>
    <w:rsid w:val="00CA425F"/>
    <w:rsid w:val="00CA5734"/>
    <w:rsid w:val="00CA5B22"/>
    <w:rsid w:val="00CA6902"/>
    <w:rsid w:val="00CA6A58"/>
    <w:rsid w:val="00CA7016"/>
    <w:rsid w:val="00CB2BCD"/>
    <w:rsid w:val="00CC0A22"/>
    <w:rsid w:val="00CC2A1D"/>
    <w:rsid w:val="00CC4F25"/>
    <w:rsid w:val="00CC5826"/>
    <w:rsid w:val="00CC74EE"/>
    <w:rsid w:val="00CD033E"/>
    <w:rsid w:val="00CD1539"/>
    <w:rsid w:val="00CD5742"/>
    <w:rsid w:val="00CE0AB9"/>
    <w:rsid w:val="00CE633B"/>
    <w:rsid w:val="00CF02D4"/>
    <w:rsid w:val="00CF20AA"/>
    <w:rsid w:val="00CF210A"/>
    <w:rsid w:val="00D02C16"/>
    <w:rsid w:val="00D02F7A"/>
    <w:rsid w:val="00D063EA"/>
    <w:rsid w:val="00D11876"/>
    <w:rsid w:val="00D12403"/>
    <w:rsid w:val="00D15F48"/>
    <w:rsid w:val="00D20649"/>
    <w:rsid w:val="00D2422C"/>
    <w:rsid w:val="00D31F1C"/>
    <w:rsid w:val="00D32762"/>
    <w:rsid w:val="00D33AB5"/>
    <w:rsid w:val="00D34CD0"/>
    <w:rsid w:val="00D3639B"/>
    <w:rsid w:val="00D36B54"/>
    <w:rsid w:val="00D374CC"/>
    <w:rsid w:val="00D42D25"/>
    <w:rsid w:val="00D4371E"/>
    <w:rsid w:val="00D460DD"/>
    <w:rsid w:val="00D51650"/>
    <w:rsid w:val="00D60BD4"/>
    <w:rsid w:val="00D60F2A"/>
    <w:rsid w:val="00D62319"/>
    <w:rsid w:val="00D63525"/>
    <w:rsid w:val="00D64CB2"/>
    <w:rsid w:val="00D71074"/>
    <w:rsid w:val="00D743FD"/>
    <w:rsid w:val="00D83F04"/>
    <w:rsid w:val="00D860A4"/>
    <w:rsid w:val="00D90678"/>
    <w:rsid w:val="00D90A69"/>
    <w:rsid w:val="00D9168E"/>
    <w:rsid w:val="00D922DE"/>
    <w:rsid w:val="00D9403A"/>
    <w:rsid w:val="00D94BBD"/>
    <w:rsid w:val="00D95593"/>
    <w:rsid w:val="00D95A01"/>
    <w:rsid w:val="00D95B9D"/>
    <w:rsid w:val="00DA1276"/>
    <w:rsid w:val="00DA29FB"/>
    <w:rsid w:val="00DA2A7A"/>
    <w:rsid w:val="00DA7991"/>
    <w:rsid w:val="00DA7C30"/>
    <w:rsid w:val="00DB16DA"/>
    <w:rsid w:val="00DB2D26"/>
    <w:rsid w:val="00DB6A9C"/>
    <w:rsid w:val="00DC2FAD"/>
    <w:rsid w:val="00DC586A"/>
    <w:rsid w:val="00DC74DC"/>
    <w:rsid w:val="00DD0E05"/>
    <w:rsid w:val="00DD16D6"/>
    <w:rsid w:val="00DD3958"/>
    <w:rsid w:val="00DE269E"/>
    <w:rsid w:val="00DE49BB"/>
    <w:rsid w:val="00DE6424"/>
    <w:rsid w:val="00DF189A"/>
    <w:rsid w:val="00DF1D2B"/>
    <w:rsid w:val="00DF23B6"/>
    <w:rsid w:val="00DF3A8A"/>
    <w:rsid w:val="00DF4404"/>
    <w:rsid w:val="00DF4E33"/>
    <w:rsid w:val="00DF7208"/>
    <w:rsid w:val="00E03762"/>
    <w:rsid w:val="00E03C11"/>
    <w:rsid w:val="00E063B9"/>
    <w:rsid w:val="00E07A1B"/>
    <w:rsid w:val="00E12257"/>
    <w:rsid w:val="00E16F22"/>
    <w:rsid w:val="00E21BA5"/>
    <w:rsid w:val="00E2289A"/>
    <w:rsid w:val="00E24A20"/>
    <w:rsid w:val="00E24AC5"/>
    <w:rsid w:val="00E25DB1"/>
    <w:rsid w:val="00E31A30"/>
    <w:rsid w:val="00E31E57"/>
    <w:rsid w:val="00E32B22"/>
    <w:rsid w:val="00E33BCA"/>
    <w:rsid w:val="00E3684B"/>
    <w:rsid w:val="00E36A73"/>
    <w:rsid w:val="00E40562"/>
    <w:rsid w:val="00E40B69"/>
    <w:rsid w:val="00E42113"/>
    <w:rsid w:val="00E442BD"/>
    <w:rsid w:val="00E479CA"/>
    <w:rsid w:val="00E5034C"/>
    <w:rsid w:val="00E51793"/>
    <w:rsid w:val="00E54395"/>
    <w:rsid w:val="00E559A4"/>
    <w:rsid w:val="00E576B8"/>
    <w:rsid w:val="00E60578"/>
    <w:rsid w:val="00E60A76"/>
    <w:rsid w:val="00E60BC1"/>
    <w:rsid w:val="00E621A8"/>
    <w:rsid w:val="00E66ABB"/>
    <w:rsid w:val="00E73A1F"/>
    <w:rsid w:val="00E7505B"/>
    <w:rsid w:val="00E76887"/>
    <w:rsid w:val="00E77343"/>
    <w:rsid w:val="00E77A63"/>
    <w:rsid w:val="00E81406"/>
    <w:rsid w:val="00E823B7"/>
    <w:rsid w:val="00E8300E"/>
    <w:rsid w:val="00E85DE8"/>
    <w:rsid w:val="00E9007B"/>
    <w:rsid w:val="00E93CB4"/>
    <w:rsid w:val="00E97E72"/>
    <w:rsid w:val="00EA20CB"/>
    <w:rsid w:val="00EA24D0"/>
    <w:rsid w:val="00EA4C9C"/>
    <w:rsid w:val="00EA5AE6"/>
    <w:rsid w:val="00EA6A4E"/>
    <w:rsid w:val="00EB0C28"/>
    <w:rsid w:val="00EB14D7"/>
    <w:rsid w:val="00EB2206"/>
    <w:rsid w:val="00EB6101"/>
    <w:rsid w:val="00EB64A7"/>
    <w:rsid w:val="00EB6AE2"/>
    <w:rsid w:val="00EB7862"/>
    <w:rsid w:val="00EC0C1E"/>
    <w:rsid w:val="00EC0F70"/>
    <w:rsid w:val="00EC13DC"/>
    <w:rsid w:val="00EC4246"/>
    <w:rsid w:val="00EC49FC"/>
    <w:rsid w:val="00EC5250"/>
    <w:rsid w:val="00ED70D1"/>
    <w:rsid w:val="00EE1847"/>
    <w:rsid w:val="00EE1ADD"/>
    <w:rsid w:val="00EE1E7C"/>
    <w:rsid w:val="00EE42C1"/>
    <w:rsid w:val="00EE4854"/>
    <w:rsid w:val="00EE6729"/>
    <w:rsid w:val="00EF1D46"/>
    <w:rsid w:val="00EF3194"/>
    <w:rsid w:val="00EF3D97"/>
    <w:rsid w:val="00EF42AF"/>
    <w:rsid w:val="00EF4438"/>
    <w:rsid w:val="00EF48D5"/>
    <w:rsid w:val="00EF4B03"/>
    <w:rsid w:val="00EF4C9D"/>
    <w:rsid w:val="00F018A2"/>
    <w:rsid w:val="00F0333B"/>
    <w:rsid w:val="00F0590E"/>
    <w:rsid w:val="00F06AC0"/>
    <w:rsid w:val="00F07954"/>
    <w:rsid w:val="00F102E8"/>
    <w:rsid w:val="00F11648"/>
    <w:rsid w:val="00F17DF9"/>
    <w:rsid w:val="00F201C4"/>
    <w:rsid w:val="00F25194"/>
    <w:rsid w:val="00F25943"/>
    <w:rsid w:val="00F269B8"/>
    <w:rsid w:val="00F32903"/>
    <w:rsid w:val="00F34F78"/>
    <w:rsid w:val="00F35C37"/>
    <w:rsid w:val="00F413C0"/>
    <w:rsid w:val="00F44A2D"/>
    <w:rsid w:val="00F5102F"/>
    <w:rsid w:val="00F5188B"/>
    <w:rsid w:val="00F51E9B"/>
    <w:rsid w:val="00F548CC"/>
    <w:rsid w:val="00F564E2"/>
    <w:rsid w:val="00F640F1"/>
    <w:rsid w:val="00F66C1B"/>
    <w:rsid w:val="00F73135"/>
    <w:rsid w:val="00F73AF3"/>
    <w:rsid w:val="00F75726"/>
    <w:rsid w:val="00F76D24"/>
    <w:rsid w:val="00F83A50"/>
    <w:rsid w:val="00F83DF0"/>
    <w:rsid w:val="00F9017B"/>
    <w:rsid w:val="00F9030E"/>
    <w:rsid w:val="00F918D7"/>
    <w:rsid w:val="00F957A4"/>
    <w:rsid w:val="00F95B58"/>
    <w:rsid w:val="00FA5895"/>
    <w:rsid w:val="00FA7AFB"/>
    <w:rsid w:val="00FB116E"/>
    <w:rsid w:val="00FB5377"/>
    <w:rsid w:val="00FC354A"/>
    <w:rsid w:val="00FC5E81"/>
    <w:rsid w:val="00FC61CD"/>
    <w:rsid w:val="00FC6877"/>
    <w:rsid w:val="00FD1E0A"/>
    <w:rsid w:val="00FD2AA7"/>
    <w:rsid w:val="00FD6CC8"/>
    <w:rsid w:val="00FE109D"/>
    <w:rsid w:val="00FE3BF5"/>
    <w:rsid w:val="00FE4A7D"/>
    <w:rsid w:val="00FE6DCC"/>
    <w:rsid w:val="00FF0B9E"/>
    <w:rsid w:val="00FF32DA"/>
    <w:rsid w:val="00FF6EBB"/>
    <w:rsid w:val="00FF78F2"/>
    <w:rsid w:val="0BC6B06C"/>
    <w:rsid w:val="0CA5132C"/>
    <w:rsid w:val="0F6642F6"/>
    <w:rsid w:val="0FB0FA15"/>
    <w:rsid w:val="2180555B"/>
    <w:rsid w:val="512AB7F1"/>
    <w:rsid w:val="6197B66B"/>
    <w:rsid w:val="6CC782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5120F6"/>
  <w15:docId w15:val="{E75D1A06-5ED1-4B9A-8399-2D2C9AAA6D5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535664"/>
    <w:pPr>
      <w:overflowPunct w:val="0"/>
      <w:autoSpaceDE w:val="0"/>
      <w:autoSpaceDN w:val="0"/>
      <w:adjustRightInd w:val="0"/>
      <w:textAlignment w:val="baseline"/>
    </w:pPr>
    <w:rPr>
      <w:rFonts w:ascii="Verdana" w:hAnsi="Verdana" w:cs="Courier New"/>
      <w:sz w:val="18"/>
      <w:lang w:val="nl-NL" w:eastAsia="nl-NL"/>
    </w:rPr>
  </w:style>
  <w:style w:type="paragraph" w:styleId="Kop1">
    <w:name w:val="heading 1"/>
    <w:basedOn w:val="Standaard"/>
    <w:next w:val="Standaard"/>
    <w:link w:val="Kop1Char"/>
    <w:uiPriority w:val="9"/>
    <w:qFormat/>
    <w:rsid w:val="0050284D"/>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Kop3">
    <w:name w:val="heading 3"/>
    <w:basedOn w:val="Standaard"/>
    <w:next w:val="Standaard"/>
    <w:qFormat/>
    <w:rsid w:val="004D3E1D"/>
    <w:pPr>
      <w:keepNext/>
      <w:spacing w:before="240" w:after="60"/>
      <w:outlineLvl w:val="2"/>
    </w:pPr>
    <w:rPr>
      <w:rFonts w:ascii="Arial" w:hAnsi="Arial" w:cs="Arial"/>
      <w:b/>
      <w:bCs/>
      <w:sz w:val="26"/>
      <w:szCs w:val="26"/>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rsid w:val="003E5923"/>
    <w:pPr>
      <w:tabs>
        <w:tab w:val="center" w:pos="4536"/>
        <w:tab w:val="right" w:pos="9072"/>
      </w:tabs>
    </w:pPr>
  </w:style>
  <w:style w:type="paragraph" w:styleId="Voettekst">
    <w:name w:val="footer"/>
    <w:basedOn w:val="Standaard"/>
    <w:link w:val="VoettekstChar"/>
    <w:uiPriority w:val="99"/>
    <w:rsid w:val="003E5923"/>
    <w:pPr>
      <w:tabs>
        <w:tab w:val="center" w:pos="4536"/>
        <w:tab w:val="right" w:pos="9072"/>
      </w:tabs>
    </w:pPr>
  </w:style>
  <w:style w:type="character" w:styleId="Paginanummer">
    <w:name w:val="page number"/>
    <w:basedOn w:val="Standaardalinea-lettertype"/>
    <w:rsid w:val="003E5923"/>
  </w:style>
  <w:style w:type="paragraph" w:styleId="Normaalweb">
    <w:name w:val="Normal (Web)"/>
    <w:basedOn w:val="Standaard"/>
    <w:uiPriority w:val="99"/>
    <w:rsid w:val="003E5923"/>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sid w:val="003E5923"/>
    <w:rPr>
      <w:rFonts w:ascii="Tahoma" w:hAnsi="Tahoma" w:cs="Tahoma"/>
      <w:sz w:val="16"/>
      <w:szCs w:val="16"/>
    </w:rPr>
  </w:style>
  <w:style w:type="paragraph" w:styleId="Voetnoottekst">
    <w:name w:val="footnote text"/>
    <w:basedOn w:val="Standaard"/>
    <w:semiHidden/>
    <w:rsid w:val="003E5923"/>
  </w:style>
  <w:style w:type="character" w:styleId="Voetnootmarkering">
    <w:name w:val="footnote reference"/>
    <w:basedOn w:val="Standaardalinea-lettertype"/>
    <w:semiHidden/>
    <w:rsid w:val="003E5923"/>
    <w:rPr>
      <w:vertAlign w:val="superscript"/>
    </w:rPr>
  </w:style>
  <w:style w:type="character" w:styleId="Verwijzingopmerking">
    <w:name w:val="annotation reference"/>
    <w:basedOn w:val="Standaardalinea-lettertype"/>
    <w:uiPriority w:val="99"/>
    <w:semiHidden/>
    <w:rsid w:val="003E5923"/>
    <w:rPr>
      <w:sz w:val="16"/>
      <w:szCs w:val="16"/>
    </w:rPr>
  </w:style>
  <w:style w:type="paragraph" w:styleId="Tekstopmerking">
    <w:name w:val="annotation text"/>
    <w:basedOn w:val="Standaard"/>
    <w:link w:val="TekstopmerkingChar"/>
    <w:uiPriority w:val="99"/>
    <w:rsid w:val="003E5923"/>
  </w:style>
  <w:style w:type="paragraph" w:styleId="Onderwerpvanopmerking">
    <w:name w:val="annotation subject"/>
    <w:basedOn w:val="Tekstopmerking"/>
    <w:next w:val="Tekstopmerking"/>
    <w:semiHidden/>
    <w:rsid w:val="003E5923"/>
    <w:rPr>
      <w:b/>
      <w:bCs/>
    </w:rPr>
  </w:style>
  <w:style w:type="paragraph" w:styleId="teXt" w:customStyle="1">
    <w:name w:val="teXt"/>
    <w:basedOn w:val="Standaard"/>
    <w:rsid w:val="003E5923"/>
    <w:pPr>
      <w:overflowPunct/>
      <w:autoSpaceDE/>
      <w:autoSpaceDN/>
      <w:adjustRightInd/>
      <w:spacing w:before="260" w:line="260" w:lineRule="exact"/>
      <w:textAlignment w:val="auto"/>
    </w:pPr>
    <w:rPr>
      <w:rFonts w:ascii="Times" w:hAnsi="Times" w:cs="Times"/>
      <w:sz w:val="24"/>
      <w:szCs w:val="24"/>
      <w:lang w:val="nl"/>
    </w:rPr>
  </w:style>
  <w:style w:type="paragraph" w:styleId="Documentstructuur">
    <w:name w:val="Document Map"/>
    <w:basedOn w:val="Standaard"/>
    <w:semiHidden/>
    <w:rsid w:val="003E5923"/>
    <w:pPr>
      <w:shd w:val="clear" w:color="auto" w:fill="000080"/>
    </w:pPr>
    <w:rPr>
      <w:rFonts w:ascii="Tahoma" w:hAnsi="Tahoma" w:cs="Tahoma"/>
    </w:rPr>
  </w:style>
  <w:style w:type="paragraph" w:styleId="tabelheading2" w:customStyle="1">
    <w:name w:val="tabelheading2"/>
    <w:basedOn w:val="Standaard"/>
    <w:rsid w:val="003E5923"/>
    <w:pPr>
      <w:keepNext/>
      <w:keepLines/>
      <w:overflowPunct/>
      <w:autoSpaceDE/>
      <w:autoSpaceDN/>
      <w:adjustRightInd/>
      <w:spacing w:line="260" w:lineRule="exact"/>
      <w:textAlignment w:val="auto"/>
    </w:pPr>
    <w:rPr>
      <w:rFonts w:ascii="Times" w:hAnsi="Times" w:cs="Times"/>
      <w:i/>
      <w:iCs/>
      <w:sz w:val="24"/>
      <w:szCs w:val="24"/>
      <w:lang w:val="nl"/>
    </w:rPr>
  </w:style>
  <w:style w:type="paragraph" w:styleId="OpmaakprofielMeerdereniveausVet" w:customStyle="1">
    <w:name w:val="Opmaakprofiel Meerdere niveaus Vet"/>
    <w:basedOn w:val="Standaard"/>
    <w:rsid w:val="003E5923"/>
    <w:pPr>
      <w:numPr>
        <w:numId w:val="3"/>
      </w:numPr>
      <w:overflowPunct/>
      <w:autoSpaceDE/>
      <w:autoSpaceDN/>
      <w:adjustRightInd/>
      <w:spacing w:before="240" w:after="60"/>
      <w:textAlignment w:val="auto"/>
    </w:pPr>
    <w:rPr>
      <w:rFonts w:ascii="Arial" w:hAnsi="Arial" w:cs="Times New Roman"/>
      <w:b/>
      <w:szCs w:val="18"/>
    </w:rPr>
  </w:style>
  <w:style w:type="paragraph" w:styleId="Artikellid" w:customStyle="1">
    <w:name w:val="Artikellid"/>
    <w:basedOn w:val="OpmaakprofielMeerdereniveausVet"/>
    <w:rsid w:val="003E5923"/>
    <w:pPr>
      <w:numPr>
        <w:ilvl w:val="1"/>
      </w:numPr>
      <w:spacing w:before="120" w:after="0"/>
    </w:pPr>
    <w:rPr>
      <w:b w:val="0"/>
    </w:rPr>
  </w:style>
  <w:style w:type="character" w:styleId="VoettekstChar" w:customStyle="1">
    <w:name w:val="Voettekst Char"/>
    <w:basedOn w:val="Standaardalinea-lettertype"/>
    <w:link w:val="Voettekst"/>
    <w:uiPriority w:val="99"/>
    <w:rsid w:val="00913285"/>
    <w:rPr>
      <w:rFonts w:ascii="Courier New" w:hAnsi="Courier New" w:cs="Courier New"/>
      <w:lang w:val="nl-NL" w:eastAsia="nl-NL"/>
    </w:rPr>
  </w:style>
  <w:style w:type="character" w:styleId="Hyperlink">
    <w:name w:val="Hyperlink"/>
    <w:basedOn w:val="Standaardalinea-lettertype"/>
    <w:uiPriority w:val="99"/>
    <w:unhideWhenUsed/>
    <w:rsid w:val="00E40B69"/>
    <w:rPr>
      <w:color w:val="0000FF" w:themeColor="hyperlink"/>
      <w:u w:val="single"/>
    </w:rPr>
  </w:style>
  <w:style w:type="character" w:styleId="GevolgdeHyperlink">
    <w:name w:val="FollowedHyperlink"/>
    <w:basedOn w:val="Standaardalinea-lettertype"/>
    <w:uiPriority w:val="99"/>
    <w:semiHidden/>
    <w:unhideWhenUsed/>
    <w:rsid w:val="00E21BA5"/>
    <w:rPr>
      <w:color w:val="800080" w:themeColor="followedHyperlink"/>
      <w:u w:val="single"/>
    </w:rPr>
  </w:style>
  <w:style w:type="paragraph" w:styleId="Lijstalinea">
    <w:name w:val="List Paragraph"/>
    <w:basedOn w:val="Standaard"/>
    <w:link w:val="LijstalineaChar"/>
    <w:uiPriority w:val="34"/>
    <w:qFormat/>
    <w:rsid w:val="00495B26"/>
    <w:pPr>
      <w:ind w:left="720"/>
      <w:contextualSpacing/>
    </w:pPr>
  </w:style>
  <w:style w:type="character" w:styleId="Kop1Char" w:customStyle="1">
    <w:name w:val="Kop 1 Char"/>
    <w:basedOn w:val="Standaardalinea-lettertype"/>
    <w:link w:val="Kop1"/>
    <w:uiPriority w:val="9"/>
    <w:rsid w:val="0050284D"/>
    <w:rPr>
      <w:rFonts w:asciiTheme="majorHAnsi" w:hAnsiTheme="majorHAnsi" w:eastAsiaTheme="majorEastAsia" w:cstheme="majorBidi"/>
      <w:b/>
      <w:bCs/>
      <w:color w:val="365F91" w:themeColor="accent1" w:themeShade="BF"/>
      <w:sz w:val="28"/>
      <w:szCs w:val="28"/>
      <w:lang w:val="nl-NL" w:eastAsia="nl-NL"/>
    </w:rPr>
  </w:style>
  <w:style w:type="paragraph" w:styleId="Kopvaninhoudsopgave">
    <w:name w:val="TOC Heading"/>
    <w:basedOn w:val="Kop1"/>
    <w:next w:val="Standaard"/>
    <w:uiPriority w:val="39"/>
    <w:unhideWhenUsed/>
    <w:qFormat/>
    <w:rsid w:val="0050284D"/>
    <w:pPr>
      <w:overflowPunct/>
      <w:autoSpaceDE/>
      <w:autoSpaceDN/>
      <w:adjustRightInd/>
      <w:spacing w:line="276" w:lineRule="auto"/>
      <w:textAlignment w:val="auto"/>
      <w:outlineLvl w:val="9"/>
    </w:pPr>
    <w:rPr>
      <w:lang w:eastAsia="en-US"/>
    </w:rPr>
  </w:style>
  <w:style w:type="paragraph" w:styleId="Inhopg3">
    <w:name w:val="toc 3"/>
    <w:basedOn w:val="Standaard"/>
    <w:next w:val="Standaard"/>
    <w:autoRedefine/>
    <w:uiPriority w:val="39"/>
    <w:unhideWhenUsed/>
    <w:rsid w:val="0050284D"/>
    <w:pPr>
      <w:spacing w:after="100"/>
      <w:ind w:left="400"/>
    </w:pPr>
  </w:style>
  <w:style w:type="paragraph" w:styleId="Inhopg1">
    <w:name w:val="toc 1"/>
    <w:basedOn w:val="Standaard"/>
    <w:next w:val="Standaard"/>
    <w:autoRedefine/>
    <w:uiPriority w:val="39"/>
    <w:unhideWhenUsed/>
    <w:rsid w:val="0050284D"/>
    <w:pPr>
      <w:spacing w:after="100"/>
    </w:pPr>
  </w:style>
  <w:style w:type="character" w:styleId="Zwaar">
    <w:name w:val="Strong"/>
    <w:basedOn w:val="Standaardalinea-lettertype"/>
    <w:uiPriority w:val="22"/>
    <w:qFormat/>
    <w:rsid w:val="0050284D"/>
    <w:rPr>
      <w:b/>
      <w:bCs/>
    </w:rPr>
  </w:style>
  <w:style w:type="paragraph" w:styleId="Revisie">
    <w:name w:val="Revision"/>
    <w:hidden/>
    <w:uiPriority w:val="99"/>
    <w:semiHidden/>
    <w:rsid w:val="00FF0B9E"/>
    <w:rPr>
      <w:rFonts w:ascii="Verdana" w:hAnsi="Verdana" w:cs="Courier New"/>
      <w:sz w:val="18"/>
      <w:lang w:val="nl-NL" w:eastAsia="nl-NL"/>
    </w:rPr>
  </w:style>
  <w:style w:type="character" w:styleId="TekstopmerkingChar" w:customStyle="1">
    <w:name w:val="Tekst opmerking Char"/>
    <w:link w:val="Tekstopmerking"/>
    <w:uiPriority w:val="99"/>
    <w:rsid w:val="00C27FCA"/>
    <w:rPr>
      <w:rFonts w:ascii="Verdana" w:hAnsi="Verdana" w:cs="Courier New"/>
      <w:sz w:val="18"/>
      <w:lang w:val="nl-NL" w:eastAsia="nl-NL"/>
    </w:rPr>
  </w:style>
  <w:style w:type="table" w:styleId="Tabelraster">
    <w:name w:val="Table Grid"/>
    <w:basedOn w:val="Standaardtabel"/>
    <w:uiPriority w:val="59"/>
    <w:rsid w:val="00B23CD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mobile-undersized-upper" w:customStyle="1">
    <w:name w:val="mobile-undersized-upper"/>
    <w:basedOn w:val="Standaard"/>
    <w:rsid w:val="00EF42AF"/>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styleId="textnormal" w:customStyle="1">
    <w:name w:val="textnormal"/>
    <w:basedOn w:val="Standaardalinea-lettertype"/>
    <w:rsid w:val="00EF42AF"/>
  </w:style>
  <w:style w:type="character" w:styleId="cf01" w:customStyle="1">
    <w:name w:val="cf01"/>
    <w:basedOn w:val="Standaardalinea-lettertype"/>
    <w:rsid w:val="008116FC"/>
    <w:rPr>
      <w:rFonts w:hint="default" w:ascii="Segoe UI" w:hAnsi="Segoe UI" w:cs="Segoe UI"/>
      <w:sz w:val="18"/>
      <w:szCs w:val="18"/>
    </w:rPr>
  </w:style>
  <w:style w:type="character" w:styleId="Tekstvantijdelijkeaanduiding">
    <w:name w:val="Placeholder Text"/>
    <w:basedOn w:val="Standaardalinea-lettertype"/>
    <w:uiPriority w:val="99"/>
    <w:semiHidden/>
    <w:rsid w:val="00471AA7"/>
    <w:rPr>
      <w:color w:val="666666"/>
    </w:rPr>
  </w:style>
  <w:style w:type="character" w:styleId="KoptekstChar" w:customStyle="1">
    <w:name w:val="Koptekst Char"/>
    <w:basedOn w:val="Standaardalinea-lettertype"/>
    <w:link w:val="Koptekst"/>
    <w:rsid w:val="00086D3E"/>
    <w:rPr>
      <w:rFonts w:ascii="Verdana" w:hAnsi="Verdana" w:cs="Courier New"/>
      <w:sz w:val="18"/>
      <w:lang w:val="nl-NL" w:eastAsia="nl-NL"/>
    </w:rPr>
  </w:style>
  <w:style w:type="paragraph" w:styleId="Kopzondernummering" w:customStyle="1">
    <w:name w:val="Kop zonder nummering"/>
    <w:basedOn w:val="Standaard"/>
    <w:next w:val="Standaard"/>
    <w:rsid w:val="00086D3E"/>
    <w:pPr>
      <w:overflowPunct/>
      <w:autoSpaceDE/>
      <w:autoSpaceDN/>
      <w:adjustRightInd/>
      <w:spacing w:after="700" w:line="300" w:lineRule="atLeast"/>
      <w:contextualSpacing/>
      <w:textAlignment w:val="auto"/>
    </w:pPr>
    <w:rPr>
      <w:rFonts w:cs="Times New Roman"/>
      <w:sz w:val="24"/>
      <w:szCs w:val="24"/>
    </w:rPr>
  </w:style>
  <w:style w:type="character" w:styleId="Huisstijl-Koptekst" w:customStyle="1">
    <w:name w:val="Huisstijl-Koptekst"/>
    <w:rsid w:val="00086D3E"/>
    <w:rPr>
      <w:rFonts w:hint="default" w:ascii="Verdana" w:hAnsi="Verdana"/>
      <w:strike w:val="0"/>
      <w:dstrike w:val="0"/>
      <w:sz w:val="13"/>
      <w:u w:val="none"/>
      <w:effect w:val="none"/>
      <w:vertAlign w:val="baseline"/>
    </w:rPr>
  </w:style>
  <w:style w:type="paragraph" w:styleId="Geenafstand">
    <w:name w:val="No Spacing"/>
    <w:uiPriority w:val="1"/>
    <w:qFormat/>
    <w:rsid w:val="003D7909"/>
    <w:rPr>
      <w:rFonts w:ascii="Calibri" w:hAnsi="Calibri" w:eastAsia="Calibri"/>
      <w:sz w:val="22"/>
      <w:szCs w:val="22"/>
    </w:rPr>
  </w:style>
  <w:style w:type="character" w:styleId="y2iqfc" w:customStyle="1">
    <w:name w:val="y2iqfc"/>
    <w:basedOn w:val="Standaardalinea-lettertype"/>
    <w:rsid w:val="003D7909"/>
  </w:style>
  <w:style w:type="character" w:styleId="LijstalineaChar" w:customStyle="1">
    <w:name w:val="Lijstalinea Char"/>
    <w:basedOn w:val="Standaardalinea-lettertype"/>
    <w:link w:val="Lijstalinea"/>
    <w:uiPriority w:val="34"/>
    <w:locked/>
    <w:rsid w:val="003D7909"/>
    <w:rPr>
      <w:rFonts w:ascii="Verdana" w:hAnsi="Verdana" w:cs="Courier New"/>
      <w:sz w:val="18"/>
      <w:lang w:val="nl-NL" w:eastAsia="nl-NL"/>
    </w:rPr>
  </w:style>
  <w:style w:type="paragraph" w:styleId="HoofdtekstA" w:customStyle="1">
    <w:name w:val="Hoofdtekst A"/>
    <w:rsid w:val="003D7909"/>
    <w:pPr>
      <w:pBdr>
        <w:top w:val="nil"/>
        <w:left w:val="nil"/>
        <w:bottom w:val="nil"/>
        <w:right w:val="nil"/>
        <w:between w:val="nil"/>
        <w:bar w:val="nil"/>
      </w:pBdr>
    </w:pPr>
    <w:rPr>
      <w:rFonts w:ascii="Helvetica" w:hAnsi="Helvetica" w:eastAsia="Arial Unicode MS" w:cs="Arial Unicode MS"/>
      <w:color w:val="000000"/>
      <w:sz w:val="22"/>
      <w:szCs w:val="22"/>
      <w:u w:color="000000"/>
      <w:bdr w:val="nil"/>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315516">
      <w:bodyDiv w:val="1"/>
      <w:marLeft w:val="0"/>
      <w:marRight w:val="0"/>
      <w:marTop w:val="0"/>
      <w:marBottom w:val="0"/>
      <w:divBdr>
        <w:top w:val="none" w:sz="0" w:space="0" w:color="auto"/>
        <w:left w:val="none" w:sz="0" w:space="0" w:color="auto"/>
        <w:bottom w:val="none" w:sz="0" w:space="0" w:color="auto"/>
        <w:right w:val="none" w:sz="0" w:space="0" w:color="auto"/>
      </w:divBdr>
    </w:div>
    <w:div w:id="747188728">
      <w:bodyDiv w:val="1"/>
      <w:marLeft w:val="0"/>
      <w:marRight w:val="0"/>
      <w:marTop w:val="0"/>
      <w:marBottom w:val="0"/>
      <w:divBdr>
        <w:top w:val="none" w:sz="0" w:space="0" w:color="auto"/>
        <w:left w:val="none" w:sz="0" w:space="0" w:color="auto"/>
        <w:bottom w:val="none" w:sz="0" w:space="0" w:color="auto"/>
        <w:right w:val="none" w:sz="0" w:space="0" w:color="auto"/>
      </w:divBdr>
    </w:div>
    <w:div w:id="967784785">
      <w:bodyDiv w:val="1"/>
      <w:marLeft w:val="0"/>
      <w:marRight w:val="0"/>
      <w:marTop w:val="0"/>
      <w:marBottom w:val="0"/>
      <w:divBdr>
        <w:top w:val="none" w:sz="0" w:space="0" w:color="auto"/>
        <w:left w:val="none" w:sz="0" w:space="0" w:color="auto"/>
        <w:bottom w:val="none" w:sz="0" w:space="0" w:color="auto"/>
        <w:right w:val="none" w:sz="0" w:space="0" w:color="auto"/>
      </w:divBdr>
    </w:div>
    <w:div w:id="1009866667">
      <w:bodyDiv w:val="1"/>
      <w:marLeft w:val="0"/>
      <w:marRight w:val="0"/>
      <w:marTop w:val="0"/>
      <w:marBottom w:val="0"/>
      <w:divBdr>
        <w:top w:val="none" w:sz="0" w:space="0" w:color="auto"/>
        <w:left w:val="none" w:sz="0" w:space="0" w:color="auto"/>
        <w:bottom w:val="none" w:sz="0" w:space="0" w:color="auto"/>
        <w:right w:val="none" w:sz="0" w:space="0" w:color="auto"/>
      </w:divBdr>
    </w:div>
    <w:div w:id="1404915019">
      <w:bodyDiv w:val="1"/>
      <w:marLeft w:val="0"/>
      <w:marRight w:val="0"/>
      <w:marTop w:val="0"/>
      <w:marBottom w:val="0"/>
      <w:divBdr>
        <w:top w:val="none" w:sz="0" w:space="0" w:color="auto"/>
        <w:left w:val="none" w:sz="0" w:space="0" w:color="auto"/>
        <w:bottom w:val="none" w:sz="0" w:space="0" w:color="auto"/>
        <w:right w:val="none" w:sz="0" w:space="0" w:color="auto"/>
      </w:divBdr>
    </w:div>
    <w:div w:id="2002808950">
      <w:bodyDiv w:val="1"/>
      <w:marLeft w:val="0"/>
      <w:marRight w:val="0"/>
      <w:marTop w:val="0"/>
      <w:marBottom w:val="0"/>
      <w:divBdr>
        <w:top w:val="none" w:sz="0" w:space="0" w:color="auto"/>
        <w:left w:val="none" w:sz="0" w:space="0" w:color="auto"/>
        <w:bottom w:val="none" w:sz="0" w:space="0" w:color="auto"/>
        <w:right w:val="none" w:sz="0" w:space="0" w:color="auto"/>
      </w:divBdr>
    </w:div>
    <w:div w:id="2045515641">
      <w:bodyDiv w:val="1"/>
      <w:marLeft w:val="0"/>
      <w:marRight w:val="0"/>
      <w:marTop w:val="0"/>
      <w:marBottom w:val="0"/>
      <w:divBdr>
        <w:top w:val="none" w:sz="0" w:space="0" w:color="auto"/>
        <w:left w:val="none" w:sz="0" w:space="0" w:color="auto"/>
        <w:bottom w:val="none" w:sz="0" w:space="0" w:color="auto"/>
        <w:right w:val="none" w:sz="0" w:space="0" w:color="auto"/>
      </w:divBdr>
      <w:divsChild>
        <w:div w:id="235752910">
          <w:marLeft w:val="0"/>
          <w:marRight w:val="0"/>
          <w:marTop w:val="0"/>
          <w:marBottom w:val="0"/>
          <w:divBdr>
            <w:top w:val="none" w:sz="0" w:space="0" w:color="auto"/>
            <w:left w:val="none" w:sz="0" w:space="0" w:color="auto"/>
            <w:bottom w:val="none" w:sz="0" w:space="0" w:color="auto"/>
            <w:right w:val="none" w:sz="0" w:space="0" w:color="auto"/>
          </w:divBdr>
        </w:div>
        <w:div w:id="517427430">
          <w:marLeft w:val="0"/>
          <w:marRight w:val="0"/>
          <w:marTop w:val="0"/>
          <w:marBottom w:val="0"/>
          <w:divBdr>
            <w:top w:val="none" w:sz="0" w:space="0" w:color="auto"/>
            <w:left w:val="none" w:sz="0" w:space="0" w:color="auto"/>
            <w:bottom w:val="none" w:sz="0" w:space="0" w:color="auto"/>
            <w:right w:val="none" w:sz="0" w:space="0" w:color="auto"/>
          </w:divBdr>
        </w:div>
        <w:div w:id="537165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header" Target="header4.xml" Id="rId21"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mailto:PbFG@minezk.nl"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3.xml" Id="rId14" /><Relationship Type="http://schemas.openxmlformats.org/officeDocument/2006/relationships/footer" Target="footer6.xml" Id="rId22" /><Relationship Type="http://schemas.openxmlformats.org/officeDocument/2006/relationships/hyperlink" Target="https://www.bio-overheid.nl/category/producten/" TargetMode="External" Id="R5d9c1f18584a4f2d"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9379986F86AE4488A77B48E7AD2771" ma:contentTypeVersion="3" ma:contentTypeDescription="Een nieuw document maken." ma:contentTypeScope="" ma:versionID="187adc21e26f86040949026b7387fb91">
  <xsd:schema xmlns:xsd="http://www.w3.org/2001/XMLSchema" xmlns:xs="http://www.w3.org/2001/XMLSchema" xmlns:p="http://schemas.microsoft.com/office/2006/metadata/properties" xmlns:ns2="d8a941fc-e9c3-4bf2-9228-fc18a86f01a3" targetNamespace="http://schemas.microsoft.com/office/2006/metadata/properties" ma:root="true" ma:fieldsID="375d59ff7b98d047a933f041d6437237" ns2:_="">
    <xsd:import namespace="d8a941fc-e9c3-4bf2-9228-fc18a86f01a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941fc-e9c3-4bf2-9228-fc18a86f01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4A0D60-A70F-47AD-8132-20B0EADB935C}">
  <ds:schemaRefs>
    <ds:schemaRef ds:uri="http://schemas.microsoft.com/office/infopath/2007/PartnerControls"/>
    <ds:schemaRef ds:uri="5fc56dde-e782-4971-bb42-c5744d0433b6"/>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C3EA09E5-D388-4A53-9F11-EFD9E1344449}"/>
</file>

<file path=customXml/itemProps3.xml><?xml version="1.0" encoding="utf-8"?>
<ds:datastoreItem xmlns:ds="http://schemas.openxmlformats.org/officeDocument/2006/customXml" ds:itemID="{9F90D63A-4CCF-45A2-95BE-A36DDFC2F471}">
  <ds:schemaRefs>
    <ds:schemaRef ds:uri="http://schemas.microsoft.com/sharepoint/v3/contenttype/forms"/>
  </ds:schemaRefs>
</ds:datastoreItem>
</file>

<file path=customXml/itemProps4.xml><?xml version="1.0" encoding="utf-8"?>
<ds:datastoreItem xmlns:ds="http://schemas.openxmlformats.org/officeDocument/2006/customXml" ds:itemID="{249B30F7-2264-428F-B3CB-70E15911A37D}">
  <ds:schemaRefs>
    <ds:schemaRef ds:uri="http://schemas.openxmlformats.org/officeDocument/2006/bibliography"/>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Min. van BZK</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MODEL SERVICE LEVEL AGREEMENT ARVODI</dc:title>
  <dc:subject/>
  <dc:creator>Irene Dille</dc:creator>
  <keywords/>
  <lastModifiedBy>Stoutjesdijk, Q.W.E. (Quintin)</lastModifiedBy>
  <revision>6</revision>
  <lastPrinted>2017-09-20T11:43:00.0000000Z</lastPrinted>
  <dcterms:created xsi:type="dcterms:W3CDTF">2025-09-12T12:44:00.0000000Z</dcterms:created>
  <dcterms:modified xsi:type="dcterms:W3CDTF">2025-09-15T10:36:31.6650002Z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3066b717,2da01ea1,b40f616</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ContentTypeId">
    <vt:lpwstr>0x0101008A9379986F86AE4488A77B48E7AD2771</vt:lpwstr>
  </property>
</Properties>
</file>