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00C3" w14:textId="0626AD75" w:rsidR="00F2046C" w:rsidRPr="00F2046C" w:rsidRDefault="00F2046C" w:rsidP="00F2046C">
      <w:pPr>
        <w:rPr>
          <w:b/>
          <w:bCs/>
        </w:rPr>
      </w:pPr>
      <w:r w:rsidRPr="00F2046C">
        <w:rPr>
          <w:b/>
          <w:bCs/>
        </w:rPr>
        <w:t xml:space="preserve">Aanbestedingsleidraad kunststof valondergronden speeltuinen gemeente Elburg </w:t>
      </w:r>
      <w:r w:rsidR="00D12953">
        <w:rPr>
          <w:b/>
          <w:bCs/>
        </w:rPr>
        <w:t>TN544039</w:t>
      </w:r>
    </w:p>
    <w:p w14:paraId="7399B3B0" w14:textId="77777777" w:rsidR="00F2046C" w:rsidRDefault="00F2046C" w:rsidP="00F2046C">
      <w:r w:rsidRPr="00F2046C">
        <w:rPr>
          <w:i/>
          <w:iCs/>
        </w:rPr>
        <w:t xml:space="preserve">Omschrijving Opdracht(gever) </w:t>
      </w:r>
    </w:p>
    <w:p w14:paraId="1B0FDAD8" w14:textId="77777777" w:rsidR="00F2046C" w:rsidRDefault="00F2046C" w:rsidP="00F2046C"/>
    <w:p w14:paraId="29194009" w14:textId="4801A263" w:rsidR="00F2046C" w:rsidRPr="00F2046C" w:rsidRDefault="00F2046C" w:rsidP="00F2046C">
      <w:r w:rsidRPr="00F2046C">
        <w:rPr>
          <w:u w:val="single"/>
        </w:rPr>
        <w:t xml:space="preserve">1.1 Beschrijving Opdrachtgever </w:t>
      </w:r>
    </w:p>
    <w:p w14:paraId="7EEAF95C" w14:textId="44433F6B" w:rsidR="00F2046C" w:rsidRDefault="00F2046C" w:rsidP="00F2046C">
      <w:r>
        <w:t xml:space="preserve">De opdrachtgever is de gemeente Elburg. De gemeente Elburg bestaat uit 5 kernen, Elburg, Doornspijk, ’t Harde, Hoge Enk en Oostendorp. </w:t>
      </w:r>
    </w:p>
    <w:p w14:paraId="7EE05902" w14:textId="77777777" w:rsidR="00F2046C" w:rsidRDefault="00F2046C" w:rsidP="00F2046C"/>
    <w:p w14:paraId="790E2D2F" w14:textId="484E752A" w:rsidR="00F2046C" w:rsidRDefault="00F2046C" w:rsidP="001F642C">
      <w:r>
        <w:t xml:space="preserve">De gemeente Elburg heeft ongeveer 24.000 inwoners en is bijna 66 ha groot. In de gemeente Elburg liggen ongeveer </w:t>
      </w:r>
      <w:r w:rsidR="00043833">
        <w:t>70 speelplekken. Bijna de helft heeft een kunstgrasondergrond</w:t>
      </w:r>
      <w:r w:rsidR="001F642C">
        <w:t>en</w:t>
      </w:r>
      <w:r w:rsidR="00043833">
        <w:t xml:space="preserve">, de andere helft heeft houtsnippers als ondergrond. </w:t>
      </w:r>
    </w:p>
    <w:p w14:paraId="48779C7B" w14:textId="77777777" w:rsidR="001F642C" w:rsidRPr="00F2046C" w:rsidRDefault="001F642C" w:rsidP="001F642C"/>
    <w:p w14:paraId="669DAEE0" w14:textId="3A1C9195" w:rsidR="00043833" w:rsidRPr="00F2317F" w:rsidRDefault="00043833" w:rsidP="00F2046C">
      <w:pPr>
        <w:rPr>
          <w:u w:val="single"/>
        </w:rPr>
      </w:pPr>
      <w:r w:rsidRPr="00F2317F">
        <w:rPr>
          <w:u w:val="single"/>
        </w:rPr>
        <w:t xml:space="preserve">1.2 </w:t>
      </w:r>
      <w:r w:rsidR="00F2317F" w:rsidRPr="00F2317F">
        <w:rPr>
          <w:u w:val="single"/>
        </w:rPr>
        <w:t xml:space="preserve">Beschrijving van de opdracht. </w:t>
      </w:r>
    </w:p>
    <w:p w14:paraId="6A37F32E" w14:textId="01C80976" w:rsidR="00043833" w:rsidRDefault="00043833" w:rsidP="00F2046C">
      <w:r>
        <w:t>Het doel van de opdracht is het afsluiten van een raamovereenkomst voor het leveren, plaatsen en onderhouden van</w:t>
      </w:r>
      <w:r w:rsidR="001F642C">
        <w:t xml:space="preserve"> de bestaande en nieuwe k</w:t>
      </w:r>
      <w:r>
        <w:t xml:space="preserve">unstgrasvalondergronden voor een periode van maximaal 10 jaar, inclusief de daarbij behorende werkzaamheden. </w:t>
      </w:r>
    </w:p>
    <w:p w14:paraId="1DBE9974" w14:textId="7C51F7EC" w:rsidR="00B34AC4" w:rsidRDefault="00B34AC4" w:rsidP="00F2046C">
      <w:r>
        <w:t xml:space="preserve">De opdracht betreft een looptijd van 6 jaar met twee keer een optie van twee jaar verlenging. </w:t>
      </w:r>
    </w:p>
    <w:p w14:paraId="4EA395BA" w14:textId="5ABAF19D" w:rsidR="001F642C" w:rsidRDefault="001F642C" w:rsidP="00F2046C"/>
    <w:p w14:paraId="7155EE22" w14:textId="6068B9BE" w:rsidR="001F642C" w:rsidRPr="00043833" w:rsidRDefault="001F642C" w:rsidP="00F2046C">
      <w:r>
        <w:t xml:space="preserve">De speeltuinen met houtsnippersondergronden willen we stap voor stap vervangen voor kunstgrasvalondergronden. Dit doen we vaak als (bijna) alle speeltoestellen vervangen worden. Dan renoveren we de gehele speeltuin. Soms vervangen we ook alleen de ondergronden, als de speeltoestellen nog goed zijn. </w:t>
      </w:r>
    </w:p>
    <w:p w14:paraId="2D621DC8" w14:textId="77777777" w:rsidR="00043833" w:rsidRDefault="00043833" w:rsidP="00F2046C">
      <w:pPr>
        <w:rPr>
          <w:b/>
          <w:bCs/>
        </w:rPr>
      </w:pPr>
    </w:p>
    <w:p w14:paraId="06C5612F" w14:textId="4A4AA9D5" w:rsidR="00F2046C" w:rsidRPr="00F2046C" w:rsidRDefault="00F2046C" w:rsidP="00F2046C">
      <w:pPr>
        <w:rPr>
          <w:i/>
          <w:iCs/>
        </w:rPr>
      </w:pPr>
      <w:r w:rsidRPr="00F2046C">
        <w:rPr>
          <w:i/>
          <w:iCs/>
        </w:rPr>
        <w:t xml:space="preserve">Aard en omvang </w:t>
      </w:r>
    </w:p>
    <w:p w14:paraId="4433CE39" w14:textId="49BCA1C9" w:rsidR="00043833" w:rsidRDefault="00043833" w:rsidP="00F2046C">
      <w:r>
        <w:t xml:space="preserve">De aantallen in het prijzenformulier is ongeveer het gemiddeld aantal m2 kunstgras wat we de afgelopen drie jaar hebben vervangen. Ook is dit ingevuld voor het aantal m2 bestrating en dergelijke. Dit geeft een indicatie van hoeveel werk er jaarlijks te verwachten is. </w:t>
      </w:r>
    </w:p>
    <w:p w14:paraId="3F1B1D31" w14:textId="77777777" w:rsidR="00C75610" w:rsidRDefault="00C75610" w:rsidP="00F2046C"/>
    <w:p w14:paraId="22772E25" w14:textId="25DF4BB0" w:rsidR="00C75610" w:rsidRDefault="00C75610" w:rsidP="00F2046C">
      <w:r>
        <w:t xml:space="preserve">Op dit moment heeft de gemeente Elburg 7598m2 kunstgrasvalondergronden in het beheer. Voor deze m2 dient jaarlijks de controles en het groot onderhoud uitgevoerd te worden. </w:t>
      </w:r>
    </w:p>
    <w:p w14:paraId="1B819C55" w14:textId="77777777" w:rsidR="001F642C" w:rsidRDefault="001F642C" w:rsidP="00F2046C"/>
    <w:p w14:paraId="7EB48B08" w14:textId="4D0E52BF" w:rsidR="001F642C" w:rsidRPr="00B34AC4" w:rsidRDefault="001F642C" w:rsidP="00F2046C">
      <w:pPr>
        <w:rPr>
          <w:u w:val="single"/>
        </w:rPr>
      </w:pPr>
      <w:r w:rsidRPr="00B34AC4">
        <w:rPr>
          <w:u w:val="single"/>
        </w:rPr>
        <w:t>1.3 Digitaal aanbesteden</w:t>
      </w:r>
      <w:r w:rsidR="00B34AC4">
        <w:rPr>
          <w:u w:val="single"/>
        </w:rPr>
        <w:t xml:space="preserve"> en planning</w:t>
      </w:r>
    </w:p>
    <w:p w14:paraId="0D7E23A7" w14:textId="7357A92E" w:rsidR="00F2046C" w:rsidRPr="00F2046C" w:rsidRDefault="00F2046C" w:rsidP="00F2046C">
      <w:r w:rsidRPr="00F2046C">
        <w:t>Deze aanbesteding zal digitaal plaats vinden middels een online aanbesteding</w:t>
      </w:r>
      <w:r w:rsidR="00B34AC4">
        <w:t xml:space="preserve"> op Tenderned. Hier vindt u ook de planning. </w:t>
      </w:r>
      <w:r w:rsidRPr="00F2046C">
        <w:t xml:space="preserve"> </w:t>
      </w:r>
    </w:p>
    <w:p w14:paraId="34129E1E" w14:textId="77777777" w:rsidR="001F642C" w:rsidRDefault="001F642C" w:rsidP="00F2046C"/>
    <w:p w14:paraId="23B5C5BC" w14:textId="6B08B0ED" w:rsidR="001F642C" w:rsidRPr="00B34AC4" w:rsidRDefault="001F642C" w:rsidP="00F2046C">
      <w:pPr>
        <w:rPr>
          <w:u w:val="single"/>
        </w:rPr>
      </w:pPr>
      <w:r w:rsidRPr="00B34AC4">
        <w:rPr>
          <w:u w:val="single"/>
        </w:rPr>
        <w:t>1.4 De overeenkomst</w:t>
      </w:r>
    </w:p>
    <w:p w14:paraId="4CBED455" w14:textId="725496C9" w:rsidR="00B34AC4" w:rsidRDefault="001F642C" w:rsidP="00F2046C">
      <w:r w:rsidRPr="00D12953">
        <w:t xml:space="preserve">De opdracht betreft een raamovereenkomst voor het leveren, plaatsen en onderhouden van de nieuwe en bestaande kunstgrasvalondergronden. </w:t>
      </w:r>
      <w:r w:rsidR="00B34AC4" w:rsidRPr="00D12953">
        <w:t xml:space="preserve">De uitvoering van de opdracht is gepland vanaf het moment van inwerkingtreding van de raamovereenkomst. Dit zal zijn per </w:t>
      </w:r>
      <w:r w:rsidR="00D12953" w:rsidRPr="00D12953">
        <w:t>16 december 2025</w:t>
      </w:r>
      <w:r w:rsidR="00B34AC4" w:rsidRPr="00D12953">
        <w:t xml:space="preserve"> met een initiële einddatum van</w:t>
      </w:r>
      <w:r w:rsidR="00D12953" w:rsidRPr="00D12953">
        <w:t xml:space="preserve"> 15 december 2031</w:t>
      </w:r>
      <w:r w:rsidR="00B34AC4" w:rsidRPr="00D12953">
        <w:t xml:space="preserve"> en met tweemaal de optie tot eenzijdige verlenging door de Opdrachtgever met 2 jaar, tot uiterlijk</w:t>
      </w:r>
      <w:r w:rsidR="00D12953" w:rsidRPr="00D12953">
        <w:t xml:space="preserve"> 15 december 2035</w:t>
      </w:r>
    </w:p>
    <w:p w14:paraId="4443FDA7" w14:textId="77777777" w:rsidR="00B34AC4" w:rsidRDefault="00B34AC4" w:rsidP="00F2046C"/>
    <w:p w14:paraId="65153503" w14:textId="0A90222C" w:rsidR="00B34AC4" w:rsidRPr="000B370A" w:rsidRDefault="00B34AC4" w:rsidP="00F2046C">
      <w:pPr>
        <w:rPr>
          <w:u w:val="single"/>
        </w:rPr>
      </w:pPr>
      <w:r w:rsidRPr="000B370A">
        <w:rPr>
          <w:u w:val="single"/>
        </w:rPr>
        <w:t xml:space="preserve">2.1 Aanbestedingsprocedure </w:t>
      </w:r>
    </w:p>
    <w:p w14:paraId="4FAE76A3" w14:textId="6341F21C" w:rsidR="00F2046C" w:rsidRPr="00F2046C" w:rsidRDefault="00B34AC4" w:rsidP="00F2046C">
      <w:r>
        <w:t>A</w:t>
      </w:r>
      <w:r w:rsidR="00F2046C" w:rsidRPr="00F2046C">
        <w:t xml:space="preserve">angezien de verwachte opdrachtsom van de Raamovereenkomst tot het einde van de looptijd boven de drempel van € 221.000,-- ligt, heeft Opdrachtgever gekozen voor de Europees openbare aanbesteding. </w:t>
      </w:r>
    </w:p>
    <w:p w14:paraId="730A3037" w14:textId="77777777" w:rsidR="00F2046C" w:rsidRDefault="00F2046C" w:rsidP="00F2046C">
      <w:r w:rsidRPr="00F2046C">
        <w:t>De Europese openbare procedure houdt in dat iedere geïnteresseerde, waarop geen van de uitsluitingsgronden van toepassing is en voldoet aan de gestelde eisen, een Inschrijving mag indienen en mag meedingen naar gunning van de Opdracht. De Inschrijvers dienen zich te realiseren dat hun aanbod éénmalig en definitief is met de Inschrijving die wordt ingediend. De openbare procedure</w:t>
      </w:r>
      <w:r w:rsidRPr="00F2046C">
        <w:rPr>
          <w:b/>
          <w:bCs/>
        </w:rPr>
        <w:t xml:space="preserve"> </w:t>
      </w:r>
      <w:r w:rsidRPr="00F2046C">
        <w:t xml:space="preserve">biedt géén ruimte voor het voeren van onderhandelingsgesprekken. </w:t>
      </w:r>
    </w:p>
    <w:p w14:paraId="298DC82E" w14:textId="77777777" w:rsidR="00B34AC4" w:rsidRDefault="00B34AC4" w:rsidP="00F2046C"/>
    <w:p w14:paraId="609F2D62" w14:textId="7ABF8806" w:rsidR="00B34AC4" w:rsidRPr="000B370A" w:rsidRDefault="00B34AC4" w:rsidP="00F2046C">
      <w:pPr>
        <w:rPr>
          <w:u w:val="single"/>
        </w:rPr>
      </w:pPr>
      <w:r w:rsidRPr="000B370A">
        <w:rPr>
          <w:u w:val="single"/>
        </w:rPr>
        <w:t>2.2 Communicatie</w:t>
      </w:r>
    </w:p>
    <w:p w14:paraId="3FC24F97" w14:textId="5F7C0D0E" w:rsidR="00B34AC4" w:rsidRDefault="00B34AC4" w:rsidP="00F2046C">
      <w:r>
        <w:t xml:space="preserve">Alle communicatie verloopt via Tenderned. </w:t>
      </w:r>
    </w:p>
    <w:p w14:paraId="01536787" w14:textId="6F879232" w:rsidR="00D12953" w:rsidRDefault="00D12953" w:rsidP="00F2046C">
      <w:r>
        <w:t>TN544039</w:t>
      </w:r>
    </w:p>
    <w:p w14:paraId="7E519E99" w14:textId="77777777" w:rsidR="00B34AC4" w:rsidRPr="00F2046C" w:rsidRDefault="00B34AC4" w:rsidP="00F2046C"/>
    <w:p w14:paraId="46EEB91F" w14:textId="77777777" w:rsidR="00F2046C" w:rsidRPr="00F2046C" w:rsidRDefault="00F2046C" w:rsidP="00F2046C">
      <w:pPr>
        <w:rPr>
          <w:i/>
          <w:iCs/>
        </w:rPr>
      </w:pPr>
      <w:r w:rsidRPr="00F2046C">
        <w:rPr>
          <w:i/>
          <w:iCs/>
        </w:rPr>
        <w:t xml:space="preserve">Nota van Inlichtingen </w:t>
      </w:r>
    </w:p>
    <w:p w14:paraId="4F40C209" w14:textId="77777777" w:rsidR="00F2046C" w:rsidRPr="00F2046C" w:rsidRDefault="00F2046C" w:rsidP="00F2046C">
      <w:r w:rsidRPr="00F2046C">
        <w:t xml:space="preserve">Er is ten behoeve van deze aanbesteding één vragenronde gepland. Derhalve wordt van Inschrijvers een proactieve en zorgvuldige houding verwacht. Vragen kunnen uiterlijk tot de in de planning </w:t>
      </w:r>
      <w:r w:rsidRPr="00F2046C">
        <w:lastRenderedPageBreak/>
        <w:t xml:space="preserve">genoemde datum worden ingediend via de Vraag &amp; Antwoord module. De datum waarop Opdrachtgever de vragen ontvangt, is leidend. </w:t>
      </w:r>
    </w:p>
    <w:p w14:paraId="0260C311" w14:textId="77777777" w:rsidR="00F2046C" w:rsidRPr="00F2046C" w:rsidRDefault="00F2046C" w:rsidP="00F2046C">
      <w:r w:rsidRPr="00F2046C">
        <w:t xml:space="preserve">Te laat ingediende vragen worden in principe niet beantwoord. </w:t>
      </w:r>
    </w:p>
    <w:p w14:paraId="552816F3" w14:textId="77777777" w:rsidR="00F2046C" w:rsidRPr="00F2046C" w:rsidRDefault="00F2046C" w:rsidP="00F2046C">
      <w:r w:rsidRPr="00F2046C">
        <w:t xml:space="preserve">De geanonimiseerde vragen zullen uiterlijk op de in de planning genoemde datum door Opdrachtgever worden beantwoord. Opdrachtgever beantwoordt de gestelde vragen middels de Nota van Inlichtingen, welke zal worden gepubliceerd middels de Vraag &amp; Antwoord module. </w:t>
      </w:r>
    </w:p>
    <w:p w14:paraId="7E0555D2" w14:textId="77777777" w:rsidR="00F2046C" w:rsidRPr="00F2046C" w:rsidRDefault="00F2046C" w:rsidP="00F2046C">
      <w:r w:rsidRPr="00F2046C">
        <w:t xml:space="preserve">Inschrijver heeft de mogelijkheid voor de Nota van inlichtingen vragen over en/of tekstvoorstellen voor wijziging van de conceptovereenkomst en algemene inkoopvoorwaarden met motivering in te dienen. Opdrachtgever behoudt zich het recht voor om tekstvoorstellen al dan niet aangepast over te nemen. </w:t>
      </w:r>
    </w:p>
    <w:p w14:paraId="2DBA5F90" w14:textId="77777777" w:rsidR="00F2046C" w:rsidRPr="00F2046C" w:rsidRDefault="00F2046C" w:rsidP="00F2046C">
      <w:r w:rsidRPr="00F2046C">
        <w:t xml:space="preserve">Eventuele wijzigingen en aanvullingen op dit Offerteverzoek in de Nota van Inlichtingen dient de </w:t>
      </w:r>
    </w:p>
    <w:p w14:paraId="61F0DDF8" w14:textId="77777777" w:rsidR="00F2046C" w:rsidRPr="00F2046C" w:rsidRDefault="00F2046C" w:rsidP="00F2046C">
      <w:r w:rsidRPr="00F2046C">
        <w:t xml:space="preserve">Inschrijver onvoorwaardelijk te accepteren, evenals het gegeven dat deze wijzigingen en aanvullingen prevaleren boven de bepalingen in dit Offerteverzoek. </w:t>
      </w:r>
    </w:p>
    <w:p w14:paraId="708057F2" w14:textId="77777777" w:rsidR="00F2046C" w:rsidRPr="00F2046C" w:rsidRDefault="00F2046C" w:rsidP="00F2046C">
      <w:r w:rsidRPr="00F2046C">
        <w:t xml:space="preserve">Onduidelijkheden, onjuistheden en/of onvolkomenheden in dit Offerteverzoek en overige met de </w:t>
      </w:r>
    </w:p>
    <w:p w14:paraId="06BACB7D" w14:textId="350DA961" w:rsidR="00F2046C" w:rsidRPr="00F2046C" w:rsidRDefault="00F2046C" w:rsidP="00F2046C">
      <w:r w:rsidRPr="00F2046C">
        <w:t xml:space="preserve">aanbesteding verwante documenten dienen tijdig, dat wil zeggen uiterlijk de datum en het tijdstip genoemd in Tenderned bij het indienen van vragen, ter discussie te zijn gesteld. Na de Nota ('s) van Inlichtingen geldt dat alle documenten helder en eenduidig zijn. </w:t>
      </w:r>
    </w:p>
    <w:p w14:paraId="3B6D6BA4" w14:textId="77777777" w:rsidR="00B34AC4" w:rsidRPr="000B5477" w:rsidRDefault="00B34AC4" w:rsidP="00F2046C"/>
    <w:p w14:paraId="471D3587" w14:textId="2093A381" w:rsidR="00F2046C" w:rsidRPr="00F2046C" w:rsidRDefault="00B34AC4" w:rsidP="00B34AC4">
      <w:pPr>
        <w:tabs>
          <w:tab w:val="left" w:pos="2300"/>
        </w:tabs>
        <w:rPr>
          <w:u w:val="single"/>
        </w:rPr>
      </w:pPr>
      <w:r w:rsidRPr="000B370A">
        <w:rPr>
          <w:u w:val="single"/>
        </w:rPr>
        <w:t>2.</w:t>
      </w:r>
      <w:r w:rsidR="00E768FF">
        <w:rPr>
          <w:u w:val="single"/>
        </w:rPr>
        <w:t>3</w:t>
      </w:r>
      <w:r w:rsidRPr="000B370A">
        <w:rPr>
          <w:u w:val="single"/>
        </w:rPr>
        <w:t xml:space="preserve"> Overige Voorwaarden</w:t>
      </w:r>
    </w:p>
    <w:p w14:paraId="469B61F2" w14:textId="77777777" w:rsidR="00F2046C" w:rsidRPr="00F2046C" w:rsidRDefault="00F2046C" w:rsidP="00F2046C">
      <w:pPr>
        <w:rPr>
          <w:i/>
          <w:iCs/>
        </w:rPr>
      </w:pPr>
      <w:r w:rsidRPr="00F2046C">
        <w:rPr>
          <w:i/>
          <w:iCs/>
        </w:rPr>
        <w:t xml:space="preserve">Indienen inschrijvingen </w:t>
      </w:r>
    </w:p>
    <w:p w14:paraId="52095BF3" w14:textId="4B80D8DA" w:rsidR="00F2046C" w:rsidRPr="00F2046C" w:rsidRDefault="00F2046C" w:rsidP="00F2046C">
      <w:r w:rsidRPr="00F2046C">
        <w:t>Tijdige indiening dient te geschieden via Tenderned</w:t>
      </w:r>
      <w:r w:rsidR="00D32D6B">
        <w:t xml:space="preserve"> </w:t>
      </w:r>
      <w:r w:rsidRPr="00F2046C">
        <w:t xml:space="preserve">is de verantwoording van de inschrijver. De inschrijver krijgt een bevestiging na indiening via de mail en Mijn Berichten op Tenderned. Tevens ligt het risico van systeem- en internetstoringen geheel bij de inschrijver. </w:t>
      </w:r>
    </w:p>
    <w:p w14:paraId="4C196DB7" w14:textId="77777777" w:rsidR="00F2046C" w:rsidRPr="00F2046C" w:rsidRDefault="00F2046C" w:rsidP="00F2046C">
      <w:r w:rsidRPr="00F2046C">
        <w:t xml:space="preserve">Na sluitingstermijn ontvangst Inschrijvingen, worden de elektronisch ingediende Inschrijvingen </w:t>
      </w:r>
    </w:p>
    <w:p w14:paraId="0692E9AA" w14:textId="77777777" w:rsidR="00F2046C" w:rsidRPr="00F2046C" w:rsidRDefault="00F2046C" w:rsidP="00F2046C">
      <w:r w:rsidRPr="00F2046C">
        <w:t xml:space="preserve">vrijgegeven voor Opdrachtgever. Een proces-verbaal van opening zal worden opgemaakt, waarin de namen van de Inschrijvers zijn opgenomen. Een afschrift van het proces-verbaal wordt op verzoek verstuurd. </w:t>
      </w:r>
    </w:p>
    <w:p w14:paraId="4AC89DE7" w14:textId="77777777" w:rsidR="00D32D6B" w:rsidRDefault="00D32D6B" w:rsidP="00F2046C">
      <w:pPr>
        <w:rPr>
          <w:b/>
          <w:bCs/>
        </w:rPr>
      </w:pPr>
    </w:p>
    <w:p w14:paraId="4D1ACC9D" w14:textId="4EFEFFF9" w:rsidR="00F2046C" w:rsidRPr="0016143A" w:rsidRDefault="0016143A" w:rsidP="00F2046C">
      <w:pPr>
        <w:rPr>
          <w:u w:val="single"/>
        </w:rPr>
      </w:pPr>
      <w:r>
        <w:rPr>
          <w:u w:val="single"/>
        </w:rPr>
        <w:t xml:space="preserve">2.4 </w:t>
      </w:r>
      <w:r w:rsidR="00F2046C" w:rsidRPr="0016143A">
        <w:rPr>
          <w:u w:val="single"/>
        </w:rPr>
        <w:t xml:space="preserve">Volledigheid en geldigheid </w:t>
      </w:r>
    </w:p>
    <w:p w14:paraId="7527DEFA" w14:textId="7A21AC4F" w:rsidR="00575A0C" w:rsidRDefault="00F2046C" w:rsidP="00F2046C">
      <w:r w:rsidRPr="00F2046C">
        <w:t>De Inschrijving moet volledig en geldig zijn. Volledig betekent dat alle stukken, die ingediend moeten worden, ook feitelijk en compleet worden overlegd op de in deze Offert</w:t>
      </w:r>
      <w:r w:rsidR="00575A0C">
        <w:t>eaanvraag</w:t>
      </w:r>
      <w:r w:rsidRPr="00F2046C">
        <w:t xml:space="preserve"> voorgeschreven wijze</w:t>
      </w:r>
      <w:r w:rsidR="00575A0C">
        <w:t xml:space="preserve"> en datum, volledig ingevuld</w:t>
      </w:r>
      <w:r w:rsidR="00E768FF">
        <w:t xml:space="preserve"> en rechtsgeldig ondertekend door een daartoe bevoegd persoon</w:t>
      </w:r>
      <w:r w:rsidR="00575A0C">
        <w:t>:</w:t>
      </w:r>
    </w:p>
    <w:p w14:paraId="2F40A2E7" w14:textId="19EFB2B5" w:rsidR="00575A0C" w:rsidRDefault="00575A0C" w:rsidP="00F2046C">
      <w:r>
        <w:t>Bijlage I</w:t>
      </w:r>
      <w:r>
        <w:tab/>
        <w:t>Minimale geschiktheidseisen.</w:t>
      </w:r>
    </w:p>
    <w:p w14:paraId="7D72E2AA" w14:textId="7252DCA7" w:rsidR="00575A0C" w:rsidRDefault="00575A0C" w:rsidP="00F2046C">
      <w:r>
        <w:t>Bijlage II</w:t>
      </w:r>
      <w:r>
        <w:tab/>
      </w:r>
      <w:r w:rsidR="00E768FF">
        <w:t>Prijsblad</w:t>
      </w:r>
    </w:p>
    <w:p w14:paraId="4A8E5CB6" w14:textId="70B41537" w:rsidR="00575A0C" w:rsidRDefault="00575A0C" w:rsidP="00F2046C">
      <w:r>
        <w:t>Bijlage III</w:t>
      </w:r>
      <w:r w:rsidR="00E768FF">
        <w:tab/>
        <w:t>Kwaliteitsblad</w:t>
      </w:r>
    </w:p>
    <w:p w14:paraId="052C5F04" w14:textId="23F34108" w:rsidR="00575A0C" w:rsidRDefault="00575A0C" w:rsidP="00F2046C">
      <w:r>
        <w:t>Bijlage IV</w:t>
      </w:r>
      <w:r w:rsidR="00E768FF">
        <w:tab/>
        <w:t>Referentieformulier</w:t>
      </w:r>
    </w:p>
    <w:p w14:paraId="41BCEAD7" w14:textId="761572E8" w:rsidR="00E768FF" w:rsidRDefault="00E768FF" w:rsidP="00F2046C">
      <w:r>
        <w:t>Bijlage V</w:t>
      </w:r>
      <w:r>
        <w:tab/>
        <w:t>U.E.A.</w:t>
      </w:r>
    </w:p>
    <w:p w14:paraId="6D046133" w14:textId="6DB91F4D" w:rsidR="00575A0C" w:rsidRPr="00F2046C" w:rsidRDefault="00575A0C" w:rsidP="00F2046C"/>
    <w:p w14:paraId="653CE42E" w14:textId="77777777" w:rsidR="00F2046C" w:rsidRPr="00F2046C" w:rsidRDefault="00F2046C" w:rsidP="00F2046C">
      <w:r w:rsidRPr="00F2046C">
        <w:t xml:space="preserve">Geldig betekent dat de ingediende stukken, zonder enig voorbehoud dan wel voorwaarden, waar </w:t>
      </w:r>
    </w:p>
    <w:p w14:paraId="6C0AB790" w14:textId="77777777" w:rsidR="00F2046C" w:rsidRPr="00F2046C" w:rsidRDefault="00F2046C" w:rsidP="00F2046C">
      <w:r w:rsidRPr="00F2046C">
        <w:t xml:space="preserve">gevraagd, rechtsgeldig zijn ondertekend en voldoen aan de eisen die eraan zijn gesteld. Hiertoe dienen de standaardverklaringen in de bijlagen op de gevraagde manier te worden ingevuld en ondertekend. De in te vullen standaardverklaringen zijn als Word/Exceldocument beschikbaar en tezamen met de Offerteverzoek beschikbaar gesteld. </w:t>
      </w:r>
    </w:p>
    <w:p w14:paraId="00194626" w14:textId="77777777" w:rsidR="00D32D6B" w:rsidRDefault="00D32D6B" w:rsidP="00F2046C">
      <w:pPr>
        <w:rPr>
          <w:b/>
          <w:bCs/>
        </w:rPr>
      </w:pPr>
    </w:p>
    <w:p w14:paraId="0B959D46" w14:textId="488D1B24" w:rsidR="00F2046C" w:rsidRPr="0016143A" w:rsidRDefault="0016143A" w:rsidP="00F2046C">
      <w:pPr>
        <w:rPr>
          <w:u w:val="single"/>
        </w:rPr>
      </w:pPr>
      <w:r>
        <w:rPr>
          <w:u w:val="single"/>
        </w:rPr>
        <w:t xml:space="preserve">2.5 </w:t>
      </w:r>
      <w:r w:rsidR="00F2046C" w:rsidRPr="0016143A">
        <w:rPr>
          <w:u w:val="single"/>
        </w:rPr>
        <w:t xml:space="preserve">Gestanddoening </w:t>
      </w:r>
    </w:p>
    <w:p w14:paraId="05BF3171" w14:textId="77777777" w:rsidR="00F2046C" w:rsidRPr="00F2046C" w:rsidRDefault="00F2046C" w:rsidP="00F2046C">
      <w:r w:rsidRPr="00F2046C">
        <w:t xml:space="preserve">De Inschrijver doet zijn Inschrijving gestand voor een periode van 3 maanden, gerekend vanaf de sluitingsdatum voor het indienen van de Inschrijvingen. </w:t>
      </w:r>
    </w:p>
    <w:p w14:paraId="12D87992" w14:textId="77777777" w:rsidR="00F2046C" w:rsidRPr="00F2046C" w:rsidRDefault="00F2046C" w:rsidP="00F2046C">
      <w:r w:rsidRPr="00F2046C">
        <w:t xml:space="preserve">Mocht tegen onderhavige aanbesteding een kort geding worden aangespannen, zal de </w:t>
      </w:r>
    </w:p>
    <w:p w14:paraId="15BC8E63" w14:textId="77777777" w:rsidR="00F2046C" w:rsidRPr="00F2046C" w:rsidRDefault="00F2046C" w:rsidP="00F2046C">
      <w:r w:rsidRPr="00F2046C">
        <w:t xml:space="preserve">gestanddoeningstermijn van de Inschrijvingen automatisch worden verlengd tot 14 kalenderdagen na de uitspraak van de rechtbank. In overige gevallen behoudt Opdrachtgever zich het recht voor de Inschrijvers te verzoeken de gestanddoeningstermijn te verlengen. </w:t>
      </w:r>
    </w:p>
    <w:p w14:paraId="7DAF3637" w14:textId="77777777" w:rsidR="00F2046C" w:rsidRPr="00F2046C" w:rsidRDefault="00F2046C" w:rsidP="00F2046C">
      <w:r w:rsidRPr="00F2046C">
        <w:t xml:space="preserve">Een Inschrijver die een Inschrijving heeft ingediend, kan zich niet meer terugtrekken. De Inschrijving is onherroepelijk voor de duur van de gestanddoeningstermijn. </w:t>
      </w:r>
    </w:p>
    <w:p w14:paraId="22ABFE6F" w14:textId="77777777" w:rsidR="00D32D6B" w:rsidRDefault="00D32D6B" w:rsidP="00F2046C">
      <w:pPr>
        <w:rPr>
          <w:b/>
          <w:bCs/>
        </w:rPr>
      </w:pPr>
    </w:p>
    <w:p w14:paraId="45BFDC68" w14:textId="20F17E8C" w:rsidR="00F2046C" w:rsidRPr="0016143A" w:rsidRDefault="0016143A" w:rsidP="00F2046C">
      <w:pPr>
        <w:rPr>
          <w:u w:val="single"/>
        </w:rPr>
      </w:pPr>
      <w:r>
        <w:rPr>
          <w:u w:val="single"/>
        </w:rPr>
        <w:t xml:space="preserve">2.6 </w:t>
      </w:r>
      <w:r w:rsidR="00F2046C" w:rsidRPr="0016143A">
        <w:rPr>
          <w:u w:val="single"/>
        </w:rPr>
        <w:t xml:space="preserve">Intrekking aanbestedingsprocedure </w:t>
      </w:r>
    </w:p>
    <w:p w14:paraId="6C776881" w14:textId="77777777" w:rsidR="00F2046C" w:rsidRPr="00F2046C" w:rsidRDefault="00F2046C" w:rsidP="00F2046C">
      <w:r w:rsidRPr="00F2046C">
        <w:t xml:space="preserve">Opdrachtgever behoudt zich te allen tijde het recht voor om de aanbestedingsprocedure (tussentijds) tijdelijk of definitief stop te zetten of eenzijdig in te trekken. Hieronder valt ook de situatie dat er naar het oordeel van Opdrachtgever te weinig Inschrijvingen zijn ontvangen. Tevens heeft Opdrachtgever </w:t>
      </w:r>
      <w:r w:rsidRPr="00F2046C">
        <w:lastRenderedPageBreak/>
        <w:t xml:space="preserve">geen verplichting tot gunnen. Door het uitbrengen van een inschrijving verklaart de inschrijver zicht akkoord met dit voorbehoud. </w:t>
      </w:r>
    </w:p>
    <w:p w14:paraId="3BF11E31" w14:textId="77777777" w:rsidR="00F2046C" w:rsidRPr="00F2046C" w:rsidRDefault="00F2046C" w:rsidP="00F2046C">
      <w:r w:rsidRPr="00F2046C">
        <w:t xml:space="preserve">Inschrijvers hebben in een dergelijk geval geen recht op vergoeding van eventueel gemaakte kosten en/of geleden schade. </w:t>
      </w:r>
    </w:p>
    <w:p w14:paraId="08FB6B5E" w14:textId="77777777" w:rsidR="00D32D6B" w:rsidRDefault="00D32D6B" w:rsidP="00F2046C">
      <w:pPr>
        <w:rPr>
          <w:b/>
          <w:bCs/>
        </w:rPr>
      </w:pPr>
    </w:p>
    <w:p w14:paraId="6DE25662" w14:textId="77777777" w:rsidR="00D32D6B" w:rsidRDefault="00D32D6B" w:rsidP="00F2046C">
      <w:pPr>
        <w:rPr>
          <w:b/>
          <w:bCs/>
        </w:rPr>
      </w:pPr>
    </w:p>
    <w:p w14:paraId="2C20050F" w14:textId="7B3F435D" w:rsidR="00F2046C" w:rsidRPr="0016143A" w:rsidRDefault="0016143A" w:rsidP="00F2046C">
      <w:pPr>
        <w:rPr>
          <w:u w:val="single"/>
        </w:rPr>
      </w:pPr>
      <w:r>
        <w:rPr>
          <w:u w:val="single"/>
        </w:rPr>
        <w:t xml:space="preserve">2.7 </w:t>
      </w:r>
      <w:r w:rsidR="00F2046C" w:rsidRPr="0016143A">
        <w:rPr>
          <w:u w:val="single"/>
        </w:rPr>
        <w:t xml:space="preserve">Toepasselijk recht en geschillen </w:t>
      </w:r>
    </w:p>
    <w:p w14:paraId="636EE052" w14:textId="77777777" w:rsidR="00F2046C" w:rsidRPr="00F2046C" w:rsidRDefault="00F2046C" w:rsidP="00F2046C">
      <w:r w:rsidRPr="00F2046C">
        <w:t xml:space="preserve">Op zowel deze aanbestedingsprocedure als de te sluiten Overeenkomst is het Nederlandse recht van toepassing. De toepasselijkheid van het Weens Koopverdrag is uitgesloten. Alle geschillen voortvloeiende uit onderhavige aanbestedingsprocedure, alsmede uit de te sluiten Overeenkomst, zullen uitsluitend worden beslecht door de bevoegde burgerlijke rechter in het arrondissement waarin Opdrachtgever is gevestigd. </w:t>
      </w:r>
    </w:p>
    <w:p w14:paraId="157142BF" w14:textId="77777777" w:rsidR="00D32D6B" w:rsidRDefault="00D32D6B" w:rsidP="00F2046C">
      <w:pPr>
        <w:rPr>
          <w:b/>
          <w:bCs/>
        </w:rPr>
      </w:pPr>
    </w:p>
    <w:p w14:paraId="2FA09BC2" w14:textId="2C767474" w:rsidR="00F2046C" w:rsidRPr="0016143A" w:rsidRDefault="0016143A" w:rsidP="00F2046C">
      <w:pPr>
        <w:rPr>
          <w:u w:val="single"/>
        </w:rPr>
      </w:pPr>
      <w:r>
        <w:rPr>
          <w:u w:val="single"/>
        </w:rPr>
        <w:t xml:space="preserve">2.8 </w:t>
      </w:r>
      <w:r w:rsidR="00F2046C" w:rsidRPr="0016143A">
        <w:rPr>
          <w:u w:val="single"/>
        </w:rPr>
        <w:t xml:space="preserve">Rechtsgeldige ondertekening </w:t>
      </w:r>
    </w:p>
    <w:p w14:paraId="3F841F84" w14:textId="77777777" w:rsidR="00F2046C" w:rsidRDefault="00F2046C" w:rsidP="00F2046C">
      <w:r w:rsidRPr="00F2046C">
        <w:t xml:space="preserve">Daar waar gevraagd wordt om een handtekening dient het betreffende document rechtsgeldig ondertekend te worden door een daartoe tekenbevoegde perso(o)n(en). Dit betreft een handtekening van één of meerdere functionaris(sen) die volgens het uittreksel van het beroeps/handelsregister bevoegd is/zijn Inschrijver te vertegenwoordigen. </w:t>
      </w:r>
    </w:p>
    <w:p w14:paraId="50C0C0E4" w14:textId="77777777" w:rsidR="00D32D6B" w:rsidRDefault="00D32D6B" w:rsidP="00F2046C"/>
    <w:p w14:paraId="6C28B76F" w14:textId="569E3F82" w:rsidR="00D32D6B" w:rsidRPr="00F2046C" w:rsidRDefault="00D32D6B" w:rsidP="00F2046C">
      <w:pPr>
        <w:rPr>
          <w:u w:val="single"/>
        </w:rPr>
      </w:pPr>
      <w:r w:rsidRPr="000B370A">
        <w:rPr>
          <w:u w:val="single"/>
        </w:rPr>
        <w:t>2.</w:t>
      </w:r>
      <w:r w:rsidR="0016143A">
        <w:rPr>
          <w:u w:val="single"/>
        </w:rPr>
        <w:t>9</w:t>
      </w:r>
      <w:r w:rsidRPr="000B370A">
        <w:rPr>
          <w:u w:val="single"/>
        </w:rPr>
        <w:t xml:space="preserve"> Aansprakelijkheid opdrachtgever</w:t>
      </w:r>
    </w:p>
    <w:p w14:paraId="5AD57709" w14:textId="77777777" w:rsidR="00F2046C" w:rsidRPr="00F2046C" w:rsidRDefault="00F2046C" w:rsidP="00F2046C">
      <w:r w:rsidRPr="00F2046C">
        <w:t xml:space="preserve">Dit Offerteverzoek met bijbehorende documenten, is met grote zorg samengesteld. Indien in dit </w:t>
      </w:r>
    </w:p>
    <w:p w14:paraId="4A4470F5" w14:textId="77777777" w:rsidR="00F2046C" w:rsidRDefault="00F2046C" w:rsidP="00F2046C">
      <w:r w:rsidRPr="00F2046C">
        <w:t xml:space="preserve">Offerteverzoek onverhoopt een norm, merk- of fabricaatnaam staat vermeld en per abuis de toevoeging 'of gelijkwaardig' is weggelaten, dient conform artikel 2.76 Awet deze toevoeging aanwezig te worden geacht, om zodoende niet in strijd met het Europese non-discriminatiebeginsel te handelen. </w:t>
      </w:r>
    </w:p>
    <w:p w14:paraId="727150FA" w14:textId="77777777" w:rsidR="00D32D6B" w:rsidRPr="00F2046C" w:rsidRDefault="00D32D6B" w:rsidP="00F2046C"/>
    <w:p w14:paraId="3EAE34EE" w14:textId="77777777" w:rsidR="00F2046C" w:rsidRPr="00F2046C" w:rsidRDefault="00F2046C" w:rsidP="00F2046C">
      <w:r w:rsidRPr="00F2046C">
        <w:t xml:space="preserve">Indien de reactie van Opdrachtgever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Opdrachtgever hiervan onverwijld in kennis te worden gesteld middels betekening van de dagvaarding op het contactadres van Opdrachtgever, bij gebreke waarvan ieder recht om tegen de Aanbestedingsdocumenten te ageren vervalt. Indien een kort geding aanhangig wordt gemaakt, kan Opdrachtgever de aanbestedingsprocedure opschorten dan wel intrekken. </w:t>
      </w:r>
    </w:p>
    <w:p w14:paraId="3C3164B4" w14:textId="77777777" w:rsidR="00F2046C" w:rsidRPr="00F2046C" w:rsidRDefault="00F2046C" w:rsidP="00F2046C"/>
    <w:p w14:paraId="3DDB84C8" w14:textId="1E046422" w:rsidR="00F2046C" w:rsidRPr="0016143A" w:rsidRDefault="0016143A" w:rsidP="00F2046C">
      <w:pPr>
        <w:rPr>
          <w:u w:val="single"/>
        </w:rPr>
      </w:pPr>
      <w:r w:rsidRPr="0016143A">
        <w:rPr>
          <w:u w:val="single"/>
        </w:rPr>
        <w:t>2.10 Taal</w:t>
      </w:r>
      <w:r w:rsidR="00F2046C" w:rsidRPr="0016143A">
        <w:rPr>
          <w:u w:val="single"/>
        </w:rPr>
        <w:t xml:space="preserve"> </w:t>
      </w:r>
    </w:p>
    <w:p w14:paraId="2981C05A" w14:textId="77777777" w:rsidR="00F2046C" w:rsidRPr="00F2046C" w:rsidRDefault="00F2046C" w:rsidP="00F2046C">
      <w:r w:rsidRPr="00F2046C">
        <w:t xml:space="preserve">De voertaal tijdens de aanbestedingsprocedure, gedurende contractering en tijdens de uitvoering van de Opdracht is Nederlands. Alle documenten van zowel de Inschrijver als van de Opdrachtgever zijn in het Nederlands gesteld. Uitzondering wordt gemaakt voor schriftelijke stukken die oorspronkelijk in een andere taal zijn gesteld. In geval van stukken die niet in het Nederlands zijn opgesteld kan Opdrachtgever om een officiële vertaling door een beëdigd vertaler verzoeken. Eventuele kosten van deze vertaling zijn dan wel voor rekening van Inschrijver. </w:t>
      </w:r>
    </w:p>
    <w:p w14:paraId="0A9B0D7D" w14:textId="77777777" w:rsidR="00D32D6B" w:rsidRDefault="00D32D6B" w:rsidP="00F2046C">
      <w:pPr>
        <w:rPr>
          <w:b/>
          <w:bCs/>
        </w:rPr>
      </w:pPr>
    </w:p>
    <w:p w14:paraId="71BD1269" w14:textId="59541AF5" w:rsidR="00F2046C" w:rsidRPr="00F2046C" w:rsidRDefault="00F2046C" w:rsidP="00F2046C">
      <w:pPr>
        <w:rPr>
          <w:i/>
          <w:iCs/>
        </w:rPr>
      </w:pPr>
      <w:r w:rsidRPr="00F2046C">
        <w:rPr>
          <w:i/>
          <w:iCs/>
        </w:rPr>
        <w:t xml:space="preserve">Geheimhouding </w:t>
      </w:r>
    </w:p>
    <w:p w14:paraId="7D783E8D" w14:textId="77777777" w:rsidR="00F2046C" w:rsidRDefault="00F2046C" w:rsidP="00F2046C">
      <w:r w:rsidRPr="00F2046C">
        <w:t xml:space="preserve">Opdrachtgever zal de Inschrijvingen vertrouwelijk behandelen en handelen conform artikel 2.57 lid 1 Awet. </w:t>
      </w:r>
    </w:p>
    <w:p w14:paraId="1CD9FCF2" w14:textId="77777777" w:rsidR="00D32D6B" w:rsidRDefault="00D32D6B" w:rsidP="00F2046C"/>
    <w:p w14:paraId="29B47CAF" w14:textId="378A4D10" w:rsidR="00E729A9" w:rsidRPr="00F2046C" w:rsidRDefault="00E729A9" w:rsidP="00F2046C">
      <w:pPr>
        <w:rPr>
          <w:u w:val="single"/>
        </w:rPr>
      </w:pPr>
      <w:r w:rsidRPr="000B370A">
        <w:rPr>
          <w:u w:val="single"/>
        </w:rPr>
        <w:t>2.</w:t>
      </w:r>
      <w:r w:rsidR="0016143A">
        <w:rPr>
          <w:u w:val="single"/>
        </w:rPr>
        <w:t>11</w:t>
      </w:r>
      <w:r w:rsidRPr="000B370A">
        <w:rPr>
          <w:u w:val="single"/>
        </w:rPr>
        <w:t xml:space="preserve"> Besluitvorming omtrent Gunning</w:t>
      </w:r>
    </w:p>
    <w:p w14:paraId="0A2B3C7E" w14:textId="6DC4E2AD" w:rsidR="00E729A9" w:rsidRDefault="00F2046C" w:rsidP="00F2046C">
      <w:r w:rsidRPr="00F2046C">
        <w:t>De Inschrij</w:t>
      </w:r>
      <w:r w:rsidR="00C70A68">
        <w:t>vers moet voldoen aan de minimale geschiksheidseisen en aan de kerncompetenties. Als de inschrijvers hieraan voldoen dan worden de inschrijvingen b</w:t>
      </w:r>
      <w:r w:rsidRPr="00F2046C">
        <w:t>eoordeeld</w:t>
      </w:r>
      <w:r w:rsidR="00E729A9">
        <w:t xml:space="preserve"> aan de hand van de prijs en de kwaliteit. Voor beide onderdelen kan de inschrijver 100 punten halen. De partij met de goedkoopste prijs scoort 100 punten, nummer 2 90, nummer 3 80 etc. </w:t>
      </w:r>
    </w:p>
    <w:p w14:paraId="0D794AF2" w14:textId="2BD963DC" w:rsidR="00E729A9" w:rsidRDefault="00E729A9" w:rsidP="00F2046C">
      <w:r>
        <w:t xml:space="preserve">Voor de kwaliteit geldt hetzelfde. De partij met de meeste punten op de kwaliteit scoort 100 punten, nummer 2 90, nummer 3 80 etc. </w:t>
      </w:r>
      <w:r w:rsidR="00AE63DD">
        <w:t xml:space="preserve">De partij die de meeste punten scoort wint de aanbesteding. Bij gelijke punten geeft de prijs de doorslag. </w:t>
      </w:r>
    </w:p>
    <w:p w14:paraId="7157E3A5" w14:textId="77777777" w:rsidR="00C70A68" w:rsidRDefault="00C70A68" w:rsidP="00F2046C"/>
    <w:p w14:paraId="7F1FD802" w14:textId="694CA176" w:rsidR="00F2046C" w:rsidRDefault="00F2046C" w:rsidP="00F2046C">
      <w:r w:rsidRPr="00F2046C">
        <w:t xml:space="preserve">Alle Inschrijvers worden gelijktijdig via Tenderned geïnformeerd door de Opdrachtgever over de uitkomst van de aanbestedingsprocedure. </w:t>
      </w:r>
    </w:p>
    <w:p w14:paraId="4ACAFA80" w14:textId="77777777" w:rsidR="00C70A68" w:rsidRPr="00F2046C" w:rsidRDefault="00C70A68" w:rsidP="00F2046C"/>
    <w:p w14:paraId="03AEC814" w14:textId="58CBBC7C" w:rsidR="00F2046C" w:rsidRDefault="00F2046C" w:rsidP="00F2046C">
      <w:r w:rsidRPr="00F2046C">
        <w:lastRenderedPageBreak/>
        <w:t>Na het verstrijken van de bezwaartermijn van 20 kalenderdagen zal Opdrachtgever een definitief besluit dienen te nemen om met de beoogde Opdrachtnemer(s) een (Raam)Overeenkomst te sluiten. Dit besluit zal worden gepubliceerd op de berichtenmodule van Tenderned</w:t>
      </w:r>
      <w:r w:rsidR="00AE63DD">
        <w:t>.</w:t>
      </w:r>
      <w:r w:rsidRPr="00F2046C">
        <w:t xml:space="preserve"> Zodra dit besluit is genomen en sprake is van definitieve gunning, zal zo spoedig mogelijk de (Raam)Overeenkomst worden ondertekend. </w:t>
      </w:r>
    </w:p>
    <w:p w14:paraId="53471179" w14:textId="77777777" w:rsidR="00C70A68" w:rsidRPr="00F2046C" w:rsidRDefault="00C70A68" w:rsidP="00F2046C"/>
    <w:p w14:paraId="633E6AC6" w14:textId="6B5AD0C5" w:rsidR="00F2046C" w:rsidRDefault="00F2046C" w:rsidP="00F2046C">
      <w:r w:rsidRPr="00F2046C">
        <w:t xml:space="preserve">Definitieve gunning kan alleen plaatsvinden aan een Inschrijver die nog steeds voldoet aan de gestelde </w:t>
      </w:r>
      <w:r w:rsidR="00AE63DD">
        <w:t>geschiktsheids</w:t>
      </w:r>
      <w:r w:rsidRPr="00F2046C">
        <w:t>eisen</w:t>
      </w:r>
      <w:r w:rsidR="00104EB5">
        <w:t xml:space="preserve"> en kerncompetenties</w:t>
      </w:r>
      <w:r w:rsidRPr="00F2046C">
        <w:t xml:space="preserve">. In het geval dat met de winnende Inschrijver niet tot overeenstemming wordt gekomen of Inschrijver niet(meer) aan de gestelde eisen voldoet dan wel in geval van een uitspraak van de bevoegde voorzieningenrechter, kan Opdrachtgever een nieuw voornemen tot gunning nemen. Dit nieuwe voornemen tot gunning zal gelijktijdig aan alle Inschrijvers worden verzonden. Opdrachtgever zal de Opdracht naar verwachting definitief gunnen aan de Inschrijver waaraan het nieuwe voornemen tot gunning is verzonden, indien binnen de termijn van 20 kalenderdagen geen procedure op de voorgeschreven wijze aanhangig is gemaakt. </w:t>
      </w:r>
    </w:p>
    <w:p w14:paraId="1769D2E6" w14:textId="77777777" w:rsidR="00C70A68" w:rsidRPr="00F2046C" w:rsidRDefault="00C70A68" w:rsidP="00F2046C"/>
    <w:p w14:paraId="6C932104" w14:textId="77777777" w:rsidR="00F2046C" w:rsidRDefault="00F2046C" w:rsidP="00F2046C">
      <w:r w:rsidRPr="00F2046C">
        <w:t xml:space="preserve">Indien in de situaties als bedoeld in bovenstaande tijdig een kort geding procedure aanhangig is gemaakt, zal Opdrachtgever pas tot definitieve gunning overgaan na de eventuele uitspraak van de voorzieningenrechter in eerste aanleg. </w:t>
      </w:r>
    </w:p>
    <w:p w14:paraId="2B1A2C6F" w14:textId="77777777" w:rsidR="00C70A68" w:rsidRPr="00F2046C" w:rsidRDefault="00C70A68" w:rsidP="00F2046C"/>
    <w:p w14:paraId="636696A7" w14:textId="77777777" w:rsidR="00F2046C" w:rsidRDefault="00F2046C" w:rsidP="00F2046C">
      <w:r w:rsidRPr="00F2046C">
        <w:t xml:space="preserve">De mededeling van de gunningsbeslissing vindt plaats onder nadrukkelijk voorbehoud van bestuurlijke goedkeuring en/of het verkrijgen van voldoende financiële middelen. Een voornemen tot gunning houdt geen aanvaarding in zoals bedoeld in het voorgaande lid of in de zin van artikel 6:217 lid 1 Burgerlijk Wetboek. </w:t>
      </w:r>
    </w:p>
    <w:p w14:paraId="51652A02" w14:textId="77777777" w:rsidR="00C70A68" w:rsidRPr="00F2046C" w:rsidRDefault="00C70A68" w:rsidP="00F2046C"/>
    <w:p w14:paraId="71AE7CC6" w14:textId="77777777" w:rsidR="00F2046C" w:rsidRPr="00F2046C" w:rsidRDefault="00F2046C" w:rsidP="00F2046C">
      <w:r w:rsidRPr="00F2046C">
        <w:t xml:space="preserve">Tevens kunnen er situaties voorkomen waarbij definitieve gunning aan geen van de Inschrijvers wordt verleend als gevolg van gewijzigd politiek inzicht, gewijzigde besluitvormingsprocessen en/of beleid. </w:t>
      </w:r>
    </w:p>
    <w:p w14:paraId="4DF5BEA6" w14:textId="77777777" w:rsidR="00F2046C" w:rsidRPr="00F2046C" w:rsidRDefault="00F2046C" w:rsidP="00F2046C">
      <w:r w:rsidRPr="00F2046C">
        <w:t xml:space="preserve">Nadrukkelijk wordt er op gewezen dat er geen verplichting is tot gunning. Opdrachtgever behoudt zich tevens het recht voor om dit Offerteverzoek - waaronder de daarin opgenomen planning - tot 10 dagen voor de uiterlijke datum van indienen van de Inschrijving (sluitdatum) aan te vullen en/of te amenderen. </w:t>
      </w:r>
    </w:p>
    <w:p w14:paraId="0337E0B6" w14:textId="77777777" w:rsidR="00F2046C" w:rsidRPr="00F2046C" w:rsidRDefault="00F2046C" w:rsidP="00F2046C"/>
    <w:p w14:paraId="11B45B18" w14:textId="65AB4F89" w:rsidR="00F2046C" w:rsidRPr="00C67E72" w:rsidRDefault="00E768FF" w:rsidP="00F2046C">
      <w:pPr>
        <w:rPr>
          <w:u w:val="single"/>
        </w:rPr>
      </w:pPr>
      <w:r w:rsidRPr="00C67E72">
        <w:rPr>
          <w:u w:val="single"/>
        </w:rPr>
        <w:t>2.</w:t>
      </w:r>
      <w:r w:rsidR="0016143A">
        <w:rPr>
          <w:u w:val="single"/>
        </w:rPr>
        <w:t>12</w:t>
      </w:r>
      <w:r w:rsidR="00C67E72" w:rsidRPr="00C67E72">
        <w:rPr>
          <w:u w:val="single"/>
        </w:rPr>
        <w:t xml:space="preserve"> </w:t>
      </w:r>
      <w:r w:rsidR="00F2046C" w:rsidRPr="00C67E72">
        <w:rPr>
          <w:u w:val="single"/>
        </w:rPr>
        <w:t xml:space="preserve">Bezwaar </w:t>
      </w:r>
    </w:p>
    <w:p w14:paraId="4F176B4E" w14:textId="77777777" w:rsidR="00F2046C" w:rsidRPr="00F2046C" w:rsidRDefault="00F2046C" w:rsidP="00F2046C">
      <w:r w:rsidRPr="00F2046C">
        <w:t xml:space="preserve">Indien een Inschrijver zich niet kan vinden in de Gunningbeslissing van de Opdrachtgever, wordt hij gedurende twintig (20) kalenderdagen na dagtekening van de bekendmaking van de Gunningsbeslissing via de berichtenmodule op Tenderned in de gelegenheid gesteld daartegen bezwaar te maken door een kort geding aanhangig te maken bij de voorzieningenrechter. </w:t>
      </w:r>
    </w:p>
    <w:p w14:paraId="507C7A08" w14:textId="77777777" w:rsidR="00F2046C" w:rsidRDefault="00F2046C" w:rsidP="00F2046C">
      <w:r w:rsidRPr="00F2046C">
        <w:t xml:space="preserve">Een Inschrijver verliest zijn recht om op te komen tegen de gunningsbeslissing wanneer Opdrachtgever niet binnen 20 kalenderdagen na de datum van verzending van de brief waarin het voornemen tot gunning bekend is gemaakt, is gedagvaard in kort geding voor de bevoegde burgerlijke rechter door betekening binnen de genoemde termijn van een kort geding dagvaarding op het adres van de Opdrachtgever. </w:t>
      </w:r>
    </w:p>
    <w:p w14:paraId="53DA535E" w14:textId="77777777" w:rsidR="00C70A68" w:rsidRPr="00F2046C" w:rsidRDefault="00C70A68" w:rsidP="00F2046C"/>
    <w:p w14:paraId="09595FC1" w14:textId="1FA6A0AC" w:rsidR="00F2046C" w:rsidRPr="00F2046C" w:rsidRDefault="00F2046C" w:rsidP="00F2046C"/>
    <w:p w14:paraId="44BB261C" w14:textId="77777777" w:rsidR="00F2046C" w:rsidRPr="00F2046C" w:rsidRDefault="00F2046C" w:rsidP="00F2046C">
      <w:pPr>
        <w:rPr>
          <w:b/>
          <w:bCs/>
        </w:rPr>
      </w:pPr>
      <w:r w:rsidRPr="00F2046C">
        <w:rPr>
          <w:b/>
          <w:bCs/>
        </w:rPr>
        <w:t xml:space="preserve">Uitsluitingsgronden en kwalitatieve minimumeisen </w:t>
      </w:r>
    </w:p>
    <w:p w14:paraId="70B72305" w14:textId="77777777" w:rsidR="00C70A68" w:rsidRDefault="00C70A68" w:rsidP="00F2046C"/>
    <w:p w14:paraId="47E39288" w14:textId="12175F2D" w:rsidR="00C70A68" w:rsidRPr="000047FF" w:rsidRDefault="00C70A68" w:rsidP="00F2046C">
      <w:pPr>
        <w:rPr>
          <w:u w:val="single"/>
        </w:rPr>
      </w:pPr>
      <w:r w:rsidRPr="000047FF">
        <w:rPr>
          <w:u w:val="single"/>
        </w:rPr>
        <w:t>3.1 Minimale geschiktsheidseisen</w:t>
      </w:r>
      <w:r w:rsidR="00BD2325" w:rsidRPr="000047FF">
        <w:rPr>
          <w:u w:val="single"/>
        </w:rPr>
        <w:t xml:space="preserve"> en kerncompetenties</w:t>
      </w:r>
    </w:p>
    <w:p w14:paraId="292623D8" w14:textId="75EF4659" w:rsidR="00BD2325" w:rsidRDefault="00BD2325" w:rsidP="00F2046C">
      <w:pPr>
        <w:rPr>
          <w:b/>
          <w:bCs/>
        </w:rPr>
      </w:pPr>
      <w:r>
        <w:t>De opdrachtgever heeft een aantal minimale geschikt</w:t>
      </w:r>
      <w:r w:rsidR="00BC4D94">
        <w:t xml:space="preserve">sheidseisen geformuleerd en kerncompetenties waarin de opdrachtnemer moet voldoen. Indien de opdrachtnemer niet voldoet wordt hij uitgesloten van de aanbesteding. </w:t>
      </w:r>
      <w:r w:rsidR="00A36823">
        <w:rPr>
          <w:b/>
          <w:bCs/>
        </w:rPr>
        <w:t>Bijlage I</w:t>
      </w:r>
    </w:p>
    <w:p w14:paraId="41B4DAB9" w14:textId="77777777" w:rsidR="00C70A68" w:rsidRDefault="00C70A68" w:rsidP="00F2046C"/>
    <w:p w14:paraId="72AD6CAA" w14:textId="4891E262" w:rsidR="000B370A" w:rsidRPr="000047FF" w:rsidRDefault="00E768FF" w:rsidP="00F2046C">
      <w:pPr>
        <w:rPr>
          <w:u w:val="single"/>
        </w:rPr>
      </w:pPr>
      <w:r>
        <w:rPr>
          <w:u w:val="single"/>
        </w:rPr>
        <w:t>3.2</w:t>
      </w:r>
      <w:r w:rsidR="000B370A" w:rsidRPr="000047FF">
        <w:rPr>
          <w:u w:val="single"/>
        </w:rPr>
        <w:t xml:space="preserve"> Algemene inkoopvoorwaarden ISNV</w:t>
      </w:r>
    </w:p>
    <w:p w14:paraId="36F8602F" w14:textId="488DB60C" w:rsidR="00F2046C" w:rsidRDefault="00F2046C" w:rsidP="00F2046C">
      <w:r w:rsidRPr="00F2046C">
        <w:t xml:space="preserve">Opdrachtgever wijst de algemene voorwaarden van Inschrijver nadrukkelijk van de hand. De Inschrijver gaat ermee akkoord dat de door zijn onderneming te hanteren voorwaarden niet van toepassing zijn. Uitsluitend de algemene inkoopvoorwaarden ISNV, welke als </w:t>
      </w:r>
      <w:r w:rsidRPr="00F2046C">
        <w:rPr>
          <w:b/>
          <w:bCs/>
        </w:rPr>
        <w:t xml:space="preserve">bijlage </w:t>
      </w:r>
      <w:r w:rsidR="00575A0C">
        <w:rPr>
          <w:b/>
          <w:bCs/>
        </w:rPr>
        <w:t>V</w:t>
      </w:r>
      <w:r w:rsidRPr="00F2046C">
        <w:rPr>
          <w:b/>
          <w:bCs/>
        </w:rPr>
        <w:t xml:space="preserve"> </w:t>
      </w:r>
      <w:r w:rsidRPr="00F2046C">
        <w:t xml:space="preserve">zijn toegevoegd, zullen van toepassing zijn. Middels indiening van de Inschrijving gaat de Inschrijver uitdrukkelijk akkoord met deze voorwaarden. </w:t>
      </w:r>
    </w:p>
    <w:p w14:paraId="41E07275" w14:textId="77777777" w:rsidR="00E768FF" w:rsidRDefault="00E768FF" w:rsidP="00F2046C"/>
    <w:p w14:paraId="6C76FFA4" w14:textId="77777777" w:rsidR="00E768FF" w:rsidRDefault="00E768FF" w:rsidP="00F2046C"/>
    <w:p w14:paraId="4C831460" w14:textId="77777777" w:rsidR="00E768FF" w:rsidRDefault="00E768FF" w:rsidP="00F2046C"/>
    <w:p w14:paraId="7AD25F89" w14:textId="1334C1E6" w:rsidR="00575A0C" w:rsidRDefault="00575A0C" w:rsidP="00F2046C">
      <w:pPr>
        <w:rPr>
          <w:b/>
          <w:bCs/>
        </w:rPr>
      </w:pPr>
      <w:r>
        <w:rPr>
          <w:b/>
          <w:bCs/>
        </w:rPr>
        <w:lastRenderedPageBreak/>
        <w:t>Bijlagen:</w:t>
      </w:r>
    </w:p>
    <w:p w14:paraId="034FB781" w14:textId="77777777" w:rsidR="00575A0C" w:rsidRDefault="00575A0C" w:rsidP="00F2046C">
      <w:pPr>
        <w:rPr>
          <w:b/>
          <w:bCs/>
        </w:rPr>
      </w:pPr>
    </w:p>
    <w:p w14:paraId="309EF4D0" w14:textId="3F5B4947" w:rsidR="00575A0C" w:rsidRDefault="00575A0C" w:rsidP="00F2046C">
      <w:pPr>
        <w:rPr>
          <w:b/>
          <w:bCs/>
        </w:rPr>
      </w:pPr>
      <w:r>
        <w:rPr>
          <w:b/>
          <w:bCs/>
        </w:rPr>
        <w:t xml:space="preserve">Bijlage I: </w:t>
      </w:r>
      <w:r>
        <w:rPr>
          <w:b/>
          <w:bCs/>
        </w:rPr>
        <w:tab/>
        <w:t>Minimale geschiktheidseisen.</w:t>
      </w:r>
    </w:p>
    <w:p w14:paraId="3AFB1ABA" w14:textId="06A7F6BD" w:rsidR="00575A0C" w:rsidRDefault="00575A0C" w:rsidP="00F2046C">
      <w:pPr>
        <w:rPr>
          <w:b/>
          <w:bCs/>
        </w:rPr>
      </w:pPr>
      <w:r>
        <w:rPr>
          <w:b/>
          <w:bCs/>
        </w:rPr>
        <w:t>Bijlage II:</w:t>
      </w:r>
      <w:r>
        <w:rPr>
          <w:b/>
          <w:bCs/>
        </w:rPr>
        <w:tab/>
        <w:t>Prijsblad.</w:t>
      </w:r>
    </w:p>
    <w:p w14:paraId="3E8FBD80" w14:textId="3070D307" w:rsidR="00575A0C" w:rsidRDefault="00575A0C" w:rsidP="00F2046C">
      <w:pPr>
        <w:rPr>
          <w:b/>
          <w:bCs/>
        </w:rPr>
      </w:pPr>
      <w:r>
        <w:rPr>
          <w:b/>
          <w:bCs/>
        </w:rPr>
        <w:t>Bijlage III:</w:t>
      </w:r>
      <w:r>
        <w:rPr>
          <w:b/>
          <w:bCs/>
        </w:rPr>
        <w:tab/>
        <w:t>Kwaliteitsblad.</w:t>
      </w:r>
    </w:p>
    <w:p w14:paraId="54BD1FFD" w14:textId="39A5CA09" w:rsidR="00575A0C" w:rsidRDefault="00575A0C" w:rsidP="00F2046C">
      <w:pPr>
        <w:rPr>
          <w:b/>
          <w:bCs/>
        </w:rPr>
      </w:pPr>
      <w:r>
        <w:rPr>
          <w:b/>
          <w:bCs/>
        </w:rPr>
        <w:t>Bijlage IV:</w:t>
      </w:r>
      <w:r>
        <w:rPr>
          <w:b/>
          <w:bCs/>
        </w:rPr>
        <w:tab/>
        <w:t>Referentieformulier.</w:t>
      </w:r>
    </w:p>
    <w:p w14:paraId="6A8C1FAB" w14:textId="35CD934D" w:rsidR="00575A0C" w:rsidRDefault="00575A0C" w:rsidP="00F2046C">
      <w:pPr>
        <w:rPr>
          <w:b/>
          <w:bCs/>
        </w:rPr>
      </w:pPr>
      <w:r>
        <w:rPr>
          <w:b/>
          <w:bCs/>
        </w:rPr>
        <w:t>Bijlage V:</w:t>
      </w:r>
      <w:r>
        <w:rPr>
          <w:b/>
          <w:bCs/>
        </w:rPr>
        <w:tab/>
      </w:r>
      <w:r w:rsidR="00E768FF">
        <w:rPr>
          <w:b/>
          <w:bCs/>
        </w:rPr>
        <w:t>U.E.A.</w:t>
      </w:r>
    </w:p>
    <w:p w14:paraId="3EEF0A2C" w14:textId="4B75EC11" w:rsidR="00E768FF" w:rsidRPr="00575A0C" w:rsidRDefault="00E768FF" w:rsidP="00F2046C">
      <w:pPr>
        <w:rPr>
          <w:b/>
          <w:bCs/>
        </w:rPr>
      </w:pPr>
      <w:r>
        <w:rPr>
          <w:b/>
          <w:bCs/>
        </w:rPr>
        <w:t>Bijlage VI:</w:t>
      </w:r>
      <w:r>
        <w:rPr>
          <w:b/>
          <w:bCs/>
        </w:rPr>
        <w:tab/>
        <w:t>Inkoopvoorwaarden.</w:t>
      </w:r>
    </w:p>
    <w:sectPr w:rsidR="00E768FF" w:rsidRPr="00575A0C" w:rsidSect="00006090">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7A8A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D0F8E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E45464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6F21A5A"/>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01E24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DE6CF84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11DEADD"/>
    <w:multiLevelType w:val="multilevel"/>
    <w:tmpl w:val="FFFFFFFF"/>
    <w:lvl w:ilvl="0">
      <w:start w:val="1"/>
      <w:numFmt w:val="bullet"/>
      <w:lvlText w:val="•"/>
      <w:lvlJc w:val="left"/>
    </w:lvl>
    <w:lvl w:ilvl="1">
      <w:start w:val="1"/>
      <w:numFmt w:val="bullet"/>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5403FB6"/>
    <w:multiLevelType w:val="multilevel"/>
    <w:tmpl w:val="FFFFFFFF"/>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686ABB5"/>
    <w:multiLevelType w:val="multilevel"/>
    <w:tmpl w:val="FFFFFFFF"/>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C3A6A51"/>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412367"/>
    <w:multiLevelType w:val="multilevel"/>
    <w:tmpl w:val="FFFFFFFF"/>
    <w:lvl w:ilvl="0">
      <w:start w:val="1"/>
      <w:numFmt w:val="bullet"/>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AA5344"/>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C79C38"/>
    <w:multiLevelType w:val="multilevel"/>
    <w:tmpl w:val="FFFFFFFF"/>
    <w:lvl w:ilvl="0">
      <w:start w:val="1"/>
      <w:numFmt w:val="bullet"/>
      <w:lvlText w:val="•"/>
      <w:lvlJc w:val="left"/>
    </w:lvl>
    <w:lvl w:ilvl="1">
      <w:start w:val="1"/>
      <w:numFmt w:val="bullet"/>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B2586B"/>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6C11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D31C27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031C984"/>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6F28AD3"/>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D7F4F2"/>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DD76F6"/>
    <w:multiLevelType w:val="multilevel"/>
    <w:tmpl w:val="FFFFFFFF"/>
    <w:lvl w:ilvl="0">
      <w:start w:val="1"/>
      <w:numFmt w:val="bullet"/>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CF4040A"/>
    <w:multiLevelType w:val="multilevel"/>
    <w:tmpl w:val="FFFFFFFF"/>
    <w:lvl w:ilvl="0">
      <w:start w:val="1"/>
      <w:numFmt w:val="ideographDigital"/>
      <w:lvlText w:val=""/>
      <w:lvlJc w:val="left"/>
    </w:lvl>
    <w:lvl w:ilvl="1">
      <w:start w:val="1"/>
      <w:numFmt w:val="ideographDigital"/>
      <w:lvlText w:val=""/>
      <w:lvlJc w:val="left"/>
    </w:lvl>
    <w:lvl w:ilvl="2">
      <w:start w:val="1"/>
      <w:numFmt w:val="decimal"/>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4416042">
    <w:abstractNumId w:val="2"/>
  </w:num>
  <w:num w:numId="2" w16cid:durableId="954679536">
    <w:abstractNumId w:val="1"/>
  </w:num>
  <w:num w:numId="3" w16cid:durableId="2120030697">
    <w:abstractNumId w:val="14"/>
  </w:num>
  <w:num w:numId="4" w16cid:durableId="838540559">
    <w:abstractNumId w:val="8"/>
  </w:num>
  <w:num w:numId="5" w16cid:durableId="2076581444">
    <w:abstractNumId w:val="20"/>
  </w:num>
  <w:num w:numId="6" w16cid:durableId="1456019949">
    <w:abstractNumId w:val="3"/>
  </w:num>
  <w:num w:numId="7" w16cid:durableId="1295791275">
    <w:abstractNumId w:val="13"/>
  </w:num>
  <w:num w:numId="8" w16cid:durableId="815338183">
    <w:abstractNumId w:val="5"/>
  </w:num>
  <w:num w:numId="9" w16cid:durableId="29495688">
    <w:abstractNumId w:val="16"/>
  </w:num>
  <w:num w:numId="10" w16cid:durableId="1367484602">
    <w:abstractNumId w:val="15"/>
  </w:num>
  <w:num w:numId="11" w16cid:durableId="293566842">
    <w:abstractNumId w:val="10"/>
  </w:num>
  <w:num w:numId="12" w16cid:durableId="4476306">
    <w:abstractNumId w:val="12"/>
  </w:num>
  <w:num w:numId="13" w16cid:durableId="825050602">
    <w:abstractNumId w:val="6"/>
  </w:num>
  <w:num w:numId="14" w16cid:durableId="1742604371">
    <w:abstractNumId w:val="0"/>
  </w:num>
  <w:num w:numId="15" w16cid:durableId="128089067">
    <w:abstractNumId w:val="9"/>
  </w:num>
  <w:num w:numId="16" w16cid:durableId="1057821163">
    <w:abstractNumId w:val="7"/>
  </w:num>
  <w:num w:numId="17" w16cid:durableId="291861431">
    <w:abstractNumId w:val="18"/>
  </w:num>
  <w:num w:numId="18" w16cid:durableId="1980110796">
    <w:abstractNumId w:val="19"/>
  </w:num>
  <w:num w:numId="19" w16cid:durableId="864245698">
    <w:abstractNumId w:val="4"/>
  </w:num>
  <w:num w:numId="20" w16cid:durableId="1932228572">
    <w:abstractNumId w:val="11"/>
  </w:num>
  <w:num w:numId="21" w16cid:durableId="212527057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6C"/>
    <w:rsid w:val="000047FF"/>
    <w:rsid w:val="00006090"/>
    <w:rsid w:val="00043833"/>
    <w:rsid w:val="000A2A24"/>
    <w:rsid w:val="000B370A"/>
    <w:rsid w:val="000B5477"/>
    <w:rsid w:val="00104EB5"/>
    <w:rsid w:val="0016143A"/>
    <w:rsid w:val="001F642C"/>
    <w:rsid w:val="00280B3A"/>
    <w:rsid w:val="003433E9"/>
    <w:rsid w:val="00575A0C"/>
    <w:rsid w:val="006759C1"/>
    <w:rsid w:val="006D0971"/>
    <w:rsid w:val="00942602"/>
    <w:rsid w:val="00994F89"/>
    <w:rsid w:val="00A36823"/>
    <w:rsid w:val="00AE63DD"/>
    <w:rsid w:val="00B34AC4"/>
    <w:rsid w:val="00BC4D94"/>
    <w:rsid w:val="00BD2325"/>
    <w:rsid w:val="00C67E72"/>
    <w:rsid w:val="00C70A68"/>
    <w:rsid w:val="00C75610"/>
    <w:rsid w:val="00D12953"/>
    <w:rsid w:val="00D32D6B"/>
    <w:rsid w:val="00D51878"/>
    <w:rsid w:val="00D608F4"/>
    <w:rsid w:val="00D67A8A"/>
    <w:rsid w:val="00E729A9"/>
    <w:rsid w:val="00E768FF"/>
    <w:rsid w:val="00EC36F4"/>
    <w:rsid w:val="00F2046C"/>
    <w:rsid w:val="00F2317F"/>
    <w:rsid w:val="00F51ED6"/>
    <w:rsid w:val="00F761B4"/>
    <w:rsid w:val="00F85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8B76"/>
  <w15:chartTrackingRefBased/>
  <w15:docId w15:val="{D76B6BCC-9B0E-4BC6-B3E5-2C20F149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08F4"/>
    <w:pPr>
      <w:spacing w:after="0" w:line="240" w:lineRule="atLeast"/>
    </w:pPr>
    <w:rPr>
      <w:rFonts w:ascii="Verdana" w:hAnsi="Verdana"/>
      <w:spacing w:val="6"/>
      <w:kern w:val="0"/>
      <w:sz w:val="16"/>
      <w14:ligatures w14:val="none"/>
    </w:rPr>
  </w:style>
  <w:style w:type="paragraph" w:styleId="Kop1">
    <w:name w:val="heading 1"/>
    <w:basedOn w:val="Standaard"/>
    <w:next w:val="Standaard"/>
    <w:link w:val="Kop1Char"/>
    <w:uiPriority w:val="9"/>
    <w:qFormat/>
    <w:rsid w:val="00942602"/>
    <w:pPr>
      <w:keepNext/>
      <w:keepLines/>
      <w:spacing w:before="240" w:after="60"/>
      <w:outlineLvl w:val="0"/>
    </w:pPr>
    <w:rPr>
      <w:rFonts w:eastAsiaTheme="majorEastAsia" w:cstheme="majorBidi"/>
      <w:b/>
      <w:bCs/>
      <w:sz w:val="32"/>
      <w:szCs w:val="28"/>
    </w:rPr>
  </w:style>
  <w:style w:type="paragraph" w:styleId="Kop2">
    <w:name w:val="heading 2"/>
    <w:basedOn w:val="Standaard"/>
    <w:next w:val="Standaard"/>
    <w:link w:val="Kop2Char"/>
    <w:uiPriority w:val="9"/>
    <w:semiHidden/>
    <w:unhideWhenUsed/>
    <w:qFormat/>
    <w:rsid w:val="000A2A24"/>
    <w:pPr>
      <w:keepNext/>
      <w:keepLines/>
      <w:spacing w:before="240" w:after="60"/>
      <w:outlineLvl w:val="1"/>
    </w:pPr>
    <w:rPr>
      <w:rFonts w:eastAsiaTheme="majorEastAsia" w:cstheme="majorBidi"/>
      <w:b/>
      <w:bCs/>
      <w:sz w:val="28"/>
      <w:szCs w:val="26"/>
    </w:rPr>
  </w:style>
  <w:style w:type="paragraph" w:styleId="Kop3">
    <w:name w:val="heading 3"/>
    <w:basedOn w:val="Standaard"/>
    <w:next w:val="Standaard"/>
    <w:link w:val="Kop3Char"/>
    <w:uiPriority w:val="9"/>
    <w:semiHidden/>
    <w:unhideWhenUsed/>
    <w:qFormat/>
    <w:rsid w:val="00F2046C"/>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Kop4">
    <w:name w:val="heading 4"/>
    <w:basedOn w:val="Standaard"/>
    <w:next w:val="Standaard"/>
    <w:link w:val="Kop4Char"/>
    <w:uiPriority w:val="9"/>
    <w:semiHidden/>
    <w:unhideWhenUsed/>
    <w:qFormat/>
    <w:rsid w:val="00F2046C"/>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F2046C"/>
    <w:pPr>
      <w:keepNext/>
      <w:keepLines/>
      <w:spacing w:before="80" w:after="40"/>
      <w:outlineLvl w:val="4"/>
    </w:pPr>
    <w:rPr>
      <w:rFonts w:asciiTheme="minorHAnsi" w:eastAsiaTheme="majorEastAsia" w:hAnsiTheme="minorHAnsi" w:cstheme="majorBidi"/>
      <w:color w:val="365F91" w:themeColor="accent1" w:themeShade="BF"/>
    </w:rPr>
  </w:style>
  <w:style w:type="paragraph" w:styleId="Kop6">
    <w:name w:val="heading 6"/>
    <w:basedOn w:val="Standaard"/>
    <w:next w:val="Standaard"/>
    <w:link w:val="Kop6Char"/>
    <w:uiPriority w:val="9"/>
    <w:semiHidden/>
    <w:unhideWhenUsed/>
    <w:qFormat/>
    <w:rsid w:val="00F2046C"/>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2046C"/>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2046C"/>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2046C"/>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2602"/>
    <w:rPr>
      <w:rFonts w:ascii="Verdana" w:eastAsiaTheme="majorEastAsia" w:hAnsi="Verdana" w:cstheme="majorBidi"/>
      <w:b/>
      <w:bCs/>
      <w:spacing w:val="6"/>
      <w:sz w:val="32"/>
      <w:szCs w:val="28"/>
    </w:rPr>
  </w:style>
  <w:style w:type="character" w:customStyle="1" w:styleId="Kop2Char">
    <w:name w:val="Kop 2 Char"/>
    <w:basedOn w:val="Standaardalinea-lettertype"/>
    <w:link w:val="Kop2"/>
    <w:uiPriority w:val="9"/>
    <w:semiHidden/>
    <w:rsid w:val="000A2A24"/>
    <w:rPr>
      <w:rFonts w:ascii="Verdana" w:eastAsiaTheme="majorEastAsia" w:hAnsi="Verdana" w:cstheme="majorBidi"/>
      <w:b/>
      <w:bCs/>
      <w:spacing w:val="6"/>
      <w:sz w:val="28"/>
      <w:szCs w:val="26"/>
    </w:rPr>
  </w:style>
  <w:style w:type="character" w:customStyle="1" w:styleId="Kop3Char">
    <w:name w:val="Kop 3 Char"/>
    <w:basedOn w:val="Standaardalinea-lettertype"/>
    <w:link w:val="Kop3"/>
    <w:uiPriority w:val="9"/>
    <w:semiHidden/>
    <w:rsid w:val="00F2046C"/>
    <w:rPr>
      <w:rFonts w:eastAsiaTheme="majorEastAsia" w:cstheme="majorBidi"/>
      <w:color w:val="365F91" w:themeColor="accent1" w:themeShade="BF"/>
      <w:spacing w:val="6"/>
      <w:kern w:val="0"/>
      <w:sz w:val="28"/>
      <w:szCs w:val="28"/>
      <w14:ligatures w14:val="none"/>
    </w:rPr>
  </w:style>
  <w:style w:type="character" w:customStyle="1" w:styleId="Kop4Char">
    <w:name w:val="Kop 4 Char"/>
    <w:basedOn w:val="Standaardalinea-lettertype"/>
    <w:link w:val="Kop4"/>
    <w:uiPriority w:val="9"/>
    <w:semiHidden/>
    <w:rsid w:val="00F2046C"/>
    <w:rPr>
      <w:rFonts w:eastAsiaTheme="majorEastAsia" w:cstheme="majorBidi"/>
      <w:i/>
      <w:iCs/>
      <w:color w:val="365F91" w:themeColor="accent1" w:themeShade="BF"/>
      <w:spacing w:val="6"/>
      <w:kern w:val="0"/>
      <w:sz w:val="16"/>
      <w14:ligatures w14:val="none"/>
    </w:rPr>
  </w:style>
  <w:style w:type="character" w:customStyle="1" w:styleId="Kop5Char">
    <w:name w:val="Kop 5 Char"/>
    <w:basedOn w:val="Standaardalinea-lettertype"/>
    <w:link w:val="Kop5"/>
    <w:uiPriority w:val="9"/>
    <w:semiHidden/>
    <w:rsid w:val="00F2046C"/>
    <w:rPr>
      <w:rFonts w:eastAsiaTheme="majorEastAsia" w:cstheme="majorBidi"/>
      <w:color w:val="365F91" w:themeColor="accent1" w:themeShade="BF"/>
      <w:spacing w:val="6"/>
      <w:kern w:val="0"/>
      <w:sz w:val="16"/>
      <w14:ligatures w14:val="none"/>
    </w:rPr>
  </w:style>
  <w:style w:type="character" w:customStyle="1" w:styleId="Kop6Char">
    <w:name w:val="Kop 6 Char"/>
    <w:basedOn w:val="Standaardalinea-lettertype"/>
    <w:link w:val="Kop6"/>
    <w:uiPriority w:val="9"/>
    <w:semiHidden/>
    <w:rsid w:val="00F2046C"/>
    <w:rPr>
      <w:rFonts w:eastAsiaTheme="majorEastAsia" w:cstheme="majorBidi"/>
      <w:i/>
      <w:iCs/>
      <w:color w:val="595959" w:themeColor="text1" w:themeTint="A6"/>
      <w:spacing w:val="6"/>
      <w:kern w:val="0"/>
      <w:sz w:val="16"/>
      <w14:ligatures w14:val="none"/>
    </w:rPr>
  </w:style>
  <w:style w:type="character" w:customStyle="1" w:styleId="Kop7Char">
    <w:name w:val="Kop 7 Char"/>
    <w:basedOn w:val="Standaardalinea-lettertype"/>
    <w:link w:val="Kop7"/>
    <w:uiPriority w:val="9"/>
    <w:semiHidden/>
    <w:rsid w:val="00F2046C"/>
    <w:rPr>
      <w:rFonts w:eastAsiaTheme="majorEastAsia" w:cstheme="majorBidi"/>
      <w:color w:val="595959" w:themeColor="text1" w:themeTint="A6"/>
      <w:spacing w:val="6"/>
      <w:kern w:val="0"/>
      <w:sz w:val="16"/>
      <w14:ligatures w14:val="none"/>
    </w:rPr>
  </w:style>
  <w:style w:type="character" w:customStyle="1" w:styleId="Kop8Char">
    <w:name w:val="Kop 8 Char"/>
    <w:basedOn w:val="Standaardalinea-lettertype"/>
    <w:link w:val="Kop8"/>
    <w:uiPriority w:val="9"/>
    <w:semiHidden/>
    <w:rsid w:val="00F2046C"/>
    <w:rPr>
      <w:rFonts w:eastAsiaTheme="majorEastAsia" w:cstheme="majorBidi"/>
      <w:i/>
      <w:iCs/>
      <w:color w:val="272727" w:themeColor="text1" w:themeTint="D8"/>
      <w:spacing w:val="6"/>
      <w:kern w:val="0"/>
      <w:sz w:val="16"/>
      <w14:ligatures w14:val="none"/>
    </w:rPr>
  </w:style>
  <w:style w:type="character" w:customStyle="1" w:styleId="Kop9Char">
    <w:name w:val="Kop 9 Char"/>
    <w:basedOn w:val="Standaardalinea-lettertype"/>
    <w:link w:val="Kop9"/>
    <w:uiPriority w:val="9"/>
    <w:semiHidden/>
    <w:rsid w:val="00F2046C"/>
    <w:rPr>
      <w:rFonts w:eastAsiaTheme="majorEastAsia" w:cstheme="majorBidi"/>
      <w:color w:val="272727" w:themeColor="text1" w:themeTint="D8"/>
      <w:spacing w:val="6"/>
      <w:kern w:val="0"/>
      <w:sz w:val="16"/>
      <w14:ligatures w14:val="none"/>
    </w:rPr>
  </w:style>
  <w:style w:type="paragraph" w:styleId="Titel">
    <w:name w:val="Title"/>
    <w:basedOn w:val="Standaard"/>
    <w:next w:val="Standaard"/>
    <w:link w:val="TitelChar"/>
    <w:uiPriority w:val="10"/>
    <w:qFormat/>
    <w:rsid w:val="00F204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2046C"/>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F2046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2046C"/>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F2046C"/>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2046C"/>
    <w:rPr>
      <w:rFonts w:ascii="Verdana" w:hAnsi="Verdana"/>
      <w:i/>
      <w:iCs/>
      <w:color w:val="404040" w:themeColor="text1" w:themeTint="BF"/>
      <w:spacing w:val="6"/>
      <w:kern w:val="0"/>
      <w:sz w:val="16"/>
      <w14:ligatures w14:val="none"/>
    </w:rPr>
  </w:style>
  <w:style w:type="paragraph" w:styleId="Lijstalinea">
    <w:name w:val="List Paragraph"/>
    <w:basedOn w:val="Standaard"/>
    <w:uiPriority w:val="34"/>
    <w:qFormat/>
    <w:rsid w:val="00F2046C"/>
    <w:pPr>
      <w:ind w:left="720"/>
      <w:contextualSpacing/>
    </w:pPr>
  </w:style>
  <w:style w:type="character" w:styleId="Intensievebenadrukking">
    <w:name w:val="Intense Emphasis"/>
    <w:basedOn w:val="Standaardalinea-lettertype"/>
    <w:uiPriority w:val="21"/>
    <w:qFormat/>
    <w:rsid w:val="00F2046C"/>
    <w:rPr>
      <w:i/>
      <w:iCs/>
      <w:color w:val="365F91" w:themeColor="accent1" w:themeShade="BF"/>
    </w:rPr>
  </w:style>
  <w:style w:type="paragraph" w:styleId="Duidelijkcitaat">
    <w:name w:val="Intense Quote"/>
    <w:basedOn w:val="Standaard"/>
    <w:next w:val="Standaard"/>
    <w:link w:val="DuidelijkcitaatChar"/>
    <w:uiPriority w:val="30"/>
    <w:qFormat/>
    <w:rsid w:val="00F2046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DuidelijkcitaatChar">
    <w:name w:val="Duidelijk citaat Char"/>
    <w:basedOn w:val="Standaardalinea-lettertype"/>
    <w:link w:val="Duidelijkcitaat"/>
    <w:uiPriority w:val="30"/>
    <w:rsid w:val="00F2046C"/>
    <w:rPr>
      <w:rFonts w:ascii="Verdana" w:hAnsi="Verdana"/>
      <w:i/>
      <w:iCs/>
      <w:color w:val="365F91" w:themeColor="accent1" w:themeShade="BF"/>
      <w:spacing w:val="6"/>
      <w:kern w:val="0"/>
      <w:sz w:val="16"/>
      <w14:ligatures w14:val="none"/>
    </w:rPr>
  </w:style>
  <w:style w:type="character" w:styleId="Intensieveverwijzing">
    <w:name w:val="Intense Reference"/>
    <w:basedOn w:val="Standaardalinea-lettertype"/>
    <w:uiPriority w:val="32"/>
    <w:qFormat/>
    <w:rsid w:val="00F2046C"/>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8BB6-75E5-438A-AA77-D3DAFCAA5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2275</Words>
  <Characters>12514</Characters>
  <Application>Microsoft Office Word</Application>
  <DocSecurity>0</DocSecurity>
  <Lines>104</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de Groot</dc:creator>
  <cp:keywords/>
  <dc:description/>
  <cp:lastModifiedBy>Mario Koenraadt</cp:lastModifiedBy>
  <cp:revision>5</cp:revision>
  <dcterms:created xsi:type="dcterms:W3CDTF">2025-09-08T11:49:00Z</dcterms:created>
  <dcterms:modified xsi:type="dcterms:W3CDTF">2025-09-08T12:41:00Z</dcterms:modified>
</cp:coreProperties>
</file>