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326" w14:textId="426382AD" w:rsidR="005230C2" w:rsidRPr="00741790" w:rsidRDefault="00741790" w:rsidP="00741790">
      <w:pPr>
        <w:pStyle w:val="Kop1"/>
        <w:spacing w:before="0" w:after="24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Bijlage D:</w:t>
      </w:r>
      <w:r>
        <w:rPr>
          <w:rFonts w:ascii="Verdana" w:hAnsi="Verdana"/>
          <w:sz w:val="22"/>
          <w:szCs w:val="22"/>
          <w:lang w:val="nl-NL"/>
        </w:rPr>
        <w:tab/>
      </w:r>
      <w:r w:rsidR="006B2A61" w:rsidRPr="006B2A61">
        <w:rPr>
          <w:rFonts w:ascii="Verdana" w:hAnsi="Verdana"/>
          <w:sz w:val="22"/>
          <w:szCs w:val="22"/>
          <w:lang w:val="nl-NL"/>
        </w:rPr>
        <w:t>Tabeloverzicht Unit specificaties comfortniveau</w:t>
      </w:r>
      <w:r w:rsidR="00160F39" w:rsidRPr="00741790">
        <w:rPr>
          <w:rFonts w:ascii="Verdana" w:hAnsi="Verdana"/>
          <w:sz w:val="22"/>
          <w:szCs w:val="22"/>
          <w:lang w:val="nl-NL"/>
        </w:rPr>
        <w:t xml:space="preserve"> </w:t>
      </w:r>
    </w:p>
    <w:p w14:paraId="4AF0E66F" w14:textId="16C502D3" w:rsidR="00B6788B" w:rsidRDefault="00160F39" w:rsidP="006B2A61">
      <w:pPr>
        <w:spacing w:after="0"/>
        <w:jc w:val="both"/>
        <w:rPr>
          <w:rFonts w:ascii="Verdana" w:hAnsi="Verdana"/>
          <w:sz w:val="20"/>
          <w:szCs w:val="20"/>
          <w:lang w:val="nl-NL"/>
        </w:rPr>
      </w:pPr>
      <w:r w:rsidRPr="00997480">
        <w:rPr>
          <w:rFonts w:ascii="Verdana" w:hAnsi="Verdana"/>
          <w:sz w:val="20"/>
          <w:szCs w:val="20"/>
          <w:lang w:val="nl-NL"/>
        </w:rPr>
        <w:t xml:space="preserve">Onderstaand overzicht toont de </w:t>
      </w:r>
      <w:r w:rsidR="00975CDA" w:rsidRPr="00997480">
        <w:rPr>
          <w:rFonts w:ascii="Verdana" w:hAnsi="Verdana"/>
          <w:sz w:val="20"/>
          <w:szCs w:val="20"/>
          <w:lang w:val="nl-NL"/>
        </w:rPr>
        <w:t>kwaliteit van</w:t>
      </w:r>
      <w:r w:rsidRPr="00997480">
        <w:rPr>
          <w:rFonts w:ascii="Verdana" w:hAnsi="Verdana"/>
          <w:sz w:val="20"/>
          <w:szCs w:val="20"/>
          <w:lang w:val="nl-NL"/>
        </w:rPr>
        <w:t xml:space="preserve"> </w:t>
      </w:r>
      <w:r w:rsidR="00975CDA" w:rsidRPr="00997480">
        <w:rPr>
          <w:rFonts w:ascii="Verdana" w:hAnsi="Verdana"/>
          <w:sz w:val="20"/>
          <w:szCs w:val="20"/>
          <w:lang w:val="nl-NL"/>
        </w:rPr>
        <w:t>de onderdelen</w:t>
      </w:r>
      <w:r w:rsidRPr="00997480">
        <w:rPr>
          <w:rFonts w:ascii="Verdana" w:hAnsi="Verdana"/>
          <w:sz w:val="20"/>
          <w:szCs w:val="20"/>
          <w:lang w:val="nl-NL"/>
        </w:rPr>
        <w:t xml:space="preserve"> conform BBL-eisen</w:t>
      </w:r>
      <w:r w:rsidR="000335D7" w:rsidRPr="00997480">
        <w:rPr>
          <w:rFonts w:ascii="Verdana" w:hAnsi="Verdana"/>
          <w:sz w:val="20"/>
          <w:szCs w:val="20"/>
          <w:lang w:val="nl-NL"/>
        </w:rPr>
        <w:t xml:space="preserve"> voor tijdelijke bouw</w:t>
      </w:r>
      <w:r w:rsidR="00975CDA" w:rsidRPr="00997480">
        <w:rPr>
          <w:rFonts w:ascii="Verdana" w:hAnsi="Verdana"/>
          <w:sz w:val="20"/>
          <w:szCs w:val="20"/>
          <w:lang w:val="nl-NL"/>
        </w:rPr>
        <w:t xml:space="preserve"> en nieuwbouw</w:t>
      </w:r>
      <w:r w:rsidR="00793D13" w:rsidRPr="00997480">
        <w:rPr>
          <w:rFonts w:ascii="Verdana" w:hAnsi="Verdana"/>
          <w:sz w:val="20"/>
          <w:szCs w:val="20"/>
          <w:lang w:val="nl-NL"/>
        </w:rPr>
        <w:t xml:space="preserve"> (permanente bouw)</w:t>
      </w:r>
      <w:r w:rsidR="000335D7" w:rsidRPr="00997480">
        <w:rPr>
          <w:rFonts w:ascii="Verdana" w:hAnsi="Verdana"/>
          <w:sz w:val="20"/>
          <w:szCs w:val="20"/>
          <w:lang w:val="nl-NL"/>
        </w:rPr>
        <w:t xml:space="preserve">. </w:t>
      </w:r>
      <w:r w:rsidR="00975CDA" w:rsidRPr="00997480">
        <w:rPr>
          <w:rFonts w:ascii="Verdana" w:hAnsi="Verdana"/>
          <w:sz w:val="20"/>
          <w:szCs w:val="20"/>
          <w:lang w:val="nl-NL"/>
        </w:rPr>
        <w:t xml:space="preserve">Het BBL 2024 voor tijdelijke bouw geldt als minimumeis. </w:t>
      </w:r>
      <w:r w:rsidR="00793D13" w:rsidRPr="00997480">
        <w:rPr>
          <w:rFonts w:ascii="Verdana" w:hAnsi="Verdana"/>
          <w:sz w:val="20"/>
          <w:szCs w:val="20"/>
          <w:lang w:val="nl-NL"/>
        </w:rPr>
        <w:t xml:space="preserve">Inschrijvers die niet voldoen aan deze eisen worden van verdere deelname uitgesloten. De gemeente wenst een zo hoog mogelijke comfortniveau </w:t>
      </w:r>
      <w:r w:rsidR="00741790">
        <w:rPr>
          <w:rFonts w:ascii="Verdana" w:hAnsi="Verdana"/>
          <w:sz w:val="20"/>
          <w:szCs w:val="20"/>
          <w:lang w:val="nl-NL"/>
        </w:rPr>
        <w:t>te realiseren</w:t>
      </w:r>
      <w:r w:rsidR="00793D13" w:rsidRPr="00997480">
        <w:rPr>
          <w:rFonts w:ascii="Verdana" w:hAnsi="Verdana"/>
          <w:sz w:val="20"/>
          <w:szCs w:val="20"/>
          <w:lang w:val="nl-NL"/>
        </w:rPr>
        <w:t>.</w:t>
      </w:r>
    </w:p>
    <w:p w14:paraId="29C8DD87" w14:textId="77777777" w:rsidR="008455C1" w:rsidRDefault="008455C1" w:rsidP="006B2A61">
      <w:pPr>
        <w:spacing w:after="0"/>
        <w:jc w:val="both"/>
        <w:rPr>
          <w:rFonts w:ascii="Verdana" w:hAnsi="Verdana"/>
          <w:sz w:val="20"/>
          <w:szCs w:val="20"/>
          <w:lang w:val="nl-NL"/>
        </w:rPr>
      </w:pPr>
    </w:p>
    <w:p w14:paraId="6B99F5D8" w14:textId="24CB3FD3" w:rsidR="001E7300" w:rsidRDefault="001B75CA" w:rsidP="00741790">
      <w:pPr>
        <w:spacing w:after="0"/>
        <w:jc w:val="both"/>
        <w:rPr>
          <w:rFonts w:ascii="Verdana" w:hAnsi="Verdana"/>
          <w:sz w:val="20"/>
          <w:szCs w:val="20"/>
          <w:lang w:val="nl-NL"/>
        </w:rPr>
      </w:pPr>
      <w:r w:rsidRPr="00997480">
        <w:rPr>
          <w:rFonts w:ascii="Verdana" w:hAnsi="Verdana"/>
          <w:sz w:val="20"/>
          <w:szCs w:val="20"/>
          <w:lang w:val="nl-NL"/>
        </w:rPr>
        <w:t xml:space="preserve">De inschrijver dient in </w:t>
      </w:r>
      <w:r w:rsidR="00741790">
        <w:rPr>
          <w:rFonts w:ascii="Verdana" w:hAnsi="Verdana"/>
          <w:sz w:val="20"/>
          <w:szCs w:val="20"/>
          <w:lang w:val="nl-NL"/>
        </w:rPr>
        <w:t>onderstaand</w:t>
      </w:r>
      <w:r w:rsidRPr="00997480">
        <w:rPr>
          <w:rFonts w:ascii="Verdana" w:hAnsi="Verdana"/>
          <w:sz w:val="20"/>
          <w:szCs w:val="20"/>
          <w:lang w:val="nl-NL"/>
        </w:rPr>
        <w:t xml:space="preserve"> tabel aan te geven welke kwaliteit er wordt geleverd voor de ingeschreven prijs</w:t>
      </w:r>
      <w:r w:rsidR="00997480" w:rsidRPr="00997480">
        <w:rPr>
          <w:rFonts w:ascii="Verdana" w:hAnsi="Verdana"/>
          <w:sz w:val="20"/>
          <w:szCs w:val="20"/>
          <w:lang w:val="nl-NL"/>
        </w:rPr>
        <w:t xml:space="preserve"> en hier in het plan van aanpak een toelichting op te geven</w:t>
      </w:r>
      <w:r w:rsidRPr="00997480">
        <w:rPr>
          <w:rFonts w:ascii="Verdana" w:hAnsi="Verdana"/>
          <w:sz w:val="20"/>
          <w:szCs w:val="20"/>
          <w:lang w:val="nl-NL"/>
        </w:rPr>
        <w:t>. In de beoordeling van gunningscriteria ‘</w:t>
      </w:r>
      <w:r w:rsidR="001E7300" w:rsidRPr="00997480">
        <w:rPr>
          <w:rFonts w:ascii="Verdana" w:hAnsi="Verdana"/>
          <w:sz w:val="20"/>
          <w:szCs w:val="20"/>
          <w:lang w:val="nl-NL"/>
        </w:rPr>
        <w:t>G1-Comfort</w:t>
      </w:r>
      <w:r w:rsidRPr="00997480">
        <w:rPr>
          <w:rFonts w:ascii="Verdana" w:hAnsi="Verdana"/>
          <w:sz w:val="20"/>
          <w:szCs w:val="20"/>
          <w:lang w:val="nl-NL"/>
        </w:rPr>
        <w:t>’ word</w:t>
      </w:r>
      <w:r w:rsidR="001E7300" w:rsidRPr="00997480">
        <w:rPr>
          <w:rFonts w:ascii="Verdana" w:hAnsi="Verdana"/>
          <w:sz w:val="20"/>
          <w:szCs w:val="20"/>
          <w:lang w:val="nl-NL"/>
        </w:rPr>
        <w:t xml:space="preserve">t </w:t>
      </w:r>
      <w:r w:rsidR="001E7300" w:rsidRPr="002D60B8">
        <w:rPr>
          <w:rFonts w:ascii="Verdana" w:hAnsi="Verdana"/>
          <w:i/>
          <w:iCs/>
          <w:sz w:val="20"/>
          <w:szCs w:val="20"/>
          <w:lang w:val="nl-NL"/>
        </w:rPr>
        <w:t xml:space="preserve">maximaal </w:t>
      </w:r>
      <w:r w:rsidR="00987405" w:rsidRPr="002D60B8">
        <w:rPr>
          <w:rFonts w:ascii="Verdana" w:hAnsi="Verdana"/>
          <w:i/>
          <w:iCs/>
          <w:sz w:val="20"/>
          <w:szCs w:val="20"/>
          <w:lang w:val="nl-NL"/>
        </w:rPr>
        <w:t>25</w:t>
      </w:r>
      <w:r w:rsidR="001E7300" w:rsidRPr="002D60B8">
        <w:rPr>
          <w:rFonts w:ascii="Verdana" w:hAnsi="Verdana"/>
          <w:i/>
          <w:iCs/>
          <w:sz w:val="20"/>
          <w:szCs w:val="20"/>
          <w:lang w:val="nl-NL"/>
        </w:rPr>
        <w:t xml:space="preserve"> punten</w:t>
      </w:r>
      <w:r w:rsidR="001E7300" w:rsidRPr="002D60B8">
        <w:rPr>
          <w:rFonts w:ascii="Verdana" w:hAnsi="Verdana"/>
          <w:sz w:val="20"/>
          <w:szCs w:val="20"/>
          <w:lang w:val="nl-NL"/>
        </w:rPr>
        <w:t xml:space="preserve"> </w:t>
      </w:r>
      <w:r w:rsidR="001E7300" w:rsidRPr="00997480">
        <w:rPr>
          <w:rFonts w:ascii="Verdana" w:hAnsi="Verdana"/>
          <w:sz w:val="20"/>
          <w:szCs w:val="20"/>
          <w:lang w:val="nl-NL"/>
        </w:rPr>
        <w:t>toegekend aan het leveren van een hogere kwaliteit dan de minimumeis</w:t>
      </w:r>
      <w:r w:rsidR="00252CB2" w:rsidRPr="00997480">
        <w:rPr>
          <w:rFonts w:ascii="Verdana" w:hAnsi="Verdana"/>
          <w:sz w:val="20"/>
          <w:szCs w:val="20"/>
          <w:lang w:val="nl-NL"/>
        </w:rPr>
        <w:t xml:space="preserve"> conform BBL 2024 voor tijdelijke bouw</w:t>
      </w:r>
      <w:r w:rsidR="001E7300" w:rsidRPr="00997480">
        <w:rPr>
          <w:rFonts w:ascii="Verdana" w:hAnsi="Verdana"/>
          <w:sz w:val="20"/>
          <w:szCs w:val="20"/>
          <w:lang w:val="nl-NL"/>
        </w:rPr>
        <w:t>.</w:t>
      </w:r>
    </w:p>
    <w:p w14:paraId="594EF833" w14:textId="1F14FFD4" w:rsidR="00C12260" w:rsidRDefault="00C12260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251"/>
        <w:gridCol w:w="2270"/>
        <w:gridCol w:w="2128"/>
        <w:gridCol w:w="1961"/>
      </w:tblGrid>
      <w:tr w:rsidR="001576BF" w:rsidRPr="00997480" w14:paraId="726F8BEB" w14:textId="77777777" w:rsidTr="00B6788B">
        <w:trPr>
          <w:cantSplit/>
          <w:trHeight w:val="680"/>
        </w:trPr>
        <w:tc>
          <w:tcPr>
            <w:tcW w:w="13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4A7729"/>
            <w:vAlign w:val="center"/>
            <w:hideMark/>
          </w:tcPr>
          <w:p w14:paraId="409116CD" w14:textId="77777777" w:rsidR="00793D13" w:rsidRPr="00997480" w:rsidRDefault="00793D13" w:rsidP="00C307C6">
            <w:pPr>
              <w:spacing w:after="120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>ONDERDEEL</w:t>
            </w:r>
          </w:p>
        </w:tc>
        <w:tc>
          <w:tcPr>
            <w:tcW w:w="131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4A7729"/>
            <w:vAlign w:val="center"/>
          </w:tcPr>
          <w:p w14:paraId="19249AF1" w14:textId="77777777" w:rsidR="00793D13" w:rsidRPr="00997480" w:rsidRDefault="00793D13" w:rsidP="00C307C6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  <w:t>MINIMUMEIS</w:t>
            </w:r>
          </w:p>
          <w:p w14:paraId="2C58CDE5" w14:textId="77777777" w:rsidR="00793D13" w:rsidRPr="00997480" w:rsidRDefault="00793D13" w:rsidP="00C307C6">
            <w:pPr>
              <w:spacing w:after="12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  <w:t>conform BBL 2024 voor tijdelijke bouw</w:t>
            </w:r>
          </w:p>
        </w:tc>
        <w:tc>
          <w:tcPr>
            <w:tcW w:w="123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4A7729"/>
            <w:vAlign w:val="center"/>
          </w:tcPr>
          <w:p w14:paraId="65DF8276" w14:textId="77777777" w:rsidR="00793D13" w:rsidRPr="00997480" w:rsidRDefault="00793D13" w:rsidP="00C307C6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  <w:t>HOOG</w:t>
            </w:r>
          </w:p>
          <w:p w14:paraId="4A9CD284" w14:textId="77777777" w:rsidR="00793D13" w:rsidRPr="00997480" w:rsidRDefault="00793D13" w:rsidP="00C307C6">
            <w:pPr>
              <w:spacing w:after="12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  <w:t>conform BBL 2024 voor permanente bouw</w:t>
            </w:r>
          </w:p>
        </w:tc>
        <w:tc>
          <w:tcPr>
            <w:tcW w:w="113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4A7729"/>
            <w:vAlign w:val="center"/>
            <w:hideMark/>
          </w:tcPr>
          <w:p w14:paraId="7D44F022" w14:textId="77777777" w:rsidR="00793D13" w:rsidRPr="00997480" w:rsidRDefault="00793D13" w:rsidP="00C307C6">
            <w:pPr>
              <w:spacing w:after="12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  <w:t>TE LEVEREN KWALITEIT</w:t>
            </w:r>
          </w:p>
          <w:p w14:paraId="58BD54EA" w14:textId="77777777" w:rsidR="00793D13" w:rsidRPr="00997480" w:rsidRDefault="00793D13" w:rsidP="00C307C6">
            <w:pPr>
              <w:spacing w:after="12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nl-NL"/>
              </w:rPr>
              <w:t>(invullen)</w:t>
            </w:r>
          </w:p>
        </w:tc>
      </w:tr>
      <w:tr w:rsidR="00C12260" w:rsidRPr="00AB10A1" w14:paraId="54FF2CF3" w14:textId="77777777" w:rsidTr="00C12260">
        <w:trPr>
          <w:cantSplit/>
          <w:trHeight w:val="62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327887D1" w14:textId="6EC7C074" w:rsidR="00C12260" w:rsidRPr="00997480" w:rsidRDefault="00C12260" w:rsidP="00C12260">
            <w:pPr>
              <w:spacing w:after="0"/>
              <w:ind w:left="34"/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Geluideisen</w:t>
            </w:r>
          </w:p>
        </w:tc>
      </w:tr>
      <w:tr w:rsidR="001576BF" w:rsidRPr="00836C8A" w14:paraId="5600F801" w14:textId="77777777" w:rsidTr="00836C8A">
        <w:trPr>
          <w:cantSplit/>
          <w:trHeight w:val="794"/>
        </w:trPr>
        <w:tc>
          <w:tcPr>
            <w:tcW w:w="130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hideMark/>
          </w:tcPr>
          <w:p w14:paraId="3C579A53" w14:textId="52AB32AD" w:rsidR="00793D13" w:rsidRPr="001576BF" w:rsidRDefault="001576BF" w:rsidP="00C307C6">
            <w:pPr>
              <w:spacing w:before="120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Vloeren en b</w:t>
            </w:r>
            <w:r w:rsidR="002B24B4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innenw</w:t>
            </w:r>
            <w:r w:rsidR="00793D13" w:rsidRPr="009974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anden</w:t>
            </w:r>
          </w:p>
        </w:tc>
        <w:tc>
          <w:tcPr>
            <w:tcW w:w="1318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847FC" w14:textId="29D5D1EE" w:rsidR="00793D13" w:rsidRPr="00C12260" w:rsidRDefault="009B47F2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proofErr w:type="spellStart"/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D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nT,A,k</w:t>
            </w:r>
            <w:proofErr w:type="spellEnd"/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≥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  <w:r w:rsidR="00B929EA" w:rsidRPr="00C12260">
              <w:rPr>
                <w:rFonts w:ascii="Verdana" w:hAnsi="Verdana"/>
                <w:sz w:val="20"/>
                <w:szCs w:val="20"/>
                <w:lang w:val="nl-NL"/>
              </w:rPr>
              <w:t>4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2 dB </w:t>
            </w: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(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>luchtgeluid</w:t>
            </w:r>
            <w:r w:rsidR="003318E0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, </w:t>
            </w:r>
            <w:proofErr w:type="spellStart"/>
            <w:r w:rsidR="003318E0" w:rsidRPr="00C12260">
              <w:rPr>
                <w:rFonts w:ascii="Verdana" w:hAnsi="Verdana"/>
                <w:sz w:val="20"/>
                <w:szCs w:val="20"/>
                <w:lang w:val="nl-NL"/>
              </w:rPr>
              <w:t>Bbl</w:t>
            </w:r>
            <w:proofErr w:type="spellEnd"/>
            <w:r w:rsidR="003318E0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art. 4.114 lid 1 i.c.m. 4.116</w:t>
            </w: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)</w:t>
            </w:r>
          </w:p>
        </w:tc>
        <w:tc>
          <w:tcPr>
            <w:tcW w:w="1236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E3C41" w14:textId="0AE371AE" w:rsidR="00793D13" w:rsidRPr="00C12260" w:rsidRDefault="009B47F2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proofErr w:type="spellStart"/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D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nT,A,k</w:t>
            </w:r>
            <w:proofErr w:type="spellEnd"/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≥ </w:t>
            </w:r>
            <w:r w:rsidR="007B2FC9" w:rsidRPr="00C12260">
              <w:rPr>
                <w:rFonts w:ascii="Verdana" w:hAnsi="Verdana"/>
                <w:sz w:val="20"/>
                <w:szCs w:val="20"/>
                <w:lang w:val="nl-NL"/>
              </w:rPr>
              <w:t>5</w:t>
            </w: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2 dB (luchtgeluid</w:t>
            </w:r>
            <w:r w:rsidR="003318E0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, </w:t>
            </w:r>
            <w:proofErr w:type="spellStart"/>
            <w:r w:rsidR="003318E0" w:rsidRPr="00C12260">
              <w:rPr>
                <w:rFonts w:ascii="Verdana" w:hAnsi="Verdana"/>
                <w:sz w:val="20"/>
                <w:szCs w:val="20"/>
                <w:lang w:val="nl-NL"/>
              </w:rPr>
              <w:t>Bbl</w:t>
            </w:r>
            <w:proofErr w:type="spellEnd"/>
            <w:r w:rsidR="003318E0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art. 4.114 lid 1</w:t>
            </w: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)</w:t>
            </w:r>
          </w:p>
        </w:tc>
        <w:tc>
          <w:tcPr>
            <w:tcW w:w="1139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ADA5BCF" w14:textId="77777777" w:rsidR="00793D13" w:rsidRPr="00997480" w:rsidRDefault="00793D13" w:rsidP="00C307C6">
            <w:pPr>
              <w:ind w:left="33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1576BF" w:rsidRPr="00997480" w14:paraId="79814299" w14:textId="77777777" w:rsidTr="00836C8A">
        <w:trPr>
          <w:cantSplit/>
          <w:trHeight w:val="794"/>
        </w:trPr>
        <w:tc>
          <w:tcPr>
            <w:tcW w:w="130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7E37161A" w14:textId="77777777" w:rsidR="00793D13" w:rsidRPr="00997480" w:rsidRDefault="00793D13" w:rsidP="00C307C6">
            <w:pPr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7D830" w14:textId="11673AC7" w:rsidR="00793D13" w:rsidRPr="00C12260" w:rsidRDefault="009B47F2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2260">
              <w:rPr>
                <w:rFonts w:ascii="Verdana" w:hAnsi="Verdana"/>
                <w:sz w:val="20"/>
                <w:szCs w:val="20"/>
              </w:rPr>
              <w:t>L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</w:rPr>
              <w:t>nT,A</w:t>
            </w:r>
            <w:proofErr w:type="spellEnd"/>
            <w:r w:rsidR="00793D13" w:rsidRPr="00C1226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12260">
              <w:rPr>
                <w:rFonts w:ascii="Verdana" w:hAnsi="Verdana"/>
                <w:sz w:val="20"/>
                <w:szCs w:val="20"/>
              </w:rPr>
              <w:t>≤</w:t>
            </w:r>
            <w:r w:rsidR="00793D13" w:rsidRPr="00C1226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488D" w:rsidRPr="00C12260">
              <w:rPr>
                <w:rFonts w:ascii="Verdana" w:hAnsi="Verdana"/>
                <w:sz w:val="20"/>
                <w:szCs w:val="20"/>
              </w:rPr>
              <w:t>64</w:t>
            </w:r>
            <w:r w:rsidR="00793D13" w:rsidRPr="00C12260">
              <w:rPr>
                <w:rFonts w:ascii="Verdana" w:hAnsi="Verdana"/>
                <w:sz w:val="20"/>
                <w:szCs w:val="20"/>
              </w:rPr>
              <w:t xml:space="preserve"> dB </w:t>
            </w:r>
            <w:r w:rsidRPr="00C12260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793D13" w:rsidRPr="00C12260">
              <w:rPr>
                <w:rFonts w:ascii="Verdana" w:hAnsi="Verdana"/>
                <w:sz w:val="20"/>
                <w:szCs w:val="20"/>
              </w:rPr>
              <w:t>contactgeluid</w:t>
            </w:r>
            <w:proofErr w:type="spellEnd"/>
            <w:r w:rsidR="003318E0" w:rsidRPr="00C12260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3318E0" w:rsidRPr="00C12260">
              <w:rPr>
                <w:rFonts w:ascii="Verdana" w:hAnsi="Verdana"/>
                <w:sz w:val="20"/>
                <w:szCs w:val="20"/>
              </w:rPr>
              <w:t>Bbl</w:t>
            </w:r>
            <w:proofErr w:type="spellEnd"/>
            <w:r w:rsidR="003318E0" w:rsidRPr="00C12260">
              <w:rPr>
                <w:rFonts w:ascii="Verdana" w:hAnsi="Verdana"/>
                <w:sz w:val="20"/>
                <w:szCs w:val="20"/>
              </w:rPr>
              <w:t xml:space="preserve"> art. 4.114 lid 3 </w:t>
            </w:r>
            <w:proofErr w:type="spellStart"/>
            <w:r w:rsidR="003318E0" w:rsidRPr="00C12260">
              <w:rPr>
                <w:rFonts w:ascii="Verdana" w:hAnsi="Verdana"/>
                <w:sz w:val="20"/>
                <w:szCs w:val="20"/>
              </w:rPr>
              <w:t>i.c.m</w:t>
            </w:r>
            <w:proofErr w:type="spellEnd"/>
            <w:r w:rsidR="003318E0" w:rsidRPr="00C12260">
              <w:rPr>
                <w:rFonts w:ascii="Verdana" w:hAnsi="Verdana"/>
                <w:sz w:val="20"/>
                <w:szCs w:val="20"/>
              </w:rPr>
              <w:t>. 4.116</w:t>
            </w:r>
            <w:r w:rsidRPr="00C1226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D5CEA" w14:textId="1A6B6410" w:rsidR="00793D13" w:rsidRPr="00C12260" w:rsidRDefault="009B47F2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2260">
              <w:rPr>
                <w:rFonts w:ascii="Verdana" w:hAnsi="Verdana"/>
                <w:sz w:val="20"/>
                <w:szCs w:val="20"/>
              </w:rPr>
              <w:t>L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</w:rPr>
              <w:t>nT,A</w:t>
            </w:r>
            <w:proofErr w:type="spellEnd"/>
            <w:r w:rsidRPr="00C12260">
              <w:rPr>
                <w:rFonts w:ascii="Verdana" w:hAnsi="Verdana"/>
                <w:sz w:val="20"/>
                <w:szCs w:val="20"/>
              </w:rPr>
              <w:t xml:space="preserve"> ≤ </w:t>
            </w:r>
            <w:r w:rsidR="00CD488D" w:rsidRPr="00C12260">
              <w:rPr>
                <w:rFonts w:ascii="Verdana" w:hAnsi="Verdana"/>
                <w:sz w:val="20"/>
                <w:szCs w:val="20"/>
              </w:rPr>
              <w:t>54</w:t>
            </w:r>
            <w:r w:rsidRPr="00C12260">
              <w:rPr>
                <w:rFonts w:ascii="Verdana" w:hAnsi="Verdana"/>
                <w:sz w:val="20"/>
                <w:szCs w:val="20"/>
              </w:rPr>
              <w:t xml:space="preserve"> dB (</w:t>
            </w:r>
            <w:proofErr w:type="spellStart"/>
            <w:r w:rsidRPr="00C12260">
              <w:rPr>
                <w:rFonts w:ascii="Verdana" w:hAnsi="Verdana"/>
                <w:sz w:val="20"/>
                <w:szCs w:val="20"/>
              </w:rPr>
              <w:t>contactgeluid</w:t>
            </w:r>
            <w:proofErr w:type="spellEnd"/>
            <w:r w:rsidR="003318E0" w:rsidRPr="00C12260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3318E0" w:rsidRPr="00C12260">
              <w:rPr>
                <w:rFonts w:ascii="Verdana" w:hAnsi="Verdana"/>
                <w:sz w:val="20"/>
                <w:szCs w:val="20"/>
              </w:rPr>
              <w:t>Bbl</w:t>
            </w:r>
            <w:proofErr w:type="spellEnd"/>
            <w:r w:rsidR="003318E0" w:rsidRPr="00C12260">
              <w:rPr>
                <w:rFonts w:ascii="Verdana" w:hAnsi="Verdana"/>
                <w:sz w:val="20"/>
                <w:szCs w:val="20"/>
              </w:rPr>
              <w:t xml:space="preserve"> art. 4.114 lid 3</w:t>
            </w:r>
            <w:r w:rsidRPr="00C12260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5EB24EAE" w14:textId="77777777" w:rsidR="00793D13" w:rsidRPr="003318E0" w:rsidRDefault="00793D13" w:rsidP="00C307C6">
            <w:pPr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8455C1" w:rsidRPr="00836C8A" w14:paraId="03A7364E" w14:textId="77777777" w:rsidTr="00836C8A">
        <w:trPr>
          <w:cantSplit/>
          <w:trHeight w:val="245"/>
        </w:trPr>
        <w:tc>
          <w:tcPr>
            <w:tcW w:w="13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0AA903A8" w14:textId="03CB4751" w:rsidR="008455C1" w:rsidRPr="003C77F6" w:rsidRDefault="008455C1" w:rsidP="00C307C6">
            <w:pPr>
              <w:spacing w:before="120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3C77F6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Installaties</w:t>
            </w:r>
          </w:p>
        </w:tc>
        <w:tc>
          <w:tcPr>
            <w:tcW w:w="131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DFF4D" w14:textId="3C1F010C" w:rsidR="008455C1" w:rsidRPr="003C77F6" w:rsidRDefault="008455C1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proofErr w:type="spellStart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>L</w:t>
            </w:r>
            <w:r w:rsidRPr="003C77F6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i,A,k</w:t>
            </w:r>
            <w:proofErr w:type="spellEnd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 xml:space="preserve"> ≤ 40 dB (installatiegeluid, </w:t>
            </w:r>
            <w:proofErr w:type="spellStart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>Bbl</w:t>
            </w:r>
            <w:proofErr w:type="spellEnd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 xml:space="preserve"> art. 4.108 lid 1 en 2 i.c.m. 4.109)</w:t>
            </w:r>
          </w:p>
        </w:tc>
        <w:tc>
          <w:tcPr>
            <w:tcW w:w="12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7FA72" w14:textId="0891724B" w:rsidR="008455C1" w:rsidRPr="003C77F6" w:rsidRDefault="008455C1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proofErr w:type="spellStart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>L</w:t>
            </w:r>
            <w:r w:rsidRPr="003C77F6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i,A,k</w:t>
            </w:r>
            <w:proofErr w:type="spellEnd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 xml:space="preserve"> ≤ 30 dB (installatiegeluid, </w:t>
            </w:r>
            <w:proofErr w:type="spellStart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>Bbl</w:t>
            </w:r>
            <w:proofErr w:type="spellEnd"/>
            <w:r w:rsidRPr="003C77F6">
              <w:rPr>
                <w:rFonts w:ascii="Verdana" w:hAnsi="Verdana"/>
                <w:sz w:val="20"/>
                <w:szCs w:val="20"/>
                <w:lang w:val="nl-NL"/>
              </w:rPr>
              <w:t xml:space="preserve"> art. 4.108 lid 1 en 2)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D8FE093" w14:textId="77777777" w:rsidR="008455C1" w:rsidRPr="008455C1" w:rsidRDefault="008455C1" w:rsidP="00C307C6">
            <w:pPr>
              <w:ind w:left="33"/>
              <w:rPr>
                <w:rFonts w:ascii="Verdana" w:hAnsi="Verdana"/>
                <w:sz w:val="20"/>
                <w:szCs w:val="20"/>
                <w:highlight w:val="yellow"/>
                <w:lang w:val="nl-NL"/>
              </w:rPr>
            </w:pPr>
          </w:p>
        </w:tc>
      </w:tr>
      <w:tr w:rsidR="00C12260" w:rsidRPr="00AB10A1" w14:paraId="294A87E2" w14:textId="77777777" w:rsidTr="00C12260">
        <w:trPr>
          <w:cantSplit/>
          <w:trHeight w:val="62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30B84C0E" w14:textId="427A1857" w:rsidR="00C12260" w:rsidRPr="00997480" w:rsidRDefault="00C12260" w:rsidP="00C12260">
            <w:pPr>
              <w:spacing w:after="0"/>
              <w:ind w:left="33"/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Thermische eisen</w:t>
            </w:r>
          </w:p>
        </w:tc>
      </w:tr>
      <w:tr w:rsidR="001576BF" w:rsidRPr="00836C8A" w14:paraId="62FB6CA4" w14:textId="77777777" w:rsidTr="00C12260">
        <w:trPr>
          <w:cantSplit/>
          <w:trHeight w:val="1109"/>
        </w:trPr>
        <w:tc>
          <w:tcPr>
            <w:tcW w:w="13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 w:themeFill="accent3" w:themeFillTint="66"/>
            <w:hideMark/>
          </w:tcPr>
          <w:p w14:paraId="6EE4DC2B" w14:textId="48576D76" w:rsidR="00793D13" w:rsidRPr="00997480" w:rsidRDefault="00793D13" w:rsidP="00C307C6">
            <w:pPr>
              <w:spacing w:before="120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Gevelopeningen</w:t>
            </w:r>
          </w:p>
        </w:tc>
        <w:tc>
          <w:tcPr>
            <w:tcW w:w="131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F4FBC" w14:textId="77777777" w:rsidR="00793D13" w:rsidRPr="00C12260" w:rsidRDefault="00793D13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U ≤ 2,2 W/m²·K per onderdeel</w:t>
            </w:r>
          </w:p>
        </w:tc>
        <w:tc>
          <w:tcPr>
            <w:tcW w:w="12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D1B5" w14:textId="77777777" w:rsidR="00793D13" w:rsidRPr="00C12260" w:rsidRDefault="00793D13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U ≤ 2,2 W/m²·K per onderdeel; gemiddeld U ≤ 1,65 W/m²·K voor alle samen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4D341AF8" w14:textId="77777777" w:rsidR="00793D13" w:rsidRPr="00997480" w:rsidRDefault="00793D13" w:rsidP="00C307C6">
            <w:pPr>
              <w:ind w:left="33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1576BF" w:rsidRPr="00997480" w14:paraId="70AD3EDD" w14:textId="77777777" w:rsidTr="00C12260">
        <w:trPr>
          <w:cantSplit/>
          <w:trHeight w:val="397"/>
        </w:trPr>
        <w:tc>
          <w:tcPr>
            <w:tcW w:w="13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6283B388" w14:textId="77777777" w:rsidR="00793D13" w:rsidRPr="00997480" w:rsidRDefault="00793D13" w:rsidP="00C307C6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Buitenwanden / gevels</w:t>
            </w:r>
          </w:p>
        </w:tc>
        <w:tc>
          <w:tcPr>
            <w:tcW w:w="131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B4E15" w14:textId="5A8B4497" w:rsidR="00793D13" w:rsidRPr="00C12260" w:rsidRDefault="00793D13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R</w:t>
            </w:r>
            <w:r w:rsidR="00E42440"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C</w:t>
            </w:r>
            <w:r w:rsidR="00F8454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≥</w:t>
            </w: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2,6 m²·K/W</w:t>
            </w:r>
          </w:p>
        </w:tc>
        <w:tc>
          <w:tcPr>
            <w:tcW w:w="12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F6821" w14:textId="376892DE" w:rsidR="00793D13" w:rsidRPr="00C12260" w:rsidRDefault="00E42440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R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C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  <w:r w:rsidR="00F8454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≥ 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>4,7 m²·K/W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038A6E11" w14:textId="77777777" w:rsidR="00793D13" w:rsidRPr="00997480" w:rsidRDefault="00793D13" w:rsidP="00C307C6">
            <w:pPr>
              <w:spacing w:before="120" w:after="120"/>
              <w:ind w:left="31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1576BF" w:rsidRPr="00997480" w14:paraId="0C0DBA62" w14:textId="77777777" w:rsidTr="00C12260">
        <w:trPr>
          <w:cantSplit/>
          <w:trHeight w:val="397"/>
        </w:trPr>
        <w:tc>
          <w:tcPr>
            <w:tcW w:w="13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4151A96F" w14:textId="77777777" w:rsidR="00793D13" w:rsidRPr="00997480" w:rsidRDefault="00793D13" w:rsidP="00C307C6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9974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Daken</w:t>
            </w:r>
          </w:p>
        </w:tc>
        <w:tc>
          <w:tcPr>
            <w:tcW w:w="131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DD89E" w14:textId="32B40B23" w:rsidR="00793D13" w:rsidRPr="00C12260" w:rsidRDefault="00E42440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R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C</w:t>
            </w:r>
            <w:r w:rsidR="00F8454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≥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2,6 m²·K/W</w:t>
            </w:r>
          </w:p>
        </w:tc>
        <w:tc>
          <w:tcPr>
            <w:tcW w:w="12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C28AB" w14:textId="37E79902" w:rsidR="00793D13" w:rsidRPr="00C12260" w:rsidRDefault="00E42440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R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C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  <w:r w:rsidR="00F8454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≥ 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>6</w:t>
            </w:r>
            <w:r w:rsidR="008455C1" w:rsidRPr="00C12260">
              <w:rPr>
                <w:rFonts w:ascii="Verdana" w:hAnsi="Verdana"/>
                <w:sz w:val="20"/>
                <w:szCs w:val="20"/>
                <w:lang w:val="nl-NL"/>
              </w:rPr>
              <w:t>,</w:t>
            </w:r>
            <w:r w:rsidR="00793D13" w:rsidRPr="00C12260">
              <w:rPr>
                <w:rFonts w:ascii="Verdana" w:hAnsi="Verdana"/>
                <w:sz w:val="20"/>
                <w:szCs w:val="20"/>
                <w:lang w:val="nl-NL"/>
              </w:rPr>
              <w:t>3 m²·K/W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C413151" w14:textId="77777777" w:rsidR="00793D13" w:rsidRPr="00997480" w:rsidRDefault="00793D13" w:rsidP="00C307C6">
            <w:pPr>
              <w:ind w:left="31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203C9D" w:rsidRPr="00997480" w14:paraId="65A7FF24" w14:textId="77777777" w:rsidTr="00C12260">
        <w:trPr>
          <w:cantSplit/>
          <w:trHeight w:val="648"/>
        </w:trPr>
        <w:tc>
          <w:tcPr>
            <w:tcW w:w="13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 w:themeFill="accent3" w:themeFillTint="66"/>
            <w:vAlign w:val="center"/>
          </w:tcPr>
          <w:p w14:paraId="6568DF71" w14:textId="32A5B7EA" w:rsidR="00203C9D" w:rsidRPr="00203C9D" w:rsidRDefault="003C77F6" w:rsidP="00203C9D">
            <w:pPr>
              <w:spacing w:before="120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V</w:t>
            </w:r>
            <w:r w:rsidR="00203C9D" w:rsidRPr="009974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loeren</w:t>
            </w:r>
            <w:r w:rsidR="00203C9D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318" w:type="pc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0E3F2" w14:textId="45615815" w:rsidR="00203C9D" w:rsidRPr="00C12260" w:rsidRDefault="00E42440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R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C</w:t>
            </w:r>
            <w:r w:rsidR="00F8454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≥</w:t>
            </w:r>
            <w:r w:rsidR="00203C9D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2,6 m²·K/W</w:t>
            </w:r>
          </w:p>
        </w:tc>
        <w:tc>
          <w:tcPr>
            <w:tcW w:w="123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571FC" w14:textId="03DAF2E3" w:rsidR="00203C9D" w:rsidRPr="00C12260" w:rsidRDefault="00E42440" w:rsidP="00836C8A">
            <w:pPr>
              <w:spacing w:before="120" w:after="120"/>
              <w:ind w:left="34"/>
              <w:jc w:val="center"/>
              <w:rPr>
                <w:rFonts w:ascii="Verdana" w:hAnsi="Verdana"/>
                <w:sz w:val="20"/>
                <w:szCs w:val="20"/>
                <w:lang w:val="nl-NL"/>
              </w:rPr>
            </w:pPr>
            <w:r w:rsidRPr="00C12260">
              <w:rPr>
                <w:rFonts w:ascii="Verdana" w:hAnsi="Verdana"/>
                <w:sz w:val="20"/>
                <w:szCs w:val="20"/>
                <w:lang w:val="nl-NL"/>
              </w:rPr>
              <w:t>R</w:t>
            </w:r>
            <w:r w:rsidRPr="00C12260">
              <w:rPr>
                <w:rFonts w:ascii="Verdana" w:hAnsi="Verdana"/>
                <w:sz w:val="20"/>
                <w:szCs w:val="20"/>
                <w:vertAlign w:val="subscript"/>
                <w:lang w:val="nl-NL"/>
              </w:rPr>
              <w:t>C</w:t>
            </w:r>
            <w:r w:rsidR="00203C9D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  <w:r w:rsidR="00F84543" w:rsidRPr="00C12260">
              <w:rPr>
                <w:rFonts w:ascii="Verdana" w:hAnsi="Verdana"/>
                <w:sz w:val="20"/>
                <w:szCs w:val="20"/>
                <w:lang w:val="nl-NL"/>
              </w:rPr>
              <w:t xml:space="preserve">≥ </w:t>
            </w:r>
            <w:r w:rsidR="00203C9D" w:rsidRPr="00C12260">
              <w:rPr>
                <w:rFonts w:ascii="Verdana" w:hAnsi="Verdana"/>
                <w:sz w:val="20"/>
                <w:szCs w:val="20"/>
                <w:lang w:val="nl-NL"/>
              </w:rPr>
              <w:t>3,7 m²·K/W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14:paraId="7032BDCB" w14:textId="77777777" w:rsidR="00203C9D" w:rsidRPr="00997480" w:rsidRDefault="00203C9D" w:rsidP="00C307C6">
            <w:pPr>
              <w:ind w:left="316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4F0541F6" w14:textId="31730F8D" w:rsidR="006C436B" w:rsidRDefault="006C436B" w:rsidP="000A6F2D">
      <w:pPr>
        <w:rPr>
          <w:rFonts w:ascii="Verdana" w:hAnsi="Verdana"/>
          <w:sz w:val="20"/>
          <w:szCs w:val="20"/>
          <w:lang w:val="nl-NL"/>
        </w:rPr>
      </w:pPr>
    </w:p>
    <w:p w14:paraId="1FBE08D6" w14:textId="77777777" w:rsidR="00E604D7" w:rsidRDefault="00E604D7" w:rsidP="000A6F2D">
      <w:pPr>
        <w:rPr>
          <w:rFonts w:ascii="Verdana" w:hAnsi="Verdana"/>
          <w:sz w:val="20"/>
          <w:szCs w:val="20"/>
          <w:lang w:val="nl-NL"/>
        </w:rPr>
      </w:pPr>
    </w:p>
    <w:p w14:paraId="53E33EC7" w14:textId="77777777" w:rsidR="00E604D7" w:rsidRDefault="00E604D7" w:rsidP="000A6F2D">
      <w:pPr>
        <w:rPr>
          <w:rFonts w:ascii="Verdana" w:hAnsi="Verdana"/>
          <w:sz w:val="20"/>
          <w:szCs w:val="20"/>
          <w:lang w:val="nl-NL"/>
        </w:rPr>
      </w:pPr>
    </w:p>
    <w:p w14:paraId="32D63954" w14:textId="77777777" w:rsidR="00E604D7" w:rsidRDefault="00E604D7" w:rsidP="000A6F2D">
      <w:pPr>
        <w:rPr>
          <w:rFonts w:ascii="Verdana" w:hAnsi="Verdana"/>
          <w:sz w:val="20"/>
          <w:szCs w:val="20"/>
          <w:lang w:val="nl-NL"/>
        </w:rPr>
      </w:pPr>
    </w:p>
    <w:p w14:paraId="4FC1EDF3" w14:textId="5C87DE17" w:rsidR="00E604D7" w:rsidRDefault="00E604D7" w:rsidP="000A6F2D">
      <w:pPr>
        <w:rPr>
          <w:rFonts w:ascii="Verdana" w:hAnsi="Verdana"/>
          <w:sz w:val="20"/>
          <w:szCs w:val="20"/>
          <w:lang w:val="nl-NL"/>
        </w:rPr>
      </w:pPr>
      <w:r w:rsidRPr="00E604D7">
        <w:rPr>
          <w:rFonts w:ascii="Verdana" w:hAnsi="Verdana"/>
          <w:b/>
          <w:bCs/>
          <w:sz w:val="20"/>
          <w:szCs w:val="20"/>
          <w:lang w:val="nl-NL"/>
        </w:rPr>
        <w:lastRenderedPageBreak/>
        <w:t>Toelichting</w:t>
      </w:r>
      <w:r>
        <w:rPr>
          <w:rFonts w:ascii="Verdana" w:hAnsi="Verdana"/>
          <w:sz w:val="20"/>
          <w:szCs w:val="20"/>
          <w:lang w:val="nl-NL"/>
        </w:rPr>
        <w:t>:</w:t>
      </w:r>
    </w:p>
    <w:p w14:paraId="63B19033" w14:textId="77777777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  <w:r w:rsidRPr="00E604D7">
        <w:rPr>
          <w:rFonts w:ascii="Verdana" w:hAnsi="Verdana"/>
          <w:sz w:val="20"/>
          <w:szCs w:val="20"/>
          <w:lang w:val="nl-NL"/>
        </w:rPr>
        <w:t xml:space="preserve">De </w:t>
      </w:r>
      <w:r w:rsidRPr="00E604D7">
        <w:rPr>
          <w:rFonts w:ascii="Verdana" w:hAnsi="Verdana"/>
          <w:sz w:val="20"/>
          <w:szCs w:val="20"/>
          <w:u w:val="single"/>
          <w:lang w:val="nl-NL"/>
        </w:rPr>
        <w:t>letter D</w:t>
      </w:r>
      <w:r w:rsidRPr="00E604D7">
        <w:rPr>
          <w:rFonts w:ascii="Verdana" w:hAnsi="Verdana"/>
          <w:sz w:val="20"/>
          <w:szCs w:val="20"/>
          <w:lang w:val="nl-NL"/>
        </w:rPr>
        <w:t xml:space="preserve"> staat voor </w:t>
      </w:r>
      <w:proofErr w:type="spellStart"/>
      <w:r w:rsidRPr="00E604D7">
        <w:rPr>
          <w:rFonts w:ascii="Verdana" w:hAnsi="Verdana"/>
          <w:sz w:val="20"/>
          <w:szCs w:val="20"/>
          <w:lang w:val="nl-NL"/>
        </w:rPr>
        <w:t>difference</w:t>
      </w:r>
      <w:proofErr w:type="spellEnd"/>
      <w:r w:rsidRPr="00E604D7">
        <w:rPr>
          <w:rFonts w:ascii="Verdana" w:hAnsi="Verdana"/>
          <w:sz w:val="20"/>
          <w:szCs w:val="20"/>
          <w:lang w:val="nl-NL"/>
        </w:rPr>
        <w:t xml:space="preserve"> (verschil), hier volgens NEN 5077 voor het ‘luchtgeluidniveauverschil’, te weten het verschil in geluidniveau tussen de zendruimte waarin de meetgeluidbron is opgesteld, en de ontvangruimte.</w:t>
      </w:r>
    </w:p>
    <w:p w14:paraId="2DF5E90B" w14:textId="77777777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  <w:r w:rsidRPr="00E604D7">
        <w:rPr>
          <w:rFonts w:ascii="Verdana" w:hAnsi="Verdana"/>
          <w:sz w:val="20"/>
          <w:szCs w:val="20"/>
          <w:lang w:val="nl-NL"/>
        </w:rPr>
        <w:t>Bij een groter verschil wordt er minder geluid doorgegeven en hebben bewoners dus minder last van geluid van hun buren.</w:t>
      </w:r>
    </w:p>
    <w:p w14:paraId="4DFA0FC8" w14:textId="77777777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</w:p>
    <w:p w14:paraId="0D3C3BC2" w14:textId="7D0A4413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De </w:t>
      </w:r>
      <w:r w:rsidRPr="00E604D7">
        <w:rPr>
          <w:rFonts w:ascii="Verdana" w:hAnsi="Verdana"/>
          <w:sz w:val="20"/>
          <w:szCs w:val="20"/>
          <w:u w:val="single"/>
          <w:lang w:val="nl-NL"/>
        </w:rPr>
        <w:t xml:space="preserve">letter </w:t>
      </w:r>
      <w:r w:rsidRPr="00E604D7">
        <w:rPr>
          <w:rFonts w:ascii="Verdana" w:hAnsi="Verdana"/>
          <w:sz w:val="20"/>
          <w:szCs w:val="20"/>
          <w:u w:val="single"/>
          <w:lang w:val="nl-NL"/>
        </w:rPr>
        <w:t>L</w:t>
      </w:r>
      <w:r w:rsidRPr="00E604D7">
        <w:rPr>
          <w:rFonts w:ascii="Verdana" w:hAnsi="Verdana"/>
          <w:sz w:val="20"/>
          <w:szCs w:val="20"/>
          <w:lang w:val="nl-NL"/>
        </w:rPr>
        <w:t xml:space="preserve"> staat voor Level (niveau).</w:t>
      </w:r>
    </w:p>
    <w:p w14:paraId="5ACD3B9F" w14:textId="77777777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  <w:r w:rsidRPr="00E604D7">
        <w:rPr>
          <w:rFonts w:ascii="Verdana" w:hAnsi="Verdana"/>
          <w:sz w:val="20"/>
          <w:szCs w:val="20"/>
          <w:lang w:val="nl-NL"/>
        </w:rPr>
        <w:t>Voor contactgeluid volgens NEN 5077 is dat het contactgeluidniveau dat wordt veroorzaakt door een genormeerde hamermachine die op de vloer staat te hameren.</w:t>
      </w:r>
    </w:p>
    <w:p w14:paraId="0E751ACE" w14:textId="77777777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  <w:r w:rsidRPr="00E604D7">
        <w:rPr>
          <w:rFonts w:ascii="Verdana" w:hAnsi="Verdana"/>
          <w:sz w:val="20"/>
          <w:szCs w:val="20"/>
          <w:lang w:val="nl-NL"/>
        </w:rPr>
        <w:t>Bij een lager contactgeluidniveau wordt er minder contactgeluid (zoals voetstappen, schuiven van stoelen, vallen van voorwerpen e.d.) doorgegeven en hebben bewoners dus minder last van o.a. loopgeluiden van andere bewoners.</w:t>
      </w:r>
    </w:p>
    <w:p w14:paraId="3D9214B9" w14:textId="77777777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</w:p>
    <w:p w14:paraId="2831C66A" w14:textId="77777777" w:rsidR="00E604D7" w:rsidRPr="00E604D7" w:rsidRDefault="00E604D7" w:rsidP="00E604D7">
      <w:pPr>
        <w:rPr>
          <w:rFonts w:ascii="Verdana" w:hAnsi="Verdana"/>
          <w:sz w:val="20"/>
          <w:szCs w:val="20"/>
          <w:lang w:val="nl-NL"/>
        </w:rPr>
      </w:pPr>
      <w:r w:rsidRPr="00E604D7">
        <w:rPr>
          <w:rFonts w:ascii="Verdana" w:hAnsi="Verdana"/>
          <w:sz w:val="20"/>
          <w:szCs w:val="20"/>
          <w:lang w:val="nl-NL"/>
        </w:rPr>
        <w:t xml:space="preserve">Voor </w:t>
      </w:r>
      <w:r w:rsidRPr="00E604D7">
        <w:rPr>
          <w:rFonts w:ascii="Verdana" w:hAnsi="Verdana"/>
          <w:sz w:val="20"/>
          <w:szCs w:val="20"/>
          <w:u w:val="single"/>
          <w:lang w:val="nl-NL"/>
        </w:rPr>
        <w:t>installaties</w:t>
      </w:r>
      <w:r w:rsidRPr="00E604D7">
        <w:rPr>
          <w:rFonts w:ascii="Verdana" w:hAnsi="Verdana"/>
          <w:sz w:val="20"/>
          <w:szCs w:val="20"/>
          <w:lang w:val="nl-NL"/>
        </w:rPr>
        <w:t xml:space="preserve"> gaat het volgens NEN 5077 om het installatiegeluidniveau dat wordt veroorzaakt als die installatie in werking is. Dat betreft volgens art. 4.108 lid 1 ‘een toilet met waterspoeling, een kraan, een mechanische voorziening voor luchtverversing, een installatie voor warmte- of </w:t>
      </w:r>
      <w:proofErr w:type="spellStart"/>
      <w:r w:rsidRPr="00E604D7">
        <w:rPr>
          <w:rFonts w:ascii="Verdana" w:hAnsi="Verdana"/>
          <w:sz w:val="20"/>
          <w:szCs w:val="20"/>
          <w:lang w:val="nl-NL"/>
        </w:rPr>
        <w:t>koudeopwekking</w:t>
      </w:r>
      <w:proofErr w:type="spellEnd"/>
      <w:r w:rsidRPr="00E604D7">
        <w:rPr>
          <w:rFonts w:ascii="Verdana" w:hAnsi="Verdana"/>
          <w:sz w:val="20"/>
          <w:szCs w:val="20"/>
          <w:lang w:val="nl-NL"/>
        </w:rPr>
        <w:t xml:space="preserve">, een installatie voor het verhogen van waterdruk of een lift’ en volgens lid 2 ‘een mechanische voorziening voor luchtverversing of warmterugwinning, of een installatie voor warmte- of </w:t>
      </w:r>
      <w:proofErr w:type="spellStart"/>
      <w:r w:rsidRPr="00E604D7">
        <w:rPr>
          <w:rFonts w:ascii="Verdana" w:hAnsi="Verdana"/>
          <w:sz w:val="20"/>
          <w:szCs w:val="20"/>
          <w:lang w:val="nl-NL"/>
        </w:rPr>
        <w:t>koudeopwekking</w:t>
      </w:r>
      <w:proofErr w:type="spellEnd"/>
      <w:r w:rsidRPr="00E604D7">
        <w:rPr>
          <w:rFonts w:ascii="Verdana" w:hAnsi="Verdana"/>
          <w:sz w:val="20"/>
          <w:szCs w:val="20"/>
          <w:lang w:val="nl-NL"/>
        </w:rPr>
        <w:t>’.</w:t>
      </w:r>
    </w:p>
    <w:p w14:paraId="006A7266" w14:textId="189595BF" w:rsidR="00E604D7" w:rsidRPr="00997480" w:rsidRDefault="00E604D7" w:rsidP="00E604D7">
      <w:pPr>
        <w:rPr>
          <w:rFonts w:ascii="Verdana" w:hAnsi="Verdana"/>
          <w:sz w:val="20"/>
          <w:szCs w:val="20"/>
          <w:lang w:val="nl-NL"/>
        </w:rPr>
      </w:pPr>
      <w:r w:rsidRPr="00E604D7">
        <w:rPr>
          <w:rFonts w:ascii="Verdana" w:hAnsi="Verdana"/>
          <w:sz w:val="20"/>
          <w:szCs w:val="20"/>
          <w:lang w:val="nl-NL"/>
        </w:rPr>
        <w:t>Bij een lager installatiegeluidniveau zullen bewoners daar begrijpelijkerwijze ook minder last van hebben.</w:t>
      </w:r>
    </w:p>
    <w:sectPr w:rsidR="00E604D7" w:rsidRPr="00997480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1E04" w14:textId="77777777" w:rsidR="004246F2" w:rsidRDefault="004246F2" w:rsidP="004246F2">
      <w:pPr>
        <w:spacing w:after="0" w:line="240" w:lineRule="auto"/>
      </w:pPr>
      <w:r>
        <w:separator/>
      </w:r>
    </w:p>
  </w:endnote>
  <w:endnote w:type="continuationSeparator" w:id="0">
    <w:p w14:paraId="24BE0026" w14:textId="77777777" w:rsidR="004246F2" w:rsidRDefault="004246F2" w:rsidP="0042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804" w14:textId="13176DAA" w:rsidR="004246F2" w:rsidRPr="004246F2" w:rsidRDefault="004246F2" w:rsidP="00A879E2">
    <w:pPr>
      <w:pStyle w:val="Voettekst"/>
      <w:ind w:left="142"/>
      <w:rPr>
        <w:rFonts w:ascii="Verdana" w:hAnsi="Verdana"/>
        <w:color w:val="A6A6A6" w:themeColor="background1" w:themeShade="A6"/>
        <w:sz w:val="16"/>
        <w:szCs w:val="16"/>
        <w:lang w:val="nl-NL"/>
      </w:rPr>
    </w:pPr>
    <w:r w:rsidRPr="004246F2">
      <w:rPr>
        <w:rFonts w:ascii="Verdana" w:hAnsi="Verdana"/>
        <w:color w:val="A6A6A6" w:themeColor="background1" w:themeShade="A6"/>
        <w:sz w:val="16"/>
        <w:szCs w:val="16"/>
        <w:lang w:val="nl-NL"/>
      </w:rPr>
      <w:t>Versie 2025</w:t>
    </w:r>
    <w:r w:rsidR="00FD30EE">
      <w:rPr>
        <w:rFonts w:ascii="Verdana" w:hAnsi="Verdana"/>
        <w:color w:val="A6A6A6" w:themeColor="background1" w:themeShade="A6"/>
        <w:sz w:val="16"/>
        <w:szCs w:val="16"/>
        <w:lang w:val="nl-NL"/>
      </w:rPr>
      <w:t>100</w:t>
    </w:r>
    <w:r w:rsidR="008455C1">
      <w:rPr>
        <w:rFonts w:ascii="Verdana" w:hAnsi="Verdana"/>
        <w:color w:val="A6A6A6" w:themeColor="background1" w:themeShade="A6"/>
        <w:sz w:val="16"/>
        <w:szCs w:val="16"/>
        <w:lang w:val="nl-NL"/>
      </w:rPr>
      <w:t>2</w:t>
    </w:r>
    <w:r w:rsidRPr="004246F2">
      <w:rPr>
        <w:rFonts w:ascii="Verdana" w:hAnsi="Verdana"/>
        <w:color w:val="A6A6A6" w:themeColor="background1" w:themeShade="A6"/>
        <w:sz w:val="16"/>
        <w:szCs w:val="16"/>
        <w:lang w:val="nl-NL"/>
      </w:rPr>
      <w:tab/>
    </w:r>
    <w:r w:rsidRPr="004246F2">
      <w:rPr>
        <w:rFonts w:ascii="Verdana" w:hAnsi="Verdana"/>
        <w:color w:val="A6A6A6" w:themeColor="background1" w:themeShade="A6"/>
        <w:sz w:val="16"/>
        <w:szCs w:val="16"/>
        <w:lang w:val="nl-NL"/>
      </w:rPr>
      <w:tab/>
      <w:t>Pagina 1 van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01AC" w14:textId="77777777" w:rsidR="004246F2" w:rsidRDefault="004246F2" w:rsidP="004246F2">
      <w:pPr>
        <w:spacing w:after="0" w:line="240" w:lineRule="auto"/>
      </w:pPr>
      <w:r>
        <w:separator/>
      </w:r>
    </w:p>
  </w:footnote>
  <w:footnote w:type="continuationSeparator" w:id="0">
    <w:p w14:paraId="4F10A0D9" w14:textId="77777777" w:rsidR="004246F2" w:rsidRDefault="004246F2" w:rsidP="0042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531AB9"/>
    <w:multiLevelType w:val="hybridMultilevel"/>
    <w:tmpl w:val="E7D6BFB8"/>
    <w:lvl w:ilvl="0" w:tplc="76029C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4068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0EB5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6CEC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3A7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53830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6A428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620E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B5405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C1C674F"/>
    <w:multiLevelType w:val="hybridMultilevel"/>
    <w:tmpl w:val="9EA239E8"/>
    <w:lvl w:ilvl="0" w:tplc="03DC470A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86609"/>
    <w:multiLevelType w:val="hybridMultilevel"/>
    <w:tmpl w:val="0FA80542"/>
    <w:lvl w:ilvl="0" w:tplc="77FC5D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30E6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D218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620E4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CBAEE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14C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A4A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1C65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ED63B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4DDE7CBC"/>
    <w:multiLevelType w:val="hybridMultilevel"/>
    <w:tmpl w:val="7BC81426"/>
    <w:lvl w:ilvl="0" w:tplc="44B442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4084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FDECA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8081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75AA3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67201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96A7D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F9CA2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54F9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5C950099"/>
    <w:multiLevelType w:val="hybridMultilevel"/>
    <w:tmpl w:val="603C78C2"/>
    <w:lvl w:ilvl="0" w:tplc="921224A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3332">
    <w:abstractNumId w:val="8"/>
  </w:num>
  <w:num w:numId="2" w16cid:durableId="890385617">
    <w:abstractNumId w:val="6"/>
  </w:num>
  <w:num w:numId="3" w16cid:durableId="1393851002">
    <w:abstractNumId w:val="5"/>
  </w:num>
  <w:num w:numId="4" w16cid:durableId="1401558977">
    <w:abstractNumId w:val="4"/>
  </w:num>
  <w:num w:numId="5" w16cid:durableId="551575397">
    <w:abstractNumId w:val="7"/>
  </w:num>
  <w:num w:numId="6" w16cid:durableId="1673096701">
    <w:abstractNumId w:val="3"/>
  </w:num>
  <w:num w:numId="7" w16cid:durableId="1696998151">
    <w:abstractNumId w:val="2"/>
  </w:num>
  <w:num w:numId="8" w16cid:durableId="12729221">
    <w:abstractNumId w:val="1"/>
  </w:num>
  <w:num w:numId="9" w16cid:durableId="1632906553">
    <w:abstractNumId w:val="0"/>
  </w:num>
  <w:num w:numId="10" w16cid:durableId="434403148">
    <w:abstractNumId w:val="13"/>
  </w:num>
  <w:num w:numId="11" w16cid:durableId="1147824439">
    <w:abstractNumId w:val="9"/>
  </w:num>
  <w:num w:numId="12" w16cid:durableId="849292688">
    <w:abstractNumId w:val="11"/>
  </w:num>
  <w:num w:numId="13" w16cid:durableId="19472440">
    <w:abstractNumId w:val="12"/>
  </w:num>
  <w:num w:numId="14" w16cid:durableId="13852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D6A"/>
    <w:rsid w:val="00026109"/>
    <w:rsid w:val="000335D7"/>
    <w:rsid w:val="00034616"/>
    <w:rsid w:val="00044691"/>
    <w:rsid w:val="0006063C"/>
    <w:rsid w:val="00065C4D"/>
    <w:rsid w:val="0006654E"/>
    <w:rsid w:val="000711AF"/>
    <w:rsid w:val="000849DF"/>
    <w:rsid w:val="000A17EF"/>
    <w:rsid w:val="000A6F2D"/>
    <w:rsid w:val="000B7D17"/>
    <w:rsid w:val="000D4709"/>
    <w:rsid w:val="000E7B5B"/>
    <w:rsid w:val="001045E4"/>
    <w:rsid w:val="00107109"/>
    <w:rsid w:val="0013267D"/>
    <w:rsid w:val="0015074B"/>
    <w:rsid w:val="00154A47"/>
    <w:rsid w:val="001576BF"/>
    <w:rsid w:val="00160F39"/>
    <w:rsid w:val="001B75CA"/>
    <w:rsid w:val="001E2A1E"/>
    <w:rsid w:val="001E7300"/>
    <w:rsid w:val="002039E0"/>
    <w:rsid w:val="00203C9D"/>
    <w:rsid w:val="00211764"/>
    <w:rsid w:val="00247237"/>
    <w:rsid w:val="00252CB2"/>
    <w:rsid w:val="0025464D"/>
    <w:rsid w:val="0029639D"/>
    <w:rsid w:val="002969CB"/>
    <w:rsid w:val="002A595D"/>
    <w:rsid w:val="002B24B4"/>
    <w:rsid w:val="002D2B7F"/>
    <w:rsid w:val="002D60B8"/>
    <w:rsid w:val="00302CEB"/>
    <w:rsid w:val="00312F12"/>
    <w:rsid w:val="00326F90"/>
    <w:rsid w:val="003318E0"/>
    <w:rsid w:val="0034076E"/>
    <w:rsid w:val="00346EE4"/>
    <w:rsid w:val="003510ED"/>
    <w:rsid w:val="00370D7A"/>
    <w:rsid w:val="003A24A5"/>
    <w:rsid w:val="003C4B93"/>
    <w:rsid w:val="003C77F6"/>
    <w:rsid w:val="003C7EE1"/>
    <w:rsid w:val="004200AE"/>
    <w:rsid w:val="004246F2"/>
    <w:rsid w:val="004268F8"/>
    <w:rsid w:val="004643C3"/>
    <w:rsid w:val="004A17E3"/>
    <w:rsid w:val="004A6660"/>
    <w:rsid w:val="004B0760"/>
    <w:rsid w:val="004E15B2"/>
    <w:rsid w:val="004F2C69"/>
    <w:rsid w:val="005230C2"/>
    <w:rsid w:val="00532707"/>
    <w:rsid w:val="005472D2"/>
    <w:rsid w:val="00551581"/>
    <w:rsid w:val="0055424B"/>
    <w:rsid w:val="00570010"/>
    <w:rsid w:val="00587C19"/>
    <w:rsid w:val="00594B18"/>
    <w:rsid w:val="005A2A6A"/>
    <w:rsid w:val="005F7BF4"/>
    <w:rsid w:val="00635903"/>
    <w:rsid w:val="00685306"/>
    <w:rsid w:val="006B2A61"/>
    <w:rsid w:val="006B4A2E"/>
    <w:rsid w:val="006B6EA1"/>
    <w:rsid w:val="006C37D2"/>
    <w:rsid w:val="006C436B"/>
    <w:rsid w:val="006D134C"/>
    <w:rsid w:val="00710539"/>
    <w:rsid w:val="00722CE2"/>
    <w:rsid w:val="007270B9"/>
    <w:rsid w:val="007322AE"/>
    <w:rsid w:val="00734BA5"/>
    <w:rsid w:val="00735054"/>
    <w:rsid w:val="00740A0C"/>
    <w:rsid w:val="00741790"/>
    <w:rsid w:val="00754255"/>
    <w:rsid w:val="00761976"/>
    <w:rsid w:val="00780AD9"/>
    <w:rsid w:val="0078380C"/>
    <w:rsid w:val="00783CD0"/>
    <w:rsid w:val="00793D13"/>
    <w:rsid w:val="00797448"/>
    <w:rsid w:val="007A7F3E"/>
    <w:rsid w:val="007B2FC9"/>
    <w:rsid w:val="007B7C4F"/>
    <w:rsid w:val="00820D56"/>
    <w:rsid w:val="008234C0"/>
    <w:rsid w:val="00825E50"/>
    <w:rsid w:val="00836C8A"/>
    <w:rsid w:val="008455C1"/>
    <w:rsid w:val="00863F69"/>
    <w:rsid w:val="00884DB9"/>
    <w:rsid w:val="008B5F48"/>
    <w:rsid w:val="008D0435"/>
    <w:rsid w:val="008D275A"/>
    <w:rsid w:val="008F0944"/>
    <w:rsid w:val="008F5293"/>
    <w:rsid w:val="00921F57"/>
    <w:rsid w:val="009434B5"/>
    <w:rsid w:val="00943BFD"/>
    <w:rsid w:val="00972C6D"/>
    <w:rsid w:val="00975CDA"/>
    <w:rsid w:val="00987405"/>
    <w:rsid w:val="00992488"/>
    <w:rsid w:val="00994812"/>
    <w:rsid w:val="00997480"/>
    <w:rsid w:val="009A12DD"/>
    <w:rsid w:val="009B2152"/>
    <w:rsid w:val="009B47F2"/>
    <w:rsid w:val="009B7617"/>
    <w:rsid w:val="009F2419"/>
    <w:rsid w:val="009F66D6"/>
    <w:rsid w:val="009F6E49"/>
    <w:rsid w:val="00A2718F"/>
    <w:rsid w:val="00A3502F"/>
    <w:rsid w:val="00A6208E"/>
    <w:rsid w:val="00A879E2"/>
    <w:rsid w:val="00AA1D8D"/>
    <w:rsid w:val="00AB10A1"/>
    <w:rsid w:val="00B03870"/>
    <w:rsid w:val="00B327A1"/>
    <w:rsid w:val="00B42A31"/>
    <w:rsid w:val="00B47730"/>
    <w:rsid w:val="00B522F5"/>
    <w:rsid w:val="00B6788B"/>
    <w:rsid w:val="00B71D8A"/>
    <w:rsid w:val="00B84E0B"/>
    <w:rsid w:val="00B929EA"/>
    <w:rsid w:val="00B94ADC"/>
    <w:rsid w:val="00BD05AE"/>
    <w:rsid w:val="00BF0A11"/>
    <w:rsid w:val="00C0128F"/>
    <w:rsid w:val="00C12260"/>
    <w:rsid w:val="00C35DF2"/>
    <w:rsid w:val="00C503A6"/>
    <w:rsid w:val="00C53200"/>
    <w:rsid w:val="00CB0664"/>
    <w:rsid w:val="00CD488D"/>
    <w:rsid w:val="00CD547D"/>
    <w:rsid w:val="00D02B3E"/>
    <w:rsid w:val="00D06828"/>
    <w:rsid w:val="00D10003"/>
    <w:rsid w:val="00D14EFC"/>
    <w:rsid w:val="00D44A42"/>
    <w:rsid w:val="00D75200"/>
    <w:rsid w:val="00DB189D"/>
    <w:rsid w:val="00DB6C06"/>
    <w:rsid w:val="00DB7924"/>
    <w:rsid w:val="00DD1A28"/>
    <w:rsid w:val="00DE65FD"/>
    <w:rsid w:val="00E02816"/>
    <w:rsid w:val="00E10C41"/>
    <w:rsid w:val="00E2029A"/>
    <w:rsid w:val="00E42440"/>
    <w:rsid w:val="00E46587"/>
    <w:rsid w:val="00E55BB6"/>
    <w:rsid w:val="00E604D7"/>
    <w:rsid w:val="00E7222C"/>
    <w:rsid w:val="00E773D4"/>
    <w:rsid w:val="00E919FC"/>
    <w:rsid w:val="00E957F0"/>
    <w:rsid w:val="00E958AC"/>
    <w:rsid w:val="00EB29D4"/>
    <w:rsid w:val="00ED7090"/>
    <w:rsid w:val="00F04792"/>
    <w:rsid w:val="00F179CD"/>
    <w:rsid w:val="00F23D73"/>
    <w:rsid w:val="00F331FB"/>
    <w:rsid w:val="00F4228E"/>
    <w:rsid w:val="00F514AF"/>
    <w:rsid w:val="00F71F8F"/>
    <w:rsid w:val="00F84543"/>
    <w:rsid w:val="00F960FC"/>
    <w:rsid w:val="00FC693F"/>
    <w:rsid w:val="00FD30EE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943CF"/>
  <w14:defaultImageDpi w14:val="300"/>
  <w15:docId w15:val="{A1046253-C470-4D18-A318-490EA263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407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07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07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07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076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293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370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40db2-1455-49b3-99da-4a8b20cf4a26">
      <Terms xmlns="http://schemas.microsoft.com/office/infopath/2007/PartnerControls"/>
    </lcf76f155ced4ddcb4097134ff3c332f>
    <TaxCatchAll xmlns="b3a5cd93-77bc-4e75-abd9-734179f928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C250A6CC4424B981ED8D07687906E" ma:contentTypeVersion="14" ma:contentTypeDescription="Een nieuw document maken." ma:contentTypeScope="" ma:versionID="e7e48b8e6b8c59a660a8e6e0cc0b4576">
  <xsd:schema xmlns:xsd="http://www.w3.org/2001/XMLSchema" xmlns:xs="http://www.w3.org/2001/XMLSchema" xmlns:p="http://schemas.microsoft.com/office/2006/metadata/properties" xmlns:ns2="ca240db2-1455-49b3-99da-4a8b20cf4a26" xmlns:ns3="b3a5cd93-77bc-4e75-abd9-734179f92856" targetNamespace="http://schemas.microsoft.com/office/2006/metadata/properties" ma:root="true" ma:fieldsID="a434c220a1c6ffd86172d6c5cc692529" ns2:_="" ns3:_="">
    <xsd:import namespace="ca240db2-1455-49b3-99da-4a8b20cf4a26"/>
    <xsd:import namespace="b3a5cd93-77bc-4e75-abd9-734179f92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0db2-1455-49b3-99da-4a8b20cf4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cc771db-2efd-4004-985c-cccb1553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5cd93-77bc-4e75-abd9-734179f92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c7161d-ed29-4940-899c-0824bef3caf8}" ma:internalName="TaxCatchAll" ma:showField="CatchAllData" ma:web="b3a5cd93-77bc-4e75-abd9-734179f92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49492-50A8-4EC0-BEF0-6207B6117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9035B-7D3D-43E3-9691-744222EE7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87675-7526-414D-AD92-F71D1C460152}">
  <ds:schemaRefs>
    <ds:schemaRef ds:uri="http://schemas.microsoft.com/office/2006/metadata/properties"/>
    <ds:schemaRef ds:uri="http://schemas.microsoft.com/office/infopath/2007/PartnerControls"/>
    <ds:schemaRef ds:uri="ca240db2-1455-49b3-99da-4a8b20cf4a26"/>
    <ds:schemaRef ds:uri="b3a5cd93-77bc-4e75-abd9-734179f92856"/>
  </ds:schemaRefs>
</ds:datastoreItem>
</file>

<file path=customXml/itemProps4.xml><?xml version="1.0" encoding="utf-8"?>
<ds:datastoreItem xmlns:ds="http://schemas.openxmlformats.org/officeDocument/2006/customXml" ds:itemID="{DC4BADCF-6CA3-474E-A349-3D2490FD8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40db2-1455-49b3-99da-4a8b20cf4a26"/>
    <ds:schemaRef ds:uri="b3a5cd93-77bc-4e75-abd9-734179f92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Maarten Osieck</cp:lastModifiedBy>
  <cp:revision>6</cp:revision>
  <dcterms:created xsi:type="dcterms:W3CDTF">2025-10-02T09:55:00Z</dcterms:created>
  <dcterms:modified xsi:type="dcterms:W3CDTF">2025-10-02T14:34:00Z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0x010100BB2C250A6CC4424B981ED8D07687906E</vt:lpwstr>
  </property>
  <property fmtid="{D5CDD505-2E9C-101B-9397-08002B2CF9AE}" pid="3" name="MediaServiceImageTags">
    <vt:lpwstr/>
  </property>
</Properties>
</file>