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Xentialtabelzonderkopenkolom"/>
        <w:tblpPr w:leftFromText="142" w:rightFromText="142" w:vertAnchor="page" w:horzAnchor="margin" w:tblpY="721"/>
        <w:tblW w:w="935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883"/>
        <w:gridCol w:w="2917"/>
        <w:gridCol w:w="2556"/>
      </w:tblGrid>
      <w:tr w:rsidR="009E3364" w14:paraId="20F4959B" w14:textId="77777777" w:rsidTr="009E3364">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883" w:type="dxa"/>
            <w:tcBorders>
              <w:bottom w:val="nil"/>
            </w:tcBorders>
          </w:tcPr>
          <w:p w14:paraId="672A6659" w14:textId="77777777" w:rsidR="00D86DD3" w:rsidRDefault="00D86DD3">
            <w:pPr>
              <w:pStyle w:val="Klein"/>
            </w:pPr>
          </w:p>
        </w:tc>
        <w:tc>
          <w:tcPr>
            <w:tcW w:w="2917" w:type="dxa"/>
            <w:tcBorders>
              <w:bottom w:val="nil"/>
            </w:tcBorders>
          </w:tcPr>
          <w:p w14:paraId="0A37501D" w14:textId="77777777" w:rsidR="00D86DD3" w:rsidRPr="002B71DE" w:rsidRDefault="00D86DD3">
            <w:pPr>
              <w:tabs>
                <w:tab w:val="left" w:pos="1104"/>
              </w:tabs>
              <w:cnfStyle w:val="100000000000" w:firstRow="1" w:lastRow="0" w:firstColumn="0" w:lastColumn="0" w:oddVBand="0" w:evenVBand="0" w:oddHBand="0" w:evenHBand="0" w:firstRowFirstColumn="0" w:firstRowLastColumn="0" w:lastRowFirstColumn="0" w:lastRowLastColumn="0"/>
              <w:rPr>
                <w:sz w:val="16"/>
                <w:szCs w:val="16"/>
              </w:rPr>
            </w:pPr>
            <w:r>
              <w:rPr>
                <w:noProof/>
                <w:sz w:val="16"/>
                <w:szCs w:val="16"/>
              </w:rPr>
              <w:drawing>
                <wp:inline distT="0" distB="0" distL="0" distR="0" wp14:anchorId="12A657C1" wp14:editId="07777777">
                  <wp:extent cx="1608590" cy="494631"/>
                  <wp:effectExtent l="0" t="0" r="0" b="1270"/>
                  <wp:docPr id="156306136" name="Afbeelding 1" descr="Logo van de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an de provincie Zeeland"/>
                          <pic:cNvPicPr/>
                        </pic:nvPicPr>
                        <pic:blipFill>
                          <a:blip r:embed="rId10">
                            <a:extLst>
                              <a:ext uri="{28A0092B-C50C-407E-A947-70E740481C1C}">
                                <a14:useLocalDpi xmlns:a14="http://schemas.microsoft.com/office/drawing/2010/main" val="0"/>
                              </a:ext>
                            </a:extLst>
                          </a:blip>
                          <a:stretch>
                            <a:fillRect/>
                          </a:stretch>
                        </pic:blipFill>
                        <pic:spPr>
                          <a:xfrm>
                            <a:off x="0" y="0"/>
                            <a:ext cx="1608590" cy="494631"/>
                          </a:xfrm>
                          <a:prstGeom prst="rect">
                            <a:avLst/>
                          </a:prstGeom>
                        </pic:spPr>
                      </pic:pic>
                    </a:graphicData>
                  </a:graphic>
                </wp:inline>
              </w:drawing>
            </w:r>
          </w:p>
        </w:tc>
        <w:tc>
          <w:tcPr>
            <w:tcW w:w="2556" w:type="dxa"/>
            <w:tcBorders>
              <w:bottom w:val="nil"/>
            </w:tcBorders>
          </w:tcPr>
          <w:p w14:paraId="3648D7C3"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Abdij 6 4331BK Middelburg</w:t>
            </w:r>
          </w:p>
          <w:p w14:paraId="1A4A0DCF"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Postbus 6001 4330 LA Middelburg</w:t>
            </w:r>
          </w:p>
          <w:p w14:paraId="656578D6"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+31 118631011</w:t>
            </w:r>
          </w:p>
          <w:p w14:paraId="1ED2F6C6" w14:textId="77777777" w:rsidR="00D86DD3" w:rsidRPr="005D1F89" w:rsidRDefault="00D86DD3">
            <w:pPr>
              <w:pStyle w:val="Klein"/>
              <w:cnfStyle w:val="100000000000" w:firstRow="1" w:lastRow="0" w:firstColumn="0" w:lastColumn="0" w:oddVBand="0" w:evenVBand="0" w:oddHBand="0" w:evenHBand="0" w:firstRowFirstColumn="0" w:firstRowLastColumn="0" w:lastRowFirstColumn="0" w:lastRowLastColumn="0"/>
              <w:rPr>
                <w:sz w:val="14"/>
                <w:szCs w:val="14"/>
              </w:rPr>
            </w:pPr>
            <w:r w:rsidRPr="005D1F89">
              <w:rPr>
                <w:color w:val="525C74"/>
                <w:sz w:val="14"/>
                <w:szCs w:val="14"/>
              </w:rPr>
              <w:t>IBAN NL08 BNGH 028501055</w:t>
            </w:r>
            <w:r>
              <w:rPr>
                <w:color w:val="525C74"/>
                <w:sz w:val="14"/>
                <w:szCs w:val="14"/>
              </w:rPr>
              <w:t>7</w:t>
            </w:r>
          </w:p>
        </w:tc>
      </w:tr>
    </w:tbl>
    <w:p w14:paraId="5DAB6C7B" w14:textId="77777777" w:rsidR="00D86DD3" w:rsidRDefault="00D86DD3">
      <w:pPr>
        <w:pStyle w:val="Plattetekst2"/>
        <w:rPr>
          <w:rFonts w:ascii="Arial" w:hAnsi="Arial" w:cs="Arial"/>
          <w:b w:val="0"/>
          <w:sz w:val="20"/>
          <w:szCs w:val="20"/>
        </w:rPr>
      </w:pPr>
    </w:p>
    <w:p w14:paraId="02EB378F" w14:textId="77777777" w:rsidR="00D86DD3" w:rsidRDefault="00D86DD3">
      <w:pPr>
        <w:pStyle w:val="Plattetekst2"/>
        <w:rPr>
          <w:rFonts w:ascii="Arial" w:hAnsi="Arial" w:cs="Arial"/>
          <w:b w:val="0"/>
          <w:sz w:val="20"/>
          <w:szCs w:val="20"/>
        </w:rPr>
      </w:pPr>
    </w:p>
    <w:p w14:paraId="5A39BBE3" w14:textId="77777777" w:rsidR="00D86DD3" w:rsidRPr="007149A8" w:rsidRDefault="00D86DD3">
      <w:pPr>
        <w:pStyle w:val="Plattetekst2"/>
        <w:rPr>
          <w:rFonts w:ascii="Arial" w:hAnsi="Arial" w:cs="Arial"/>
          <w:b w:val="0"/>
          <w:sz w:val="20"/>
          <w:szCs w:val="20"/>
        </w:rPr>
      </w:pPr>
    </w:p>
    <w:p w14:paraId="6A1EECF9" w14:textId="2CE1A39B" w:rsidR="00A50501" w:rsidRDefault="00224E25" w:rsidP="00A50501">
      <w:pPr>
        <w:rPr>
          <w:rFonts w:cs="Arial"/>
          <w:b/>
          <w:bCs/>
        </w:rPr>
      </w:pPr>
      <w:r>
        <w:rPr>
          <w:rFonts w:cs="Arial"/>
          <w:b/>
          <w:bCs/>
        </w:rPr>
        <w:t xml:space="preserve">INVULFORMULIER </w:t>
      </w:r>
      <w:r w:rsidR="00A50501">
        <w:rPr>
          <w:rFonts w:cs="Arial"/>
          <w:b/>
          <w:bCs/>
        </w:rPr>
        <w:t>Duurzaamheid</w:t>
      </w:r>
    </w:p>
    <w:p w14:paraId="1677FE9F" w14:textId="77777777" w:rsidR="0081012B" w:rsidRDefault="0081012B" w:rsidP="0081012B">
      <w:pPr>
        <w:spacing w:line="276" w:lineRule="auto"/>
      </w:pPr>
    </w:p>
    <w:p w14:paraId="65FBD71A" w14:textId="484311AD" w:rsidR="00B663B9" w:rsidRPr="006B3987" w:rsidRDefault="00B663B9" w:rsidP="00B663B9">
      <w:pPr>
        <w:rPr>
          <w:rFonts w:cs="Arial"/>
          <w:b/>
          <w:bCs/>
          <w:szCs w:val="20"/>
        </w:rPr>
      </w:pPr>
      <w:r w:rsidRPr="006B3987">
        <w:rPr>
          <w:rFonts w:cs="Arial"/>
          <w:szCs w:val="20"/>
        </w:rPr>
        <w:t xml:space="preserve">In deze bijlage worden resultaatgerichte afspraken vastgelegd tussen Opdrachtnemer en Opdrachtgever met betrekking tot Duurzaamheid. De bijlage is verplicht indien in het Bestek </w:t>
      </w:r>
      <w:r w:rsidRPr="00BD0B28">
        <w:rPr>
          <w:rFonts w:cs="Arial"/>
          <w:szCs w:val="20"/>
        </w:rPr>
        <w:t xml:space="preserve">of </w:t>
      </w:r>
      <w:r w:rsidR="003B193C">
        <w:rPr>
          <w:rFonts w:cs="Arial"/>
          <w:szCs w:val="20"/>
        </w:rPr>
        <w:t xml:space="preserve">in </w:t>
      </w:r>
      <w:r w:rsidRPr="00BD0B28">
        <w:rPr>
          <w:rFonts w:cs="Arial"/>
          <w:szCs w:val="20"/>
        </w:rPr>
        <w:t>het Programma van Eisen het onderwerp Duurzaamheid is benoemd als één of meerdere eis(en) of één van de kwalitatieve beoordelingscriteria.</w:t>
      </w:r>
    </w:p>
    <w:p w14:paraId="6095325E" w14:textId="77777777" w:rsidR="00A97D1C" w:rsidRDefault="00A97D1C" w:rsidP="00A97D1C"/>
    <w:tbl>
      <w:tblPr>
        <w:tblStyle w:val="Tabelraster"/>
        <w:tblW w:w="9293" w:type="dxa"/>
        <w:tblInd w:w="58" w:type="dxa"/>
        <w:tblLayout w:type="fixed"/>
        <w:tblLook w:val="04A0" w:firstRow="1" w:lastRow="0" w:firstColumn="1" w:lastColumn="0" w:noHBand="0" w:noVBand="1"/>
      </w:tblPr>
      <w:tblGrid>
        <w:gridCol w:w="363"/>
        <w:gridCol w:w="1999"/>
        <w:gridCol w:w="6931"/>
      </w:tblGrid>
      <w:tr w:rsidR="00A97D1C" w:rsidRPr="00035F62" w14:paraId="17D4D143" w14:textId="77777777" w:rsidTr="00224E25">
        <w:tc>
          <w:tcPr>
            <w:tcW w:w="2362" w:type="dxa"/>
            <w:gridSpan w:val="2"/>
            <w:shd w:val="clear" w:color="auto" w:fill="D5DCE4" w:themeFill="text2" w:themeFillTint="33"/>
          </w:tcPr>
          <w:p w14:paraId="56BA2680" w14:textId="77777777" w:rsidR="00A97D1C" w:rsidRPr="00035F62" w:rsidRDefault="00A97D1C" w:rsidP="002A0D64">
            <w:pPr>
              <w:pStyle w:val="Lijstalinea"/>
              <w:spacing w:line="276" w:lineRule="auto"/>
              <w:ind w:left="0"/>
              <w:jc w:val="both"/>
              <w:rPr>
                <w:rFonts w:cs="Arial"/>
                <w:b/>
              </w:rPr>
            </w:pPr>
            <w:r w:rsidRPr="00035F62">
              <w:rPr>
                <w:rFonts w:cs="Arial"/>
                <w:b/>
              </w:rPr>
              <w:t>Onderwerp</w:t>
            </w:r>
          </w:p>
        </w:tc>
        <w:tc>
          <w:tcPr>
            <w:tcW w:w="6931" w:type="dxa"/>
            <w:shd w:val="clear" w:color="auto" w:fill="D5DCE4" w:themeFill="text2" w:themeFillTint="33"/>
          </w:tcPr>
          <w:p w14:paraId="2108B02B" w14:textId="77777777" w:rsidR="00A97D1C" w:rsidRDefault="000E2252" w:rsidP="002A0D64">
            <w:pPr>
              <w:pStyle w:val="Lijstalinea"/>
              <w:spacing w:line="276" w:lineRule="auto"/>
              <w:ind w:left="0"/>
              <w:jc w:val="both"/>
              <w:rPr>
                <w:rFonts w:cs="Arial"/>
                <w:b/>
              </w:rPr>
            </w:pPr>
            <w:r>
              <w:rPr>
                <w:rFonts w:cs="Arial"/>
                <w:b/>
              </w:rPr>
              <w:t>Afspraken</w:t>
            </w:r>
          </w:p>
          <w:p w14:paraId="69912F95" w14:textId="01DB5833" w:rsidR="000E2252" w:rsidRPr="000E2252" w:rsidRDefault="000E2252" w:rsidP="000E2252">
            <w:pPr>
              <w:rPr>
                <w:i/>
                <w:iCs/>
                <w:sz w:val="14"/>
                <w:szCs w:val="14"/>
              </w:rPr>
            </w:pPr>
            <w:r w:rsidRPr="000E2252">
              <w:rPr>
                <w:i/>
                <w:iCs/>
                <w:sz w:val="14"/>
                <w:szCs w:val="14"/>
              </w:rPr>
              <w:t>Plan van aanpak duurzaamheid</w:t>
            </w:r>
          </w:p>
          <w:p w14:paraId="3E63DAFC" w14:textId="680ABBF5" w:rsidR="000E2252" w:rsidRPr="000E2252" w:rsidRDefault="000E2252" w:rsidP="000E2252">
            <w:pPr>
              <w:rPr>
                <w:i/>
                <w:iCs/>
                <w:sz w:val="16"/>
                <w:szCs w:val="16"/>
              </w:rPr>
            </w:pPr>
            <w:r w:rsidRPr="000E2252">
              <w:rPr>
                <w:i/>
                <w:iCs/>
                <w:sz w:val="14"/>
                <w:szCs w:val="14"/>
              </w:rPr>
              <w:t>Om bij te dragen aan bovenstaande doelstellingen vragen wij de opdrachtnemer een toelichting te geven op onderstaande 5 onderdelen in maximaal 2 A4tjes.</w:t>
            </w:r>
          </w:p>
        </w:tc>
      </w:tr>
      <w:tr w:rsidR="00A97D1C" w:rsidRPr="00C67E91" w14:paraId="5FF33051" w14:textId="77777777" w:rsidTr="00224E25">
        <w:trPr>
          <w:trHeight w:val="473"/>
        </w:trPr>
        <w:tc>
          <w:tcPr>
            <w:tcW w:w="363" w:type="dxa"/>
          </w:tcPr>
          <w:p w14:paraId="5A6CB767" w14:textId="77777777" w:rsidR="00A97D1C" w:rsidRDefault="00A97D1C" w:rsidP="002A0D64">
            <w:pPr>
              <w:pStyle w:val="Lijstalinea"/>
              <w:spacing w:line="276" w:lineRule="auto"/>
              <w:ind w:left="0"/>
              <w:rPr>
                <w:rFonts w:cs="Arial"/>
                <w:b/>
              </w:rPr>
            </w:pPr>
            <w:r>
              <w:rPr>
                <w:rFonts w:cs="Arial"/>
                <w:b/>
              </w:rPr>
              <w:t>1</w:t>
            </w:r>
          </w:p>
        </w:tc>
        <w:tc>
          <w:tcPr>
            <w:tcW w:w="1999" w:type="dxa"/>
          </w:tcPr>
          <w:p w14:paraId="17C4CFE0" w14:textId="77777777" w:rsidR="00A97D1C" w:rsidRDefault="00A97D1C" w:rsidP="002A0D64">
            <w:pPr>
              <w:pStyle w:val="Lijstalinea"/>
              <w:spacing w:line="276" w:lineRule="auto"/>
              <w:ind w:left="0"/>
              <w:jc w:val="both"/>
              <w:rPr>
                <w:rFonts w:cs="Arial"/>
                <w:b/>
              </w:rPr>
            </w:pPr>
            <w:r>
              <w:rPr>
                <w:rFonts w:cs="Arial"/>
                <w:b/>
              </w:rPr>
              <w:t xml:space="preserve">Verbeteren Energie-efficiëntie  </w:t>
            </w:r>
          </w:p>
        </w:tc>
        <w:tc>
          <w:tcPr>
            <w:tcW w:w="6931" w:type="dxa"/>
          </w:tcPr>
          <w:p w14:paraId="136B4F37" w14:textId="43B4DF88" w:rsidR="00224E25" w:rsidRDefault="00224E25" w:rsidP="002A0D64">
            <w:pPr>
              <w:rPr>
                <w:i/>
                <w:iCs/>
                <w:sz w:val="14"/>
                <w:szCs w:val="14"/>
                <w:u w:val="single"/>
              </w:rPr>
            </w:pPr>
            <w:r>
              <w:rPr>
                <w:i/>
                <w:iCs/>
                <w:sz w:val="14"/>
                <w:szCs w:val="14"/>
                <w:u w:val="single"/>
              </w:rPr>
              <w:t>&lt;…&gt;</w:t>
            </w:r>
          </w:p>
          <w:p w14:paraId="762B18A6" w14:textId="77777777" w:rsidR="00224E25" w:rsidRDefault="00224E25" w:rsidP="002A0D64">
            <w:pPr>
              <w:rPr>
                <w:i/>
                <w:iCs/>
                <w:sz w:val="14"/>
                <w:szCs w:val="14"/>
                <w:u w:val="single"/>
              </w:rPr>
            </w:pPr>
          </w:p>
          <w:p w14:paraId="796DF316" w14:textId="1EB2E650" w:rsidR="00224E25" w:rsidRPr="00224E25" w:rsidRDefault="00224E25" w:rsidP="002A0D64">
            <w:pPr>
              <w:rPr>
                <w:i/>
                <w:iCs/>
                <w:sz w:val="14"/>
                <w:szCs w:val="14"/>
                <w:u w:val="single"/>
              </w:rPr>
            </w:pPr>
            <w:r w:rsidRPr="00224E25">
              <w:rPr>
                <w:i/>
                <w:iCs/>
                <w:sz w:val="14"/>
                <w:szCs w:val="14"/>
                <w:u w:val="single"/>
              </w:rPr>
              <w:t>Toelichting</w:t>
            </w:r>
          </w:p>
          <w:p w14:paraId="7467759A" w14:textId="0CF04AB0" w:rsidR="00A97D1C" w:rsidRPr="000E2252" w:rsidRDefault="00A97D1C" w:rsidP="002A0D64">
            <w:pPr>
              <w:rPr>
                <w:i/>
                <w:iCs/>
                <w:sz w:val="14"/>
                <w:szCs w:val="14"/>
              </w:rPr>
            </w:pPr>
            <w:r w:rsidRPr="000E2252">
              <w:rPr>
                <w:i/>
                <w:iCs/>
                <w:sz w:val="14"/>
                <w:szCs w:val="14"/>
              </w:rPr>
              <w:t xml:space="preserve">Datacenters welke worden ingezet in het kader van de opdracht dienen een design power </w:t>
            </w:r>
            <w:proofErr w:type="spellStart"/>
            <w:r w:rsidRPr="000E2252">
              <w:rPr>
                <w:i/>
                <w:iCs/>
                <w:sz w:val="14"/>
                <w:szCs w:val="14"/>
              </w:rPr>
              <w:t>usage</w:t>
            </w:r>
            <w:proofErr w:type="spellEnd"/>
            <w:r w:rsidRPr="000E2252">
              <w:rPr>
                <w:i/>
                <w:iCs/>
                <w:sz w:val="14"/>
                <w:szCs w:val="14"/>
              </w:rPr>
              <w:t xml:space="preserve"> </w:t>
            </w:r>
            <w:proofErr w:type="spellStart"/>
            <w:r w:rsidRPr="000E2252">
              <w:rPr>
                <w:i/>
                <w:iCs/>
                <w:sz w:val="14"/>
                <w:szCs w:val="14"/>
              </w:rPr>
              <w:t>effectiveness</w:t>
            </w:r>
            <w:proofErr w:type="spellEnd"/>
            <w:r w:rsidRPr="000E2252">
              <w:rPr>
                <w:i/>
                <w:iCs/>
                <w:sz w:val="14"/>
                <w:szCs w:val="14"/>
              </w:rPr>
              <w:t xml:space="preserve"> (PUE) te berekenen over het afgelopen kalenderjaar conform de standaard ISO/IEC 30134-2. De PUE is een meeteenheid voor de energie-efficiëntie van datacenters. De PUE-waarde wordt berekend door het totale verbruik van het datacenter over een jaar te delen door het energieverbruik van de IT-apparatuur (servers, opslag, netwerk). Hoe dichter het resultaat 1 benadert, hoe energie-efficiënter. </w:t>
            </w:r>
          </w:p>
          <w:p w14:paraId="78F9681D" w14:textId="77777777" w:rsidR="00A97D1C" w:rsidRDefault="00A97D1C" w:rsidP="002A0D64">
            <w:pPr>
              <w:rPr>
                <w:i/>
                <w:iCs/>
                <w:sz w:val="14"/>
                <w:szCs w:val="14"/>
              </w:rPr>
            </w:pPr>
            <w:r w:rsidRPr="000E2252">
              <w:rPr>
                <w:i/>
                <w:iCs/>
                <w:sz w:val="14"/>
                <w:szCs w:val="14"/>
              </w:rPr>
              <w:t>Leg uit hoe de berekening tot stand is gekomen (eventueel onafhankelijke validatie) en geef aan welke concrete plannen er zijn om de PUE tijdens de contractperiode te verlagen en de wijze van jaarlijkse voortgangrapportage naar de opdrachtgever.</w:t>
            </w:r>
          </w:p>
          <w:p w14:paraId="40177BBF" w14:textId="77777777" w:rsidR="00C1237F" w:rsidRDefault="00C1237F" w:rsidP="002A0D64">
            <w:pPr>
              <w:rPr>
                <w:rFonts w:cs="Arial"/>
              </w:rPr>
            </w:pPr>
          </w:p>
        </w:tc>
      </w:tr>
      <w:tr w:rsidR="00A97D1C" w:rsidRPr="00C67E91" w14:paraId="3C8F4345" w14:textId="77777777" w:rsidTr="00224E25">
        <w:trPr>
          <w:trHeight w:val="473"/>
        </w:trPr>
        <w:tc>
          <w:tcPr>
            <w:tcW w:w="363" w:type="dxa"/>
          </w:tcPr>
          <w:p w14:paraId="0F917CC7" w14:textId="77777777" w:rsidR="00A97D1C" w:rsidRDefault="00A97D1C" w:rsidP="002A0D64">
            <w:pPr>
              <w:pStyle w:val="Lijstalinea"/>
              <w:spacing w:line="276" w:lineRule="auto"/>
              <w:ind w:left="0"/>
              <w:rPr>
                <w:rFonts w:cs="Arial"/>
                <w:b/>
              </w:rPr>
            </w:pPr>
            <w:r>
              <w:rPr>
                <w:rFonts w:cs="Arial"/>
                <w:b/>
              </w:rPr>
              <w:t>2</w:t>
            </w:r>
          </w:p>
        </w:tc>
        <w:tc>
          <w:tcPr>
            <w:tcW w:w="1999" w:type="dxa"/>
          </w:tcPr>
          <w:p w14:paraId="5B6CA09A" w14:textId="611A529A" w:rsidR="00A97D1C" w:rsidRDefault="00A97D1C" w:rsidP="000E2252">
            <w:pPr>
              <w:pStyle w:val="Lijstalinea"/>
              <w:spacing w:line="276" w:lineRule="auto"/>
              <w:ind w:left="0"/>
              <w:rPr>
                <w:rFonts w:cs="Arial"/>
                <w:b/>
              </w:rPr>
            </w:pPr>
            <w:r>
              <w:rPr>
                <w:rFonts w:cs="Arial"/>
                <w:b/>
              </w:rPr>
              <w:t>Vergroot</w:t>
            </w:r>
            <w:r w:rsidR="000E2252">
              <w:rPr>
                <w:rFonts w:cs="Arial"/>
                <w:b/>
              </w:rPr>
              <w:t xml:space="preserve"> </w:t>
            </w:r>
            <w:r>
              <w:rPr>
                <w:rFonts w:cs="Arial"/>
                <w:b/>
              </w:rPr>
              <w:t>het aandeel hernieuwbare energie</w:t>
            </w:r>
          </w:p>
        </w:tc>
        <w:tc>
          <w:tcPr>
            <w:tcW w:w="6931" w:type="dxa"/>
          </w:tcPr>
          <w:p w14:paraId="2120EC69" w14:textId="3D0CDF4B" w:rsidR="000E2252" w:rsidRPr="000E2252" w:rsidRDefault="00010DFB" w:rsidP="000E2252">
            <w:pPr>
              <w:rPr>
                <w:i/>
                <w:iCs/>
              </w:rPr>
            </w:pPr>
            <w:r>
              <w:rPr>
                <w:i/>
                <w:iCs/>
              </w:rPr>
              <w:t>&lt;…&gt;</w:t>
            </w:r>
          </w:p>
          <w:p w14:paraId="04CBFFCC" w14:textId="77777777" w:rsidR="000E2252" w:rsidRPr="000E2252" w:rsidRDefault="000E2252" w:rsidP="000E2252">
            <w:pPr>
              <w:pStyle w:val="Lijstalinea"/>
              <w:ind w:left="0"/>
              <w:jc w:val="both"/>
              <w:rPr>
                <w:rFonts w:cs="Arial"/>
                <w:sz w:val="16"/>
                <w:szCs w:val="16"/>
              </w:rPr>
            </w:pPr>
          </w:p>
          <w:p w14:paraId="4A01DAA8" w14:textId="4CF7EF74" w:rsidR="000E2252" w:rsidRPr="000E2252" w:rsidRDefault="00224E25" w:rsidP="000E2252">
            <w:pPr>
              <w:rPr>
                <w:i/>
                <w:iCs/>
                <w:sz w:val="14"/>
                <w:szCs w:val="14"/>
                <w:u w:val="single"/>
              </w:rPr>
            </w:pPr>
            <w:r>
              <w:rPr>
                <w:i/>
                <w:iCs/>
                <w:sz w:val="14"/>
                <w:szCs w:val="14"/>
                <w:u w:val="single"/>
              </w:rPr>
              <w:t>Toelichting</w:t>
            </w:r>
          </w:p>
          <w:p w14:paraId="715A2AA1" w14:textId="295D8BE1" w:rsidR="00A97D1C" w:rsidRPr="000E2252" w:rsidRDefault="00A97D1C" w:rsidP="000E2252">
            <w:pPr>
              <w:pStyle w:val="Lijstalinea"/>
              <w:ind w:left="0"/>
              <w:jc w:val="both"/>
              <w:rPr>
                <w:i/>
                <w:iCs/>
                <w:sz w:val="14"/>
                <w:szCs w:val="14"/>
              </w:rPr>
            </w:pPr>
            <w:r w:rsidRPr="000E2252">
              <w:rPr>
                <w:rFonts w:cs="Arial"/>
                <w:i/>
                <w:iCs/>
                <w:sz w:val="14"/>
                <w:szCs w:val="14"/>
              </w:rPr>
              <w:t xml:space="preserve">Geeft aan wat het huidige aandeel van hernieuwbare energiebronnen is voor de energie die nodig is voor de datacenters. Indien </w:t>
            </w:r>
            <w:r w:rsidRPr="000E2252">
              <w:rPr>
                <w:i/>
                <w:iCs/>
                <w:sz w:val="14"/>
                <w:szCs w:val="14"/>
              </w:rPr>
              <w:t>voor de datacenters welke worden ingezet ten behoeve van de opdracht een of meer van de volgende onderdelen wordt behaald, wordt dit hoger gewaardeerd:</w:t>
            </w:r>
          </w:p>
          <w:p w14:paraId="2B2257E7" w14:textId="77777777" w:rsidR="00A97D1C" w:rsidRPr="000E2252" w:rsidRDefault="00A97D1C" w:rsidP="00D00CC1">
            <w:pPr>
              <w:numPr>
                <w:ilvl w:val="0"/>
                <w:numId w:val="12"/>
              </w:numPr>
              <w:contextualSpacing w:val="0"/>
              <w:rPr>
                <w:i/>
                <w:iCs/>
                <w:sz w:val="14"/>
                <w:szCs w:val="14"/>
              </w:rPr>
            </w:pPr>
            <w:r w:rsidRPr="000E2252">
              <w:rPr>
                <w:i/>
                <w:iCs/>
                <w:sz w:val="14"/>
                <w:szCs w:val="14"/>
              </w:rPr>
              <w:t xml:space="preserve">De geleverde elektriciteit is opgewekt met hernieuwbare energiebronnen (HE-E) als omschreven in Richtlijn 2009/28/EG </w:t>
            </w:r>
            <w:r w:rsidRPr="000E2252">
              <w:rPr>
                <w:b/>
                <w:bCs/>
                <w:i/>
                <w:iCs/>
                <w:sz w:val="14"/>
                <w:szCs w:val="14"/>
              </w:rPr>
              <w:t>én</w:t>
            </w:r>
            <w:r w:rsidRPr="000E2252">
              <w:rPr>
                <w:i/>
                <w:iCs/>
                <w:sz w:val="14"/>
                <w:szCs w:val="14"/>
              </w:rPr>
              <w:t xml:space="preserve"> is afkomstig uit de hernieuwbare energiebronnen: </w:t>
            </w:r>
            <w:r w:rsidRPr="000E2252">
              <w:rPr>
                <w:b/>
                <w:bCs/>
                <w:i/>
                <w:iCs/>
                <w:sz w:val="14"/>
                <w:szCs w:val="14"/>
              </w:rPr>
              <w:t>wind- en/of zonne-energie</w:t>
            </w:r>
            <w:r w:rsidRPr="000E2252">
              <w:rPr>
                <w:i/>
                <w:iCs/>
                <w:sz w:val="14"/>
                <w:szCs w:val="14"/>
              </w:rPr>
              <w:t>.</w:t>
            </w:r>
          </w:p>
          <w:p w14:paraId="5F9304AB" w14:textId="77777777" w:rsidR="00A97D1C" w:rsidRPr="000E2252" w:rsidRDefault="00A97D1C" w:rsidP="00D00CC1">
            <w:pPr>
              <w:numPr>
                <w:ilvl w:val="0"/>
                <w:numId w:val="12"/>
              </w:numPr>
              <w:contextualSpacing w:val="0"/>
              <w:rPr>
                <w:i/>
                <w:iCs/>
                <w:sz w:val="14"/>
                <w:szCs w:val="14"/>
              </w:rPr>
            </w:pPr>
            <w:r w:rsidRPr="000E2252">
              <w:rPr>
                <w:i/>
                <w:iCs/>
                <w:sz w:val="14"/>
                <w:szCs w:val="14"/>
              </w:rPr>
              <w:t>Verklaring dat uiterlijk 12 maanden na ingangsdatum van de overeenkomst een percentage van 100% van de geleverde elektriciteit uit hernieuwbare energiebronnen (HE-E) als omschreven in Richtlijn 2009/28/EG voorzien van Garanties van Oorsprong (</w:t>
            </w:r>
            <w:proofErr w:type="spellStart"/>
            <w:r w:rsidRPr="000E2252">
              <w:rPr>
                <w:i/>
                <w:iCs/>
                <w:sz w:val="14"/>
                <w:szCs w:val="14"/>
              </w:rPr>
              <w:t>GvO</w:t>
            </w:r>
            <w:proofErr w:type="spellEnd"/>
            <w:r w:rsidRPr="000E2252">
              <w:rPr>
                <w:i/>
                <w:iCs/>
                <w:sz w:val="14"/>
                <w:szCs w:val="14"/>
              </w:rPr>
              <w:t xml:space="preserve">) </w:t>
            </w:r>
            <w:r w:rsidRPr="000E2252">
              <w:rPr>
                <w:b/>
                <w:bCs/>
                <w:i/>
                <w:iCs/>
                <w:sz w:val="14"/>
                <w:szCs w:val="14"/>
              </w:rPr>
              <w:t>uit Nederland</w:t>
            </w:r>
            <w:r w:rsidRPr="000E2252">
              <w:rPr>
                <w:i/>
                <w:iCs/>
                <w:sz w:val="14"/>
                <w:szCs w:val="14"/>
              </w:rPr>
              <w:t xml:space="preserve"> komt.</w:t>
            </w:r>
          </w:p>
          <w:p w14:paraId="35FBE89E" w14:textId="77777777" w:rsidR="00A97D1C" w:rsidRDefault="00A97D1C" w:rsidP="00D00CC1">
            <w:pPr>
              <w:numPr>
                <w:ilvl w:val="0"/>
                <w:numId w:val="12"/>
              </w:numPr>
              <w:contextualSpacing w:val="0"/>
              <w:rPr>
                <w:i/>
                <w:iCs/>
                <w:sz w:val="14"/>
                <w:szCs w:val="14"/>
              </w:rPr>
            </w:pPr>
            <w:r w:rsidRPr="000E2252">
              <w:rPr>
                <w:i/>
                <w:iCs/>
                <w:sz w:val="14"/>
                <w:szCs w:val="14"/>
              </w:rPr>
              <w:t xml:space="preserve">Verklaring dat uiterlijk 24 maanden na ingangsdatum van de overeenkomst de </w:t>
            </w:r>
            <w:r w:rsidRPr="000E2252">
              <w:rPr>
                <w:b/>
                <w:bCs/>
                <w:i/>
                <w:iCs/>
                <w:sz w:val="14"/>
                <w:szCs w:val="14"/>
              </w:rPr>
              <w:t>noodstroomvoorziening</w:t>
            </w:r>
            <w:r w:rsidRPr="000E2252">
              <w:rPr>
                <w:i/>
                <w:iCs/>
                <w:sz w:val="14"/>
                <w:szCs w:val="14"/>
              </w:rPr>
              <w:t xml:space="preserve"> voor 100% op ‘groene’ </w:t>
            </w:r>
            <w:r w:rsidRPr="000E2252">
              <w:rPr>
                <w:b/>
                <w:bCs/>
                <w:i/>
                <w:iCs/>
                <w:sz w:val="14"/>
                <w:szCs w:val="14"/>
              </w:rPr>
              <w:t>waterstof</w:t>
            </w:r>
            <w:r w:rsidRPr="000E2252">
              <w:rPr>
                <w:i/>
                <w:iCs/>
                <w:sz w:val="14"/>
                <w:szCs w:val="14"/>
              </w:rPr>
              <w:t xml:space="preserve"> (H2) als brandstof functioneert.</w:t>
            </w:r>
          </w:p>
          <w:p w14:paraId="422FBDC0" w14:textId="641C2205" w:rsidR="00C1237F" w:rsidRPr="000E2252" w:rsidRDefault="00C1237F" w:rsidP="00C1237F">
            <w:pPr>
              <w:contextualSpacing w:val="0"/>
              <w:rPr>
                <w:i/>
                <w:iCs/>
                <w:sz w:val="14"/>
                <w:szCs w:val="14"/>
              </w:rPr>
            </w:pPr>
          </w:p>
        </w:tc>
      </w:tr>
      <w:tr w:rsidR="00A97D1C" w:rsidRPr="00C67E91" w14:paraId="0FF5B8A8" w14:textId="77777777" w:rsidTr="00224E25">
        <w:trPr>
          <w:trHeight w:val="473"/>
        </w:trPr>
        <w:tc>
          <w:tcPr>
            <w:tcW w:w="363" w:type="dxa"/>
          </w:tcPr>
          <w:p w14:paraId="5F1483B5" w14:textId="77777777" w:rsidR="00A97D1C" w:rsidRPr="00035F62" w:rsidRDefault="00A97D1C" w:rsidP="002A0D64">
            <w:pPr>
              <w:pStyle w:val="Lijstalinea"/>
              <w:spacing w:line="276" w:lineRule="auto"/>
              <w:ind w:left="0"/>
              <w:rPr>
                <w:rFonts w:cs="Arial"/>
                <w:b/>
              </w:rPr>
            </w:pPr>
            <w:r>
              <w:rPr>
                <w:rFonts w:cs="Arial"/>
                <w:b/>
              </w:rPr>
              <w:t>3</w:t>
            </w:r>
          </w:p>
        </w:tc>
        <w:tc>
          <w:tcPr>
            <w:tcW w:w="1999" w:type="dxa"/>
            <w:shd w:val="clear" w:color="auto" w:fill="auto"/>
          </w:tcPr>
          <w:p w14:paraId="310DA832" w14:textId="77777777" w:rsidR="00A97D1C" w:rsidRDefault="00A97D1C" w:rsidP="002A0D64">
            <w:pPr>
              <w:pStyle w:val="Lijstalinea"/>
              <w:spacing w:line="276" w:lineRule="auto"/>
              <w:ind w:left="0"/>
              <w:jc w:val="both"/>
              <w:rPr>
                <w:rFonts w:cs="Arial"/>
                <w:b/>
              </w:rPr>
            </w:pPr>
            <w:r>
              <w:rPr>
                <w:rFonts w:cs="Arial"/>
                <w:b/>
              </w:rPr>
              <w:t>Conflict mineralen uitsluiten</w:t>
            </w:r>
          </w:p>
        </w:tc>
        <w:tc>
          <w:tcPr>
            <w:tcW w:w="6931" w:type="dxa"/>
          </w:tcPr>
          <w:p w14:paraId="0BE626D1" w14:textId="10AFF6ED" w:rsidR="00D23DC9" w:rsidRDefault="00010DFB" w:rsidP="00D23DC9">
            <w:pPr>
              <w:rPr>
                <w:i/>
                <w:iCs/>
              </w:rPr>
            </w:pPr>
            <w:r>
              <w:rPr>
                <w:i/>
                <w:iCs/>
              </w:rPr>
              <w:t>&lt;…&gt;</w:t>
            </w:r>
          </w:p>
          <w:p w14:paraId="7D72735B" w14:textId="77777777" w:rsidR="00D23DC9" w:rsidRPr="000E2252" w:rsidRDefault="00D23DC9" w:rsidP="00D23DC9">
            <w:pPr>
              <w:rPr>
                <w:i/>
                <w:iCs/>
              </w:rPr>
            </w:pPr>
          </w:p>
          <w:p w14:paraId="1A438E0B" w14:textId="05F9571D" w:rsidR="000E2252" w:rsidRPr="000E2252" w:rsidRDefault="00224E25" w:rsidP="000E2252">
            <w:pPr>
              <w:rPr>
                <w:i/>
                <w:iCs/>
                <w:sz w:val="14"/>
                <w:szCs w:val="14"/>
                <w:u w:val="single"/>
              </w:rPr>
            </w:pPr>
            <w:r>
              <w:rPr>
                <w:i/>
                <w:iCs/>
                <w:sz w:val="14"/>
                <w:szCs w:val="14"/>
                <w:u w:val="single"/>
              </w:rPr>
              <w:t>Toelichting</w:t>
            </w:r>
          </w:p>
          <w:p w14:paraId="73FA6026" w14:textId="618A479F" w:rsidR="00A97D1C" w:rsidRPr="00D23DC9" w:rsidRDefault="00A97D1C" w:rsidP="000E2252">
            <w:pPr>
              <w:rPr>
                <w:i/>
                <w:iCs/>
                <w:sz w:val="14"/>
                <w:szCs w:val="14"/>
              </w:rPr>
            </w:pPr>
            <w:r w:rsidRPr="00D23DC9">
              <w:rPr>
                <w:i/>
                <w:iCs/>
                <w:sz w:val="14"/>
                <w:szCs w:val="14"/>
              </w:rPr>
              <w:t xml:space="preserve">Beschrijf op welke wijze wordt geborgd dat de servers producten bevatten van (conflict)mineralen in de toeleveringsketen die op verantwoorde wijze zijn ontgonnen. </w:t>
            </w:r>
            <w:r w:rsidRPr="00D23DC9">
              <w:rPr>
                <w:i/>
                <w:iCs/>
                <w:sz w:val="14"/>
                <w:szCs w:val="14"/>
              </w:rPr>
              <w:br/>
            </w:r>
          </w:p>
          <w:p w14:paraId="674797C6" w14:textId="77777777" w:rsidR="00A97D1C" w:rsidRPr="00D23DC9" w:rsidRDefault="00A97D1C" w:rsidP="000E2252">
            <w:pPr>
              <w:rPr>
                <w:i/>
                <w:iCs/>
                <w:sz w:val="14"/>
                <w:szCs w:val="14"/>
              </w:rPr>
            </w:pPr>
            <w:r w:rsidRPr="00D23DC9">
              <w:rPr>
                <w:i/>
                <w:iCs/>
                <w:sz w:val="14"/>
                <w:szCs w:val="14"/>
              </w:rPr>
              <w:t>Het gaat om de volgende (conflict)mineralen:</w:t>
            </w:r>
          </w:p>
          <w:p w14:paraId="40967E71" w14:textId="77777777" w:rsidR="00A97D1C" w:rsidRPr="00D23DC9" w:rsidRDefault="00A97D1C" w:rsidP="00D00CC1">
            <w:pPr>
              <w:pStyle w:val="Lijstalinea"/>
              <w:numPr>
                <w:ilvl w:val="0"/>
                <w:numId w:val="13"/>
              </w:numPr>
              <w:contextualSpacing w:val="0"/>
              <w:rPr>
                <w:i/>
                <w:iCs/>
                <w:sz w:val="14"/>
                <w:szCs w:val="14"/>
              </w:rPr>
            </w:pPr>
            <w:r w:rsidRPr="00D23DC9">
              <w:rPr>
                <w:i/>
                <w:iCs/>
                <w:sz w:val="14"/>
                <w:szCs w:val="14"/>
              </w:rPr>
              <w:t>kobalt;</w:t>
            </w:r>
          </w:p>
          <w:p w14:paraId="687D8406" w14:textId="77777777" w:rsidR="00A97D1C" w:rsidRPr="00D23DC9" w:rsidRDefault="00A97D1C" w:rsidP="00D00CC1">
            <w:pPr>
              <w:pStyle w:val="Lijstalinea"/>
              <w:numPr>
                <w:ilvl w:val="0"/>
                <w:numId w:val="13"/>
              </w:numPr>
              <w:contextualSpacing w:val="0"/>
              <w:rPr>
                <w:i/>
                <w:iCs/>
                <w:sz w:val="14"/>
                <w:szCs w:val="14"/>
              </w:rPr>
            </w:pPr>
            <w:r w:rsidRPr="00D23DC9">
              <w:rPr>
                <w:i/>
                <w:iCs/>
                <w:sz w:val="14"/>
                <w:szCs w:val="14"/>
              </w:rPr>
              <w:t>tantaal, tin, wolfraam, goud (ook bekend als 3TG).</w:t>
            </w:r>
          </w:p>
          <w:p w14:paraId="59E33868" w14:textId="77777777" w:rsidR="00A97D1C" w:rsidRDefault="00A97D1C" w:rsidP="00D23DC9">
            <w:pPr>
              <w:rPr>
                <w:i/>
                <w:iCs/>
                <w:sz w:val="14"/>
                <w:szCs w:val="14"/>
              </w:rPr>
            </w:pPr>
            <w:r w:rsidRPr="00D23DC9">
              <w:rPr>
                <w:i/>
                <w:iCs/>
                <w:sz w:val="14"/>
                <w:szCs w:val="14"/>
              </w:rPr>
              <w:t xml:space="preserve">Onder verantwoord ontginnen wordt verstaan: ontginnen waarbij de </w:t>
            </w:r>
            <w:proofErr w:type="spellStart"/>
            <w:r w:rsidRPr="00D23DC9">
              <w:rPr>
                <w:i/>
                <w:iCs/>
                <w:sz w:val="14"/>
                <w:szCs w:val="14"/>
              </w:rPr>
              <w:t>Responsible</w:t>
            </w:r>
            <w:proofErr w:type="spellEnd"/>
            <w:r w:rsidRPr="00D23DC9">
              <w:rPr>
                <w:i/>
                <w:iCs/>
                <w:sz w:val="14"/>
                <w:szCs w:val="14"/>
              </w:rPr>
              <w:t xml:space="preserve"> </w:t>
            </w:r>
            <w:proofErr w:type="spellStart"/>
            <w:r w:rsidRPr="00D23DC9">
              <w:rPr>
                <w:i/>
                <w:iCs/>
                <w:sz w:val="14"/>
                <w:szCs w:val="14"/>
              </w:rPr>
              <w:t>Minerals</w:t>
            </w:r>
            <w:proofErr w:type="spellEnd"/>
            <w:r w:rsidRPr="00D23DC9">
              <w:rPr>
                <w:i/>
                <w:iCs/>
                <w:sz w:val="14"/>
                <w:szCs w:val="14"/>
              </w:rPr>
              <w:t xml:space="preserve"> Assurance </w:t>
            </w:r>
            <w:proofErr w:type="spellStart"/>
            <w:r w:rsidRPr="00D23DC9">
              <w:rPr>
                <w:i/>
                <w:iCs/>
                <w:sz w:val="14"/>
                <w:szCs w:val="14"/>
              </w:rPr>
              <w:t>Process</w:t>
            </w:r>
            <w:proofErr w:type="spellEnd"/>
            <w:r w:rsidRPr="00D23DC9">
              <w:rPr>
                <w:i/>
                <w:iCs/>
                <w:sz w:val="14"/>
                <w:szCs w:val="14"/>
              </w:rPr>
              <w:t xml:space="preserve"> (RMAP) standaard, of een gelijkwaardige standaard, wordt gevolgd. Aan dit criterium wordt in ieder geval voldaan als de smelters die de gebruikte materialen in het te leveren product smelten, zijn opgenomen in </w:t>
            </w:r>
            <w:hyperlink r:id="rId11" w:history="1">
              <w:r w:rsidRPr="00D23DC9">
                <w:rPr>
                  <w:i/>
                  <w:iCs/>
                  <w:color w:val="0000FF"/>
                  <w:sz w:val="14"/>
                  <w:szCs w:val="14"/>
                  <w:u w:val="single"/>
                </w:rPr>
                <w:t xml:space="preserve">de lijst van het </w:t>
              </w:r>
              <w:proofErr w:type="spellStart"/>
              <w:r w:rsidRPr="00D23DC9">
                <w:rPr>
                  <w:i/>
                  <w:iCs/>
                  <w:color w:val="0000FF"/>
                  <w:sz w:val="14"/>
                  <w:szCs w:val="14"/>
                  <w:u w:val="single"/>
                </w:rPr>
                <w:t>Responsible</w:t>
              </w:r>
              <w:proofErr w:type="spellEnd"/>
              <w:r w:rsidRPr="00D23DC9">
                <w:rPr>
                  <w:i/>
                  <w:iCs/>
                  <w:color w:val="0000FF"/>
                  <w:sz w:val="14"/>
                  <w:szCs w:val="14"/>
                  <w:u w:val="single"/>
                </w:rPr>
                <w:t xml:space="preserve"> </w:t>
              </w:r>
              <w:proofErr w:type="spellStart"/>
              <w:r w:rsidRPr="00D23DC9">
                <w:rPr>
                  <w:i/>
                  <w:iCs/>
                  <w:color w:val="0000FF"/>
                  <w:sz w:val="14"/>
                  <w:szCs w:val="14"/>
                  <w:u w:val="single"/>
                </w:rPr>
                <w:t>Minerals</w:t>
              </w:r>
              <w:proofErr w:type="spellEnd"/>
              <w:r w:rsidRPr="00D23DC9">
                <w:rPr>
                  <w:i/>
                  <w:iCs/>
                  <w:color w:val="0000FF"/>
                  <w:sz w:val="14"/>
                  <w:szCs w:val="14"/>
                  <w:u w:val="single"/>
                </w:rPr>
                <w:t xml:space="preserve"> </w:t>
              </w:r>
              <w:proofErr w:type="spellStart"/>
              <w:r w:rsidRPr="00D23DC9">
                <w:rPr>
                  <w:i/>
                  <w:iCs/>
                  <w:color w:val="0000FF"/>
                  <w:sz w:val="14"/>
                  <w:szCs w:val="14"/>
                  <w:u w:val="single"/>
                </w:rPr>
                <w:t>Initiative</w:t>
              </w:r>
              <w:proofErr w:type="spellEnd"/>
            </w:hyperlink>
            <w:r w:rsidRPr="00D23DC9">
              <w:rPr>
                <w:i/>
                <w:iCs/>
                <w:sz w:val="14"/>
                <w:szCs w:val="14"/>
              </w:rPr>
              <w:t>.</w:t>
            </w:r>
          </w:p>
          <w:p w14:paraId="2D2217BF" w14:textId="1CC27D4D" w:rsidR="00C1237F" w:rsidRPr="00D23DC9" w:rsidRDefault="00C1237F" w:rsidP="00D23DC9">
            <w:pPr>
              <w:rPr>
                <w:i/>
                <w:iCs/>
                <w:sz w:val="14"/>
                <w:szCs w:val="14"/>
              </w:rPr>
            </w:pPr>
          </w:p>
        </w:tc>
      </w:tr>
      <w:tr w:rsidR="00A97D1C" w:rsidRPr="00C1305E" w14:paraId="0391A913" w14:textId="77777777" w:rsidTr="00224E25">
        <w:tc>
          <w:tcPr>
            <w:tcW w:w="363" w:type="dxa"/>
          </w:tcPr>
          <w:p w14:paraId="60B9B655" w14:textId="77777777" w:rsidR="00A97D1C" w:rsidDel="005807AA" w:rsidRDefault="00A97D1C" w:rsidP="002A0D64">
            <w:pPr>
              <w:pStyle w:val="Lijstalinea"/>
              <w:spacing w:line="276" w:lineRule="auto"/>
              <w:ind w:left="0"/>
              <w:rPr>
                <w:rFonts w:cs="Arial"/>
                <w:b/>
              </w:rPr>
            </w:pPr>
            <w:r>
              <w:rPr>
                <w:rFonts w:cs="Arial"/>
                <w:b/>
              </w:rPr>
              <w:t>4</w:t>
            </w:r>
          </w:p>
        </w:tc>
        <w:tc>
          <w:tcPr>
            <w:tcW w:w="1999" w:type="dxa"/>
          </w:tcPr>
          <w:p w14:paraId="4F94C8A6" w14:textId="77777777" w:rsidR="00A97D1C" w:rsidRPr="00A97E61" w:rsidRDefault="00A97D1C" w:rsidP="00D23DC9">
            <w:pPr>
              <w:pStyle w:val="Lijstalinea"/>
              <w:spacing w:line="276" w:lineRule="auto"/>
              <w:ind w:left="0"/>
              <w:rPr>
                <w:rFonts w:cs="Arial"/>
                <w:b/>
              </w:rPr>
            </w:pPr>
            <w:r>
              <w:rPr>
                <w:rFonts w:cs="Arial"/>
                <w:b/>
              </w:rPr>
              <w:t>Verantwoord verwerken van elektronisch afval</w:t>
            </w:r>
          </w:p>
        </w:tc>
        <w:tc>
          <w:tcPr>
            <w:tcW w:w="6931" w:type="dxa"/>
          </w:tcPr>
          <w:p w14:paraId="16C0F05C" w14:textId="1D82F578" w:rsidR="00D23DC9" w:rsidRDefault="00010DFB" w:rsidP="00D23DC9">
            <w:pPr>
              <w:rPr>
                <w:i/>
                <w:iCs/>
              </w:rPr>
            </w:pPr>
            <w:r>
              <w:rPr>
                <w:i/>
                <w:iCs/>
              </w:rPr>
              <w:t>&lt;…&gt;</w:t>
            </w:r>
          </w:p>
          <w:p w14:paraId="205923D9" w14:textId="77777777" w:rsidR="00D23DC9" w:rsidRDefault="00D23DC9" w:rsidP="00D23DC9">
            <w:pPr>
              <w:spacing w:line="276" w:lineRule="auto"/>
              <w:rPr>
                <w:rFonts w:cs="Arial"/>
              </w:rPr>
            </w:pPr>
          </w:p>
          <w:p w14:paraId="4B5D3E0E" w14:textId="456B6E78" w:rsidR="003B193C" w:rsidRPr="000E2252" w:rsidRDefault="00224E25" w:rsidP="003B193C">
            <w:pPr>
              <w:rPr>
                <w:i/>
                <w:iCs/>
                <w:sz w:val="14"/>
                <w:szCs w:val="14"/>
                <w:u w:val="single"/>
              </w:rPr>
            </w:pPr>
            <w:r>
              <w:rPr>
                <w:i/>
                <w:iCs/>
                <w:sz w:val="14"/>
                <w:szCs w:val="14"/>
                <w:u w:val="single"/>
              </w:rPr>
              <w:t>Toelichting</w:t>
            </w:r>
            <w:r w:rsidR="003B193C" w:rsidRPr="000E2252">
              <w:rPr>
                <w:i/>
                <w:iCs/>
                <w:sz w:val="14"/>
                <w:szCs w:val="14"/>
                <w:u w:val="single"/>
              </w:rPr>
              <w:t>:</w:t>
            </w:r>
          </w:p>
          <w:p w14:paraId="19E2661E" w14:textId="30ED72C8" w:rsidR="00A97D1C" w:rsidRPr="00052424" w:rsidRDefault="00A97D1C" w:rsidP="00D23DC9">
            <w:pPr>
              <w:spacing w:line="276" w:lineRule="auto"/>
              <w:rPr>
                <w:sz w:val="14"/>
                <w:szCs w:val="14"/>
              </w:rPr>
            </w:pPr>
            <w:r w:rsidRPr="00052424">
              <w:rPr>
                <w:rFonts w:cs="Arial"/>
                <w:sz w:val="14"/>
                <w:szCs w:val="14"/>
              </w:rPr>
              <w:t xml:space="preserve">Beschrijf op welke wijze de servers en hardware worden aangeboden bij de verwerker. Hierbij wordt </w:t>
            </w:r>
            <w:r w:rsidRPr="00052424">
              <w:rPr>
                <w:sz w:val="14"/>
                <w:szCs w:val="14"/>
              </w:rPr>
              <w:t xml:space="preserve">hergebruik en </w:t>
            </w:r>
            <w:proofErr w:type="spellStart"/>
            <w:r w:rsidRPr="00052424">
              <w:rPr>
                <w:sz w:val="14"/>
                <w:szCs w:val="14"/>
              </w:rPr>
              <w:t>refurbishment</w:t>
            </w:r>
            <w:proofErr w:type="spellEnd"/>
            <w:r w:rsidRPr="00052424">
              <w:rPr>
                <w:sz w:val="14"/>
                <w:szCs w:val="14"/>
              </w:rPr>
              <w:t xml:space="preserve"> beter beoordeeld dan recycling. </w:t>
            </w:r>
          </w:p>
          <w:p w14:paraId="1D745043" w14:textId="77777777" w:rsidR="00A97D1C" w:rsidRPr="00052424" w:rsidRDefault="00A97D1C" w:rsidP="00D23DC9">
            <w:pPr>
              <w:spacing w:line="276" w:lineRule="auto"/>
              <w:rPr>
                <w:sz w:val="14"/>
                <w:szCs w:val="14"/>
              </w:rPr>
            </w:pPr>
          </w:p>
          <w:p w14:paraId="2C10E270" w14:textId="77777777" w:rsidR="00A97D1C" w:rsidRDefault="00A97D1C" w:rsidP="00D23DC9">
            <w:pPr>
              <w:spacing w:after="160" w:line="278" w:lineRule="auto"/>
              <w:rPr>
                <w:color w:val="0000FF"/>
                <w:sz w:val="14"/>
                <w:szCs w:val="14"/>
                <w:u w:val="single"/>
              </w:rPr>
            </w:pPr>
            <w:r w:rsidRPr="00052424">
              <w:rPr>
                <w:sz w:val="14"/>
                <w:szCs w:val="14"/>
              </w:rPr>
              <w:t xml:space="preserve">Indien gebruik wordt gemaakt van een verwerker in Nederland betekent dit dat de verwerker </w:t>
            </w:r>
            <w:proofErr w:type="spellStart"/>
            <w:r w:rsidRPr="00052424">
              <w:rPr>
                <w:sz w:val="14"/>
                <w:szCs w:val="14"/>
              </w:rPr>
              <w:t>WEEELabEx</w:t>
            </w:r>
            <w:proofErr w:type="spellEnd"/>
            <w:r w:rsidRPr="00052424">
              <w:rPr>
                <w:sz w:val="14"/>
                <w:szCs w:val="14"/>
              </w:rPr>
              <w:t xml:space="preserve">/CENELEC gecertificeerd is (Regeling AEEA, artikel 11) en dat de verwerker is ingeschreven in </w:t>
            </w:r>
            <w:hyperlink r:id="rId12" w:history="1">
              <w:r w:rsidRPr="00052424">
                <w:rPr>
                  <w:color w:val="0000FF"/>
                  <w:sz w:val="14"/>
                  <w:szCs w:val="14"/>
                  <w:u w:val="single"/>
                </w:rPr>
                <w:t>het nationaal WEEE-register</w:t>
              </w:r>
            </w:hyperlink>
            <w:r w:rsidRPr="00052424">
              <w:rPr>
                <w:sz w:val="14"/>
                <w:szCs w:val="14"/>
              </w:rPr>
              <w:t xml:space="preserve">; en de leverancier als producent/importeur is ingeschreven in </w:t>
            </w:r>
            <w:hyperlink r:id="rId13" w:history="1">
              <w:r w:rsidRPr="00052424">
                <w:rPr>
                  <w:color w:val="0000FF"/>
                  <w:sz w:val="14"/>
                  <w:szCs w:val="14"/>
                  <w:u w:val="single"/>
                </w:rPr>
                <w:t>het nationaal WEEE-register</w:t>
              </w:r>
            </w:hyperlink>
            <w:r w:rsidR="00C1237F">
              <w:rPr>
                <w:color w:val="0000FF"/>
                <w:sz w:val="14"/>
                <w:szCs w:val="14"/>
                <w:u w:val="single"/>
              </w:rPr>
              <w:t>.</w:t>
            </w:r>
          </w:p>
          <w:p w14:paraId="1237D922" w14:textId="7CF7D4E1" w:rsidR="00C1237F" w:rsidRPr="00C1305E" w:rsidRDefault="00C1237F" w:rsidP="00D23DC9">
            <w:pPr>
              <w:spacing w:after="160" w:line="278" w:lineRule="auto"/>
              <w:rPr>
                <w:rFonts w:cs="Arial"/>
              </w:rPr>
            </w:pPr>
          </w:p>
        </w:tc>
      </w:tr>
      <w:tr w:rsidR="00A97D1C" w:rsidRPr="00C1305E" w14:paraId="5F8A725D" w14:textId="77777777" w:rsidTr="00224E25">
        <w:tc>
          <w:tcPr>
            <w:tcW w:w="363" w:type="dxa"/>
          </w:tcPr>
          <w:p w14:paraId="060FE877" w14:textId="0BA86E7A" w:rsidR="00A97D1C" w:rsidRDefault="006F5349" w:rsidP="002A0D64">
            <w:pPr>
              <w:pStyle w:val="Lijstalinea"/>
              <w:spacing w:line="276" w:lineRule="auto"/>
              <w:ind w:left="0"/>
              <w:rPr>
                <w:rFonts w:cs="Arial"/>
                <w:b/>
              </w:rPr>
            </w:pPr>
            <w:r>
              <w:rPr>
                <w:rFonts w:cs="Arial"/>
                <w:b/>
              </w:rPr>
              <w:t>5</w:t>
            </w:r>
          </w:p>
        </w:tc>
        <w:tc>
          <w:tcPr>
            <w:tcW w:w="1999" w:type="dxa"/>
          </w:tcPr>
          <w:p w14:paraId="2B55D74D" w14:textId="4D73A621" w:rsidR="00A97D1C" w:rsidRDefault="00D23DC9" w:rsidP="002A0D64">
            <w:pPr>
              <w:pStyle w:val="Lijstalinea"/>
              <w:spacing w:line="276" w:lineRule="auto"/>
              <w:ind w:left="0"/>
              <w:jc w:val="both"/>
              <w:rPr>
                <w:rFonts w:cs="Arial"/>
                <w:b/>
              </w:rPr>
            </w:pPr>
            <w:proofErr w:type="spellStart"/>
            <w:r>
              <w:rPr>
                <w:rFonts w:cs="Arial"/>
                <w:b/>
              </w:rPr>
              <w:t>V</w:t>
            </w:r>
            <w:r w:rsidR="00A97D1C">
              <w:rPr>
                <w:rFonts w:cs="Arial"/>
                <w:b/>
              </w:rPr>
              <w:t>erpakkings</w:t>
            </w:r>
            <w:r>
              <w:rPr>
                <w:rFonts w:cs="Arial"/>
                <w:b/>
              </w:rPr>
              <w:t>-</w:t>
            </w:r>
            <w:r w:rsidR="00A97D1C">
              <w:rPr>
                <w:rFonts w:cs="Arial"/>
                <w:b/>
              </w:rPr>
              <w:t>materialen</w:t>
            </w:r>
            <w:proofErr w:type="spellEnd"/>
          </w:p>
        </w:tc>
        <w:tc>
          <w:tcPr>
            <w:tcW w:w="6931" w:type="dxa"/>
          </w:tcPr>
          <w:p w14:paraId="03851B0B" w14:textId="77777777" w:rsidR="00224E25" w:rsidRDefault="00224E25" w:rsidP="006F5349">
            <w:pPr>
              <w:spacing w:line="276" w:lineRule="auto"/>
              <w:rPr>
                <w:rFonts w:cs="Arial"/>
              </w:rPr>
            </w:pPr>
            <w:r>
              <w:rPr>
                <w:rFonts w:cs="Arial"/>
              </w:rPr>
              <w:t>&lt;Ja/Nee&gt;</w:t>
            </w:r>
            <w:r>
              <w:rPr>
                <w:rFonts w:cs="Arial"/>
              </w:rPr>
              <w:br/>
            </w:r>
          </w:p>
          <w:p w14:paraId="2107084C" w14:textId="77777777" w:rsidR="00224E25" w:rsidRPr="00224E25" w:rsidRDefault="00224E25" w:rsidP="00224E25">
            <w:pPr>
              <w:rPr>
                <w:i/>
                <w:iCs/>
                <w:sz w:val="14"/>
                <w:szCs w:val="14"/>
                <w:u w:val="single"/>
              </w:rPr>
            </w:pPr>
            <w:r w:rsidRPr="00224E25">
              <w:rPr>
                <w:i/>
                <w:iCs/>
                <w:sz w:val="14"/>
                <w:szCs w:val="14"/>
                <w:u w:val="single"/>
              </w:rPr>
              <w:t>Toelichting</w:t>
            </w:r>
          </w:p>
          <w:p w14:paraId="1731760C" w14:textId="3DB7865E" w:rsidR="00C1237F" w:rsidRPr="00224E25" w:rsidRDefault="006F5349" w:rsidP="00224E25">
            <w:pPr>
              <w:rPr>
                <w:i/>
                <w:iCs/>
                <w:sz w:val="14"/>
                <w:szCs w:val="14"/>
              </w:rPr>
            </w:pPr>
            <w:r w:rsidRPr="00224E25">
              <w:rPr>
                <w:i/>
                <w:iCs/>
                <w:sz w:val="14"/>
                <w:szCs w:val="14"/>
              </w:rPr>
              <w:t>Wederpartij maakt zoveel mogelijk gebruik van duurzame verpakkingsmiddelen en draagt zorg voor een milieuvriendelijke afvoer daarvan (artikel 6 ARBIT-2022).</w:t>
            </w:r>
          </w:p>
        </w:tc>
      </w:tr>
    </w:tbl>
    <w:p w14:paraId="5D5248FA" w14:textId="77777777" w:rsidR="00A97D1C" w:rsidRDefault="00A97D1C" w:rsidP="00A97D1C"/>
    <w:p w14:paraId="38C68DF1" w14:textId="77777777" w:rsidR="00A97D1C" w:rsidRDefault="00A97D1C" w:rsidP="00A97D1C"/>
    <w:p w14:paraId="41C62700" w14:textId="2CD0C3B3" w:rsidR="00A97D1C" w:rsidRPr="00A97D1C" w:rsidRDefault="00052424" w:rsidP="00A97D1C">
      <w:pPr>
        <w:rPr>
          <w:b/>
          <w:bCs/>
        </w:rPr>
      </w:pPr>
      <w:r>
        <w:rPr>
          <w:b/>
          <w:bCs/>
        </w:rPr>
        <w:lastRenderedPageBreak/>
        <w:t>T</w:t>
      </w:r>
      <w:r w:rsidR="00A97D1C" w:rsidRPr="00A97D1C">
        <w:rPr>
          <w:b/>
          <w:bCs/>
        </w:rPr>
        <w:t>oelichting</w:t>
      </w:r>
    </w:p>
    <w:p w14:paraId="6545A6DD" w14:textId="77777777" w:rsidR="00A97D1C" w:rsidRPr="00A97D1C" w:rsidRDefault="00A97D1C" w:rsidP="00A97D1C">
      <w:pPr>
        <w:rPr>
          <w:i/>
          <w:iCs/>
        </w:rPr>
      </w:pPr>
      <w:r w:rsidRPr="00A97D1C">
        <w:rPr>
          <w:i/>
          <w:iCs/>
        </w:rPr>
        <w:t xml:space="preserve">Provincie Zeeland is koploper op het gebied van </w:t>
      </w:r>
      <w:r w:rsidRPr="00A97D1C">
        <w:rPr>
          <w:b/>
          <w:bCs/>
          <w:i/>
          <w:iCs/>
        </w:rPr>
        <w:t>Maatschappelijk Verantwoord Inkopen</w:t>
      </w:r>
      <w:r w:rsidRPr="00A97D1C">
        <w:rPr>
          <w:i/>
          <w:iCs/>
        </w:rPr>
        <w:t xml:space="preserve">. </w:t>
      </w:r>
    </w:p>
    <w:p w14:paraId="3C1F63CC" w14:textId="77777777" w:rsidR="00A97D1C" w:rsidRPr="00A97D1C" w:rsidRDefault="00A97D1C" w:rsidP="00A97D1C">
      <w:pPr>
        <w:rPr>
          <w:i/>
          <w:iCs/>
        </w:rPr>
      </w:pPr>
    </w:p>
    <w:p w14:paraId="1B445816" w14:textId="77777777" w:rsidR="00A97D1C" w:rsidRPr="00A97D1C" w:rsidRDefault="00A97D1C" w:rsidP="00A97D1C">
      <w:pPr>
        <w:rPr>
          <w:i/>
          <w:iCs/>
        </w:rPr>
      </w:pPr>
      <w:r w:rsidRPr="00A97D1C">
        <w:rPr>
          <w:i/>
          <w:iCs/>
        </w:rPr>
        <w:t>Voor ieder inkoopproject moet een ambitie geformuleerd worden en zichtbaar gemaakt hoe wordt bijgedragen aan de Duurzame Ontwikkelingsdoelen (Sustainable Development Goals).</w:t>
      </w:r>
      <w:r w:rsidRPr="00A97D1C">
        <w:rPr>
          <w:rFonts w:ascii="Open Sans" w:hAnsi="Open Sans" w:cs="Open Sans"/>
          <w:i/>
          <w:iCs/>
          <w:color w:val="27699E"/>
          <w:sz w:val="33"/>
          <w:szCs w:val="33"/>
          <w:shd w:val="clear" w:color="auto" w:fill="FFFFFF"/>
        </w:rPr>
        <w:t xml:space="preserve"> </w:t>
      </w:r>
      <w:r w:rsidRPr="00A97D1C">
        <w:rPr>
          <w:i/>
          <w:iCs/>
        </w:rPr>
        <w:t xml:space="preserve">De Duurzame Ontwikkelingsdoelstellingen worden universeel gebruikt door landen, overheden, bedrijven en </w:t>
      </w:r>
      <w:r w:rsidRPr="00A97D1C">
        <w:rPr>
          <w:rFonts w:ascii="Helvetica" w:hAnsi="Helvetica"/>
          <w:i/>
          <w:iCs/>
          <w:color w:val="494949"/>
          <w:sz w:val="22"/>
          <w:szCs w:val="22"/>
          <w:shd w:val="clear" w:color="auto" w:fill="FFFFFF"/>
        </w:rPr>
        <w:t>non-</w:t>
      </w:r>
      <w:proofErr w:type="spellStart"/>
      <w:r w:rsidRPr="00A97D1C">
        <w:rPr>
          <w:rFonts w:ascii="Helvetica" w:hAnsi="Helvetica"/>
          <w:i/>
          <w:iCs/>
          <w:color w:val="494949"/>
          <w:sz w:val="22"/>
          <w:szCs w:val="22"/>
          <w:shd w:val="clear" w:color="auto" w:fill="FFFFFF"/>
        </w:rPr>
        <w:t>governmental</w:t>
      </w:r>
      <w:proofErr w:type="spellEnd"/>
      <w:r w:rsidRPr="00A97D1C">
        <w:rPr>
          <w:rFonts w:ascii="Helvetica" w:hAnsi="Helvetica"/>
          <w:i/>
          <w:iCs/>
          <w:color w:val="494949"/>
          <w:sz w:val="22"/>
          <w:szCs w:val="22"/>
          <w:shd w:val="clear" w:color="auto" w:fill="FFFFFF"/>
        </w:rPr>
        <w:t xml:space="preserve"> </w:t>
      </w:r>
      <w:proofErr w:type="spellStart"/>
      <w:r w:rsidRPr="00A97D1C">
        <w:rPr>
          <w:rFonts w:ascii="Helvetica" w:hAnsi="Helvetica"/>
          <w:i/>
          <w:iCs/>
          <w:color w:val="494949"/>
          <w:sz w:val="22"/>
          <w:szCs w:val="22"/>
          <w:shd w:val="clear" w:color="auto" w:fill="FFFFFF"/>
        </w:rPr>
        <w:t>organisation</w:t>
      </w:r>
      <w:proofErr w:type="spellEnd"/>
      <w:r w:rsidRPr="00A97D1C">
        <w:rPr>
          <w:rFonts w:ascii="Helvetica" w:hAnsi="Helvetica"/>
          <w:i/>
          <w:iCs/>
          <w:color w:val="494949"/>
          <w:sz w:val="22"/>
          <w:szCs w:val="22"/>
          <w:shd w:val="clear" w:color="auto" w:fill="FFFFFF"/>
        </w:rPr>
        <w:t xml:space="preserve"> (</w:t>
      </w:r>
      <w:proofErr w:type="spellStart"/>
      <w:r w:rsidRPr="00A97D1C">
        <w:rPr>
          <w:i/>
          <w:iCs/>
        </w:rPr>
        <w:t>NGO’s</w:t>
      </w:r>
      <w:proofErr w:type="spellEnd"/>
      <w:r w:rsidRPr="00A97D1C">
        <w:rPr>
          <w:i/>
          <w:iCs/>
        </w:rPr>
        <w:t>) wereldwijd om de wereld tot ‘een betere plek te maken’ in 2030.</w:t>
      </w:r>
    </w:p>
    <w:p w14:paraId="27F408B4" w14:textId="77777777" w:rsidR="00A97D1C" w:rsidRPr="00A97D1C" w:rsidRDefault="00A97D1C" w:rsidP="00A97D1C">
      <w:pPr>
        <w:rPr>
          <w:i/>
          <w:iCs/>
        </w:rPr>
      </w:pPr>
      <w:r w:rsidRPr="00A97D1C">
        <w:rPr>
          <w:i/>
          <w:iCs/>
        </w:rPr>
        <w:t>MVOI is een krachtig instrument om de beleidsdoelen van Provincie Zeeland te vertalen naar de eigen aanbestedingen: ‘</w:t>
      </w:r>
      <w:proofErr w:type="spellStart"/>
      <w:r w:rsidRPr="00A97D1C">
        <w:rPr>
          <w:i/>
          <w:iCs/>
        </w:rPr>
        <w:t>Practice</w:t>
      </w:r>
      <w:proofErr w:type="spellEnd"/>
      <w:r w:rsidRPr="00A97D1C">
        <w:rPr>
          <w:i/>
          <w:iCs/>
        </w:rPr>
        <w:t xml:space="preserve"> </w:t>
      </w:r>
      <w:proofErr w:type="spellStart"/>
      <w:r w:rsidRPr="00A97D1C">
        <w:rPr>
          <w:i/>
          <w:iCs/>
        </w:rPr>
        <w:t>what</w:t>
      </w:r>
      <w:proofErr w:type="spellEnd"/>
      <w:r w:rsidRPr="00A97D1C">
        <w:rPr>
          <w:i/>
          <w:iCs/>
        </w:rPr>
        <w:t xml:space="preserve"> </w:t>
      </w:r>
      <w:proofErr w:type="spellStart"/>
      <w:r w:rsidRPr="00A97D1C">
        <w:rPr>
          <w:i/>
          <w:iCs/>
        </w:rPr>
        <w:t>you</w:t>
      </w:r>
      <w:proofErr w:type="spellEnd"/>
      <w:r w:rsidRPr="00A97D1C">
        <w:rPr>
          <w:i/>
          <w:iCs/>
        </w:rPr>
        <w:t xml:space="preserve"> </w:t>
      </w:r>
      <w:proofErr w:type="spellStart"/>
      <w:r w:rsidRPr="00A97D1C">
        <w:rPr>
          <w:i/>
          <w:iCs/>
        </w:rPr>
        <w:t>preach</w:t>
      </w:r>
      <w:proofErr w:type="spellEnd"/>
      <w:r w:rsidRPr="00A97D1C">
        <w:rPr>
          <w:i/>
          <w:iCs/>
        </w:rPr>
        <w:t xml:space="preserve">’. Voor IT zijn de belangrijkste doelen bij te dragen aan de doelstelling uit het klimaat- en het grondstoffenakkoord. </w:t>
      </w:r>
    </w:p>
    <w:p w14:paraId="57FEAA85" w14:textId="77777777" w:rsidR="00A97D1C" w:rsidRDefault="00A97D1C" w:rsidP="00A97D1C"/>
    <w:p w14:paraId="5FE094F2" w14:textId="77777777" w:rsidR="00A97D1C" w:rsidRDefault="00A97D1C" w:rsidP="00A97D1C">
      <w:r w:rsidRPr="00797802">
        <w:rPr>
          <w:noProof/>
        </w:rPr>
        <w:drawing>
          <wp:inline distT="0" distB="0" distL="0" distR="0" wp14:anchorId="7D4874E8" wp14:editId="47EB827C">
            <wp:extent cx="5079412" cy="1440063"/>
            <wp:effectExtent l="0" t="0" r="6985" b="8255"/>
            <wp:docPr id="858784964"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84964" name="Picture 1" descr="A close-up of a white background&#10;&#10;Description automatically generated"/>
                    <pic:cNvPicPr/>
                  </pic:nvPicPr>
                  <pic:blipFill>
                    <a:blip r:embed="rId14"/>
                    <a:stretch>
                      <a:fillRect/>
                    </a:stretch>
                  </pic:blipFill>
                  <pic:spPr>
                    <a:xfrm>
                      <a:off x="0" y="0"/>
                      <a:ext cx="5099281" cy="1445696"/>
                    </a:xfrm>
                    <a:prstGeom prst="rect">
                      <a:avLst/>
                    </a:prstGeom>
                  </pic:spPr>
                </pic:pic>
              </a:graphicData>
            </a:graphic>
          </wp:inline>
        </w:drawing>
      </w:r>
    </w:p>
    <w:p w14:paraId="45BEDF95" w14:textId="77777777" w:rsidR="00A97D1C" w:rsidRDefault="00A97D1C" w:rsidP="00A97D1C">
      <w:r w:rsidRPr="00797802">
        <w:rPr>
          <w:noProof/>
        </w:rPr>
        <w:drawing>
          <wp:inline distT="0" distB="0" distL="0" distR="0" wp14:anchorId="768C57A8" wp14:editId="2132C460">
            <wp:extent cx="4183811" cy="1461935"/>
            <wp:effectExtent l="0" t="0" r="7620" b="5080"/>
            <wp:docPr id="230563870" name="Picture 1" descr="A close-up of a green and white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63870" name="Picture 1" descr="A close-up of a green and white page&#10;&#10;Description automatically generated"/>
                    <pic:cNvPicPr/>
                  </pic:nvPicPr>
                  <pic:blipFill>
                    <a:blip r:embed="rId15"/>
                    <a:stretch>
                      <a:fillRect/>
                    </a:stretch>
                  </pic:blipFill>
                  <pic:spPr>
                    <a:xfrm>
                      <a:off x="0" y="0"/>
                      <a:ext cx="4215750" cy="1473095"/>
                    </a:xfrm>
                    <a:prstGeom prst="rect">
                      <a:avLst/>
                    </a:prstGeom>
                  </pic:spPr>
                </pic:pic>
              </a:graphicData>
            </a:graphic>
          </wp:inline>
        </w:drawing>
      </w:r>
    </w:p>
    <w:p w14:paraId="3B644B95" w14:textId="77777777" w:rsidR="00A97D1C" w:rsidRPr="00A97D1C" w:rsidRDefault="00A97D1C" w:rsidP="00A97D1C">
      <w:pPr>
        <w:rPr>
          <w:i/>
          <w:iCs/>
        </w:rPr>
      </w:pPr>
      <w:r w:rsidRPr="00A97D1C">
        <w:rPr>
          <w:i/>
          <w:iCs/>
        </w:rPr>
        <w:t>De milieueffecten van IT zijn vooral gerelateerd aan het energieverbruik, het gebruik van grondstoffen en verpakkingsmaterialen.</w:t>
      </w:r>
    </w:p>
    <w:p w14:paraId="11B4567E" w14:textId="77777777" w:rsidR="00A97D1C" w:rsidRPr="00A97D1C" w:rsidRDefault="00A97D1C" w:rsidP="00A97D1C">
      <w:pPr>
        <w:rPr>
          <w:i/>
          <w:iCs/>
        </w:rPr>
      </w:pPr>
    </w:p>
    <w:p w14:paraId="4E66DE90" w14:textId="77777777" w:rsidR="00A97D1C" w:rsidRPr="00A97D1C" w:rsidRDefault="00A97D1C" w:rsidP="00A97D1C">
      <w:pPr>
        <w:rPr>
          <w:i/>
          <w:iCs/>
          <w:color w:val="0070C0"/>
        </w:rPr>
      </w:pPr>
      <w:r w:rsidRPr="00A97D1C">
        <w:rPr>
          <w:i/>
          <w:iCs/>
          <w:color w:val="0070C0"/>
        </w:rPr>
        <w:t>CO2 emissies</w:t>
      </w:r>
    </w:p>
    <w:p w14:paraId="5B751C64" w14:textId="77777777" w:rsidR="00A97D1C" w:rsidRPr="00A97D1C" w:rsidRDefault="00A97D1C" w:rsidP="00A97D1C">
      <w:pPr>
        <w:rPr>
          <w:i/>
          <w:iCs/>
        </w:rPr>
      </w:pPr>
      <w:r w:rsidRPr="00A97D1C">
        <w:rPr>
          <w:i/>
          <w:iCs/>
        </w:rPr>
        <w:t xml:space="preserve">Cloudservices draaien op datacenters, die energie verbruiken om servers draaiende te houden en te koelen. Door energie efficiënter te werken en gebruik te maken van hernieuwbare energie zoals wind- en zonne-energie kan de CO2 uitstoot worden verminderd. </w:t>
      </w:r>
    </w:p>
    <w:p w14:paraId="36CF1F9D" w14:textId="5E87C2E0" w:rsidR="00A97D1C" w:rsidRPr="00A97D1C" w:rsidRDefault="00A97D1C" w:rsidP="00A97D1C">
      <w:pPr>
        <w:rPr>
          <w:i/>
          <w:iCs/>
        </w:rPr>
      </w:pPr>
      <w:r w:rsidRPr="00A97D1C">
        <w:rPr>
          <w:i/>
          <w:iCs/>
        </w:rPr>
        <w:t>Cloud</w:t>
      </w:r>
      <w:r w:rsidR="00E906FB">
        <w:rPr>
          <w:i/>
          <w:iCs/>
        </w:rPr>
        <w:t xml:space="preserve"> </w:t>
      </w:r>
      <w:r w:rsidRPr="00A97D1C">
        <w:rPr>
          <w:i/>
          <w:iCs/>
        </w:rPr>
        <w:t>services kunnen helpen om de efficiëntie te verbeteren door infrastructuur en middelen te delen. Veel kleine bedrijven of organisaties die niet over de middelen beschikken om hun eigen datacenters te beheren, kunnen profiteren van de schaalvoordelen die cloud</w:t>
      </w:r>
      <w:r w:rsidR="00E906FB">
        <w:rPr>
          <w:i/>
          <w:iCs/>
        </w:rPr>
        <w:t xml:space="preserve"> </w:t>
      </w:r>
      <w:r w:rsidRPr="00A97D1C">
        <w:rPr>
          <w:i/>
          <w:iCs/>
        </w:rPr>
        <w:t>providers bieden. Ook kan het centraliseren van opslag en computing in grote, energie-efficiënte datacenters energie besparen in vergelijking met het beheren van individuele, kleinere datacenters of servers bij bedrijven.</w:t>
      </w:r>
    </w:p>
    <w:p w14:paraId="42FCAA78" w14:textId="77777777" w:rsidR="00A97D1C" w:rsidRPr="00A97D1C" w:rsidRDefault="00A97D1C" w:rsidP="00A97D1C">
      <w:pPr>
        <w:rPr>
          <w:i/>
          <w:iCs/>
        </w:rPr>
      </w:pPr>
    </w:p>
    <w:p w14:paraId="72248EAA" w14:textId="77777777" w:rsidR="00A97D1C" w:rsidRPr="00A97D1C" w:rsidRDefault="00A97D1C" w:rsidP="00A97D1C">
      <w:pPr>
        <w:rPr>
          <w:i/>
          <w:iCs/>
          <w:color w:val="0070C0"/>
        </w:rPr>
      </w:pPr>
      <w:r w:rsidRPr="00A97D1C">
        <w:rPr>
          <w:i/>
          <w:iCs/>
          <w:color w:val="0070C0"/>
        </w:rPr>
        <w:t>Primaire grondstoffen</w:t>
      </w:r>
    </w:p>
    <w:p w14:paraId="7F81FE20" w14:textId="77777777" w:rsidR="00A97D1C" w:rsidRPr="00A97D1C" w:rsidRDefault="00A97D1C" w:rsidP="00A97D1C">
      <w:pPr>
        <w:rPr>
          <w:i/>
          <w:iCs/>
        </w:rPr>
      </w:pPr>
      <w:r w:rsidRPr="00A97D1C">
        <w:rPr>
          <w:i/>
          <w:iCs/>
        </w:rPr>
        <w:t xml:space="preserve">De servers en andere hardware die in datacenters gebruikt worden zijn gemaakt van grondstoffen zoals metalen (bijvoorbeeld koper, aluminium, zeldzame aardmetalen). Dit heeft vaak negatieve milieueffecten door mijnbouw, energieverbruik en vervuiling. Door efficiënter grondstof verbruik, het verlengen van de levensduur van bestaande data center en het toepassen van hergebruikte metalen kan het gebruik van primaire grondstoffen worden verminderd. </w:t>
      </w:r>
    </w:p>
    <w:p w14:paraId="38FF00E5" w14:textId="77777777" w:rsidR="00A97D1C" w:rsidRPr="00A97D1C" w:rsidRDefault="00A97D1C" w:rsidP="00A97D1C">
      <w:pPr>
        <w:rPr>
          <w:i/>
          <w:iCs/>
        </w:rPr>
      </w:pPr>
      <w:r w:rsidRPr="00A97D1C">
        <w:rPr>
          <w:i/>
          <w:iCs/>
        </w:rPr>
        <w:t>Serviceproviders moeten servers na een paar jaar vervangen of upgraden, wat bijdraagt aan de groei van e-afval. Dit afval moet op een verantwoorde manier worden verwerkt, wat vaak een uitdaging is. Veel elektronisch afval wordt nog steeds niet goed gerecycled, wat kan leiden tot milieuvervuiling door schadelijke stoffen zoals lood en cadmium. Door als service provider bij vervanging en upgrades  hergebruikte grondstoffen uit te vragen voor de upgrades kan de grondstoffen kringloop gesloten worden en kan bij worden gedragen aan het goed inzamelen en verwerken van de benodigde grondstoffen voor de upgrades.</w:t>
      </w:r>
    </w:p>
    <w:p w14:paraId="18FE2D5C" w14:textId="424A9D01" w:rsidR="00A50501" w:rsidRDefault="00A50501">
      <w:pPr>
        <w:contextualSpacing w:val="0"/>
        <w:rPr>
          <w:rFonts w:cs="Arial"/>
          <w:b/>
          <w:bCs/>
        </w:rPr>
      </w:pPr>
    </w:p>
    <w:sectPr w:rsidR="00A50501">
      <w:headerReference w:type="even" r:id="rId16"/>
      <w:headerReference w:type="default" r:id="rId17"/>
      <w:footerReference w:type="even" r:id="rId18"/>
      <w:footerReference w:type="default" r:id="rId19"/>
      <w:headerReference w:type="first" r:id="rId20"/>
      <w:footerReference w:type="first" r:id="rId21"/>
      <w:pgSz w:w="11906" w:h="16838" w:code="9"/>
      <w:pgMar w:top="567"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665FF" w14:textId="77777777" w:rsidR="007734B8" w:rsidRDefault="007734B8">
      <w:r>
        <w:separator/>
      </w:r>
    </w:p>
  </w:endnote>
  <w:endnote w:type="continuationSeparator" w:id="0">
    <w:p w14:paraId="38FAC7F3" w14:textId="77777777" w:rsidR="007734B8" w:rsidRDefault="007734B8">
      <w:r>
        <w:continuationSeparator/>
      </w:r>
    </w:p>
  </w:endnote>
  <w:endnote w:type="continuationNotice" w:id="1">
    <w:p w14:paraId="2839340E" w14:textId="77777777" w:rsidR="007734B8" w:rsidRDefault="0077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AvenirLTStd-Light">
    <w:altName w:val="Times New Roman"/>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56CC" w14:textId="77777777" w:rsidR="00D86DD3" w:rsidRDefault="00D86D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kolomkoppen"/>
      <w:tblW w:w="5000" w:type="pct"/>
      <w:tblLayout w:type="fixed"/>
      <w:tblLook w:val="04A0" w:firstRow="1" w:lastRow="0" w:firstColumn="1" w:lastColumn="0" w:noHBand="0" w:noVBand="1"/>
      <w:tblCaption w:val="Decoratieve figuur: lijnenspel Provincie Zeeland"/>
      <w:tblDescription w:val="Decoratieve figuur: lijnenspel Provincie Zeeland"/>
    </w:tblPr>
    <w:tblGrid>
      <w:gridCol w:w="4656"/>
      <w:gridCol w:w="3656"/>
    </w:tblGrid>
    <w:tr w:rsidR="009E3364" w14:paraId="000F1B19" w14:textId="77777777">
      <w:trPr>
        <w:cantSplit w:val="0"/>
      </w:trPr>
      <w:tc>
        <w:tcPr>
          <w:tcW w:w="5806" w:type="dxa"/>
        </w:tcPr>
        <w:p w14:paraId="41004F19" w14:textId="77777777" w:rsidR="00D86DD3" w:rsidRDefault="00D86DD3">
          <w:pPr>
            <w:pStyle w:val="Klein"/>
          </w:pPr>
        </w:p>
      </w:tc>
      <w:tc>
        <w:tcPr>
          <w:tcW w:w="4559" w:type="dxa"/>
        </w:tcPr>
        <w:p w14:paraId="3216C06D" w14:textId="77777777" w:rsidR="00D86DD3" w:rsidRDefault="00D86DD3">
          <w:pPr>
            <w:pStyle w:val="Klein"/>
            <w:jc w:val="right"/>
          </w:pPr>
          <w:r>
            <w:fldChar w:fldCharType="begin"/>
          </w:r>
          <w:r>
            <w:instrText>PAGE   \* MERGEFORMAT</w:instrText>
          </w:r>
          <w:r>
            <w:fldChar w:fldCharType="separate"/>
          </w:r>
          <w:r>
            <w:t>16</w:t>
          </w:r>
          <w:r>
            <w:fldChar w:fldCharType="end"/>
          </w:r>
        </w:p>
      </w:tc>
    </w:tr>
  </w:tbl>
  <w:p w14:paraId="67C0C651" w14:textId="77777777" w:rsidR="00D86DD3" w:rsidRDefault="00D86D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698B" w14:textId="77777777" w:rsidR="00D86DD3" w:rsidRDefault="00D86D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85D2" w14:textId="77777777" w:rsidR="007734B8" w:rsidRDefault="007734B8">
      <w:r>
        <w:separator/>
      </w:r>
    </w:p>
  </w:footnote>
  <w:footnote w:type="continuationSeparator" w:id="0">
    <w:p w14:paraId="685A261D" w14:textId="77777777" w:rsidR="007734B8" w:rsidRDefault="007734B8">
      <w:r>
        <w:continuationSeparator/>
      </w:r>
    </w:p>
  </w:footnote>
  <w:footnote w:type="continuationNotice" w:id="1">
    <w:p w14:paraId="5514EF1D" w14:textId="77777777" w:rsidR="007734B8" w:rsidRDefault="007734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FA47" w14:textId="77777777" w:rsidR="00D86DD3" w:rsidRDefault="00D86D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50C6" w14:textId="77777777" w:rsidR="00D86DD3" w:rsidRDefault="00D86D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A75D" w14:textId="77777777" w:rsidR="00D86DD3" w:rsidRDefault="00D86DD3">
    <w:pPr>
      <w:pStyle w:val="Koptekst"/>
    </w:pPr>
    <w:r>
      <w:rPr>
        <w:noProof/>
      </w:rPr>
      <w:drawing>
        <wp:anchor distT="0" distB="0" distL="0" distR="0" simplePos="0" relativeHeight="251658240" behindDoc="1" locked="0" layoutInCell="1" allowOverlap="1" wp14:anchorId="752EB5B7" wp14:editId="07777777">
          <wp:simplePos x="0" y="0"/>
          <wp:positionH relativeFrom="page">
            <wp:posOffset>-107950</wp:posOffset>
          </wp:positionH>
          <wp:positionV relativeFrom="page">
            <wp:posOffset>0</wp:posOffset>
          </wp:positionV>
          <wp:extent cx="7930800" cy="3070800"/>
          <wp:effectExtent l="0" t="0" r="0" b="0"/>
          <wp:wrapNone/>
          <wp:docPr id="1" name="Afbeelding 1" descr="Decoratieve afbeelding: lijnenspel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30800" cy="307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5636D6"/>
    <w:multiLevelType w:val="hybridMultilevel"/>
    <w:tmpl w:val="045A30A4"/>
    <w:lvl w:ilvl="0" w:tplc="7E2019BC">
      <w:start w:val="1"/>
      <w:numFmt w:val="bullet"/>
      <w:lvlText w:val=""/>
      <w:lvlJc w:val="left"/>
      <w:pPr>
        <w:tabs>
          <w:tab w:val="num" w:pos="720"/>
        </w:tabs>
        <w:ind w:left="720" w:hanging="360"/>
      </w:pPr>
      <w:rPr>
        <w:rFonts w:ascii="Symbol" w:hAnsi="Symbol" w:cs="Symbol" w:hint="default"/>
      </w:rPr>
    </w:lvl>
    <w:lvl w:ilvl="1" w:tplc="B3D6CA00">
      <w:start w:val="1"/>
      <w:numFmt w:val="bullet"/>
      <w:lvlText w:val="o"/>
      <w:lvlJc w:val="left"/>
      <w:pPr>
        <w:tabs>
          <w:tab w:val="num" w:pos="1440"/>
        </w:tabs>
        <w:ind w:left="1440" w:hanging="360"/>
      </w:pPr>
      <w:rPr>
        <w:rFonts w:ascii="Courier New" w:hAnsi="Courier New" w:cs="Courier New" w:hint="default"/>
      </w:rPr>
    </w:lvl>
    <w:lvl w:ilvl="2" w:tplc="D4E62708">
      <w:start w:val="1"/>
      <w:numFmt w:val="bullet"/>
      <w:lvlText w:val=""/>
      <w:lvlJc w:val="left"/>
      <w:pPr>
        <w:tabs>
          <w:tab w:val="num" w:pos="2160"/>
        </w:tabs>
        <w:ind w:left="2160" w:hanging="360"/>
      </w:pPr>
      <w:rPr>
        <w:rFonts w:ascii="Wingdings" w:hAnsi="Wingdings" w:cs="Wingdings" w:hint="default"/>
      </w:rPr>
    </w:lvl>
    <w:lvl w:ilvl="3" w:tplc="A93E5186">
      <w:start w:val="1"/>
      <w:numFmt w:val="bullet"/>
      <w:lvlText w:val=""/>
      <w:lvlJc w:val="left"/>
      <w:pPr>
        <w:tabs>
          <w:tab w:val="num" w:pos="2880"/>
        </w:tabs>
        <w:ind w:left="2880" w:hanging="360"/>
      </w:pPr>
      <w:rPr>
        <w:rFonts w:ascii="Symbol" w:hAnsi="Symbol" w:cs="Symbol" w:hint="default"/>
      </w:rPr>
    </w:lvl>
    <w:lvl w:ilvl="4" w:tplc="EBF81302">
      <w:start w:val="1"/>
      <w:numFmt w:val="bullet"/>
      <w:lvlText w:val="o"/>
      <w:lvlJc w:val="left"/>
      <w:pPr>
        <w:tabs>
          <w:tab w:val="num" w:pos="3600"/>
        </w:tabs>
        <w:ind w:left="3600" w:hanging="360"/>
      </w:pPr>
      <w:rPr>
        <w:rFonts w:ascii="Courier New" w:hAnsi="Courier New" w:cs="Courier New" w:hint="default"/>
      </w:rPr>
    </w:lvl>
    <w:lvl w:ilvl="5" w:tplc="96387942">
      <w:start w:val="1"/>
      <w:numFmt w:val="bullet"/>
      <w:lvlText w:val=""/>
      <w:lvlJc w:val="left"/>
      <w:pPr>
        <w:tabs>
          <w:tab w:val="num" w:pos="4320"/>
        </w:tabs>
        <w:ind w:left="4320" w:hanging="360"/>
      </w:pPr>
      <w:rPr>
        <w:rFonts w:ascii="Wingdings" w:hAnsi="Wingdings" w:cs="Wingdings" w:hint="default"/>
      </w:rPr>
    </w:lvl>
    <w:lvl w:ilvl="6" w:tplc="7512D5C4">
      <w:start w:val="1"/>
      <w:numFmt w:val="bullet"/>
      <w:lvlText w:val=""/>
      <w:lvlJc w:val="left"/>
      <w:pPr>
        <w:tabs>
          <w:tab w:val="num" w:pos="5040"/>
        </w:tabs>
        <w:ind w:left="5040" w:hanging="360"/>
      </w:pPr>
      <w:rPr>
        <w:rFonts w:ascii="Symbol" w:hAnsi="Symbol" w:cs="Symbol" w:hint="default"/>
      </w:rPr>
    </w:lvl>
    <w:lvl w:ilvl="7" w:tplc="47C0E40A">
      <w:start w:val="1"/>
      <w:numFmt w:val="bullet"/>
      <w:lvlText w:val="o"/>
      <w:lvlJc w:val="left"/>
      <w:pPr>
        <w:tabs>
          <w:tab w:val="num" w:pos="5760"/>
        </w:tabs>
        <w:ind w:left="5760" w:hanging="360"/>
      </w:pPr>
      <w:rPr>
        <w:rFonts w:ascii="Courier New" w:hAnsi="Courier New" w:cs="Courier New" w:hint="default"/>
      </w:rPr>
    </w:lvl>
    <w:lvl w:ilvl="8" w:tplc="D304F4C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FFFFFF89"/>
    <w:multiLevelType w:val="singleLevel"/>
    <w:tmpl w:val="3FD40AB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133562"/>
    <w:multiLevelType w:val="hybridMultilevel"/>
    <w:tmpl w:val="66460D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407EFB"/>
    <w:multiLevelType w:val="hybridMultilevel"/>
    <w:tmpl w:val="821E41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361E82"/>
    <w:multiLevelType w:val="hybridMultilevel"/>
    <w:tmpl w:val="6A2EE478"/>
    <w:lvl w:ilvl="0" w:tplc="CFA0B77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C51D78"/>
    <w:multiLevelType w:val="hybridMultilevel"/>
    <w:tmpl w:val="950429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277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575D95"/>
    <w:multiLevelType w:val="hybridMultilevel"/>
    <w:tmpl w:val="FBAECB12"/>
    <w:lvl w:ilvl="0" w:tplc="673018EA">
      <w:start w:val="1"/>
      <w:numFmt w:val="decimal"/>
      <w:pStyle w:val="Nummering"/>
      <w:lvlText w:val="%1."/>
      <w:lvlJc w:val="left"/>
      <w:pPr>
        <w:ind w:left="360" w:hanging="360"/>
      </w:pPr>
      <w:rPr>
        <w:rFonts w:hint="default"/>
      </w:rPr>
    </w:lvl>
    <w:lvl w:ilvl="1" w:tplc="4C20D674" w:tentative="1">
      <w:start w:val="1"/>
      <w:numFmt w:val="lowerLetter"/>
      <w:lvlText w:val="%2."/>
      <w:lvlJc w:val="left"/>
      <w:pPr>
        <w:ind w:left="1440" w:hanging="360"/>
      </w:pPr>
    </w:lvl>
    <w:lvl w:ilvl="2" w:tplc="B434D216" w:tentative="1">
      <w:start w:val="1"/>
      <w:numFmt w:val="lowerRoman"/>
      <w:lvlText w:val="%3."/>
      <w:lvlJc w:val="right"/>
      <w:pPr>
        <w:ind w:left="2160" w:hanging="180"/>
      </w:pPr>
    </w:lvl>
    <w:lvl w:ilvl="3" w:tplc="2180A61A" w:tentative="1">
      <w:start w:val="1"/>
      <w:numFmt w:val="decimal"/>
      <w:lvlText w:val="%4."/>
      <w:lvlJc w:val="left"/>
      <w:pPr>
        <w:ind w:left="2880" w:hanging="360"/>
      </w:pPr>
    </w:lvl>
    <w:lvl w:ilvl="4" w:tplc="BF2A2A2A" w:tentative="1">
      <w:start w:val="1"/>
      <w:numFmt w:val="lowerLetter"/>
      <w:lvlText w:val="%5."/>
      <w:lvlJc w:val="left"/>
      <w:pPr>
        <w:ind w:left="3600" w:hanging="360"/>
      </w:pPr>
    </w:lvl>
    <w:lvl w:ilvl="5" w:tplc="D560420A" w:tentative="1">
      <w:start w:val="1"/>
      <w:numFmt w:val="lowerRoman"/>
      <w:lvlText w:val="%6."/>
      <w:lvlJc w:val="right"/>
      <w:pPr>
        <w:ind w:left="4320" w:hanging="180"/>
      </w:pPr>
    </w:lvl>
    <w:lvl w:ilvl="6" w:tplc="FA426740" w:tentative="1">
      <w:start w:val="1"/>
      <w:numFmt w:val="decimal"/>
      <w:lvlText w:val="%7."/>
      <w:lvlJc w:val="left"/>
      <w:pPr>
        <w:ind w:left="5040" w:hanging="360"/>
      </w:pPr>
    </w:lvl>
    <w:lvl w:ilvl="7" w:tplc="5AB2D202" w:tentative="1">
      <w:start w:val="1"/>
      <w:numFmt w:val="lowerLetter"/>
      <w:lvlText w:val="%8."/>
      <w:lvlJc w:val="left"/>
      <w:pPr>
        <w:ind w:left="5760" w:hanging="360"/>
      </w:pPr>
    </w:lvl>
    <w:lvl w:ilvl="8" w:tplc="2D78B004" w:tentative="1">
      <w:start w:val="1"/>
      <w:numFmt w:val="lowerRoman"/>
      <w:lvlText w:val="%9."/>
      <w:lvlJc w:val="right"/>
      <w:pPr>
        <w:ind w:left="6480" w:hanging="180"/>
      </w:pPr>
    </w:lvl>
  </w:abstractNum>
  <w:abstractNum w:abstractNumId="7" w15:restartNumberingAfterBreak="0">
    <w:nsid w:val="5A5E1E5C"/>
    <w:multiLevelType w:val="hybridMultilevel"/>
    <w:tmpl w:val="01F8D392"/>
    <w:lvl w:ilvl="0" w:tplc="CFA0B778">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0637C3"/>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09C1C7E"/>
    <w:multiLevelType w:val="hybridMultilevel"/>
    <w:tmpl w:val="FAA65E92"/>
    <w:lvl w:ilvl="0" w:tplc="276A9ABC">
      <w:start w:val="1"/>
      <w:numFmt w:val="bullet"/>
      <w:pStyle w:val="Bullets"/>
      <w:lvlText w:val=""/>
      <w:lvlJc w:val="left"/>
      <w:pPr>
        <w:ind w:left="720" w:hanging="360"/>
      </w:pPr>
      <w:rPr>
        <w:rFonts w:ascii="Symbol" w:hAnsi="Symbol" w:hint="default"/>
      </w:rPr>
    </w:lvl>
    <w:lvl w:ilvl="1" w:tplc="88C0BAF2">
      <w:start w:val="1"/>
      <w:numFmt w:val="bullet"/>
      <w:lvlText w:val=""/>
      <w:lvlJc w:val="left"/>
      <w:pPr>
        <w:ind w:left="1440" w:hanging="360"/>
      </w:pPr>
      <w:rPr>
        <w:rFonts w:ascii="Symbol" w:hAnsi="Symbol" w:hint="default"/>
      </w:rPr>
    </w:lvl>
    <w:lvl w:ilvl="2" w:tplc="763071EE" w:tentative="1">
      <w:start w:val="1"/>
      <w:numFmt w:val="bullet"/>
      <w:lvlText w:val=""/>
      <w:lvlJc w:val="left"/>
      <w:pPr>
        <w:ind w:left="2160" w:hanging="360"/>
      </w:pPr>
      <w:rPr>
        <w:rFonts w:ascii="Wingdings" w:hAnsi="Wingdings" w:hint="default"/>
      </w:rPr>
    </w:lvl>
    <w:lvl w:ilvl="3" w:tplc="24401CFA" w:tentative="1">
      <w:start w:val="1"/>
      <w:numFmt w:val="bullet"/>
      <w:lvlText w:val=""/>
      <w:lvlJc w:val="left"/>
      <w:pPr>
        <w:ind w:left="2880" w:hanging="360"/>
      </w:pPr>
      <w:rPr>
        <w:rFonts w:ascii="Symbol" w:hAnsi="Symbol" w:hint="default"/>
      </w:rPr>
    </w:lvl>
    <w:lvl w:ilvl="4" w:tplc="F9DABC00">
      <w:start w:val="1"/>
      <w:numFmt w:val="bullet"/>
      <w:lvlText w:val=""/>
      <w:lvlJc w:val="left"/>
      <w:pPr>
        <w:ind w:left="3600" w:hanging="360"/>
      </w:pPr>
      <w:rPr>
        <w:rFonts w:ascii="Symbol" w:hAnsi="Symbol" w:hint="default"/>
      </w:rPr>
    </w:lvl>
    <w:lvl w:ilvl="5" w:tplc="D8C23FAC" w:tentative="1">
      <w:start w:val="1"/>
      <w:numFmt w:val="bullet"/>
      <w:lvlText w:val=""/>
      <w:lvlJc w:val="left"/>
      <w:pPr>
        <w:ind w:left="4320" w:hanging="360"/>
      </w:pPr>
      <w:rPr>
        <w:rFonts w:ascii="Wingdings" w:hAnsi="Wingdings" w:hint="default"/>
      </w:rPr>
    </w:lvl>
    <w:lvl w:ilvl="6" w:tplc="0700DCB6" w:tentative="1">
      <w:start w:val="1"/>
      <w:numFmt w:val="bullet"/>
      <w:lvlText w:val=""/>
      <w:lvlJc w:val="left"/>
      <w:pPr>
        <w:ind w:left="5040" w:hanging="360"/>
      </w:pPr>
      <w:rPr>
        <w:rFonts w:ascii="Symbol" w:hAnsi="Symbol" w:hint="default"/>
      </w:rPr>
    </w:lvl>
    <w:lvl w:ilvl="7" w:tplc="CF6CF820">
      <w:start w:val="1"/>
      <w:numFmt w:val="bullet"/>
      <w:lvlText w:val="o"/>
      <w:lvlJc w:val="left"/>
      <w:pPr>
        <w:ind w:left="5760" w:hanging="360"/>
      </w:pPr>
      <w:rPr>
        <w:rFonts w:ascii="Courier New" w:hAnsi="Courier New" w:cs="Courier New" w:hint="default"/>
      </w:rPr>
    </w:lvl>
    <w:lvl w:ilvl="8" w:tplc="A496A920" w:tentative="1">
      <w:start w:val="1"/>
      <w:numFmt w:val="bullet"/>
      <w:lvlText w:val=""/>
      <w:lvlJc w:val="left"/>
      <w:pPr>
        <w:ind w:left="6480" w:hanging="360"/>
      </w:pPr>
      <w:rPr>
        <w:rFonts w:ascii="Wingdings" w:hAnsi="Wingdings" w:hint="default"/>
      </w:rPr>
    </w:lvl>
  </w:abstractNum>
  <w:abstractNum w:abstractNumId="10" w15:restartNumberingAfterBreak="0">
    <w:nsid w:val="681ED191"/>
    <w:multiLevelType w:val="hybridMultilevel"/>
    <w:tmpl w:val="2B10783E"/>
    <w:lvl w:ilvl="0" w:tplc="44A84F0E">
      <w:start w:val="1"/>
      <w:numFmt w:val="decimal"/>
      <w:lvlText w:val="%1."/>
      <w:lvlJc w:val="left"/>
      <w:pPr>
        <w:ind w:left="360" w:hanging="360"/>
      </w:pPr>
      <w:rPr>
        <w:b/>
        <w:bCs/>
        <w:i w:val="0"/>
        <w:iCs w:val="0"/>
      </w:rPr>
    </w:lvl>
    <w:lvl w:ilvl="1" w:tplc="CFA0B778">
      <w:start w:val="1"/>
      <w:numFmt w:val="lowerLetter"/>
      <w:lvlText w:val="%2."/>
      <w:lvlJc w:val="left"/>
      <w:pPr>
        <w:ind w:left="1080" w:hanging="360"/>
      </w:pPr>
    </w:lvl>
    <w:lvl w:ilvl="2" w:tplc="03F659D2">
      <w:start w:val="1"/>
      <w:numFmt w:val="lowerRoman"/>
      <w:lvlText w:val="%3."/>
      <w:lvlJc w:val="right"/>
      <w:pPr>
        <w:ind w:left="1800" w:hanging="180"/>
      </w:pPr>
    </w:lvl>
    <w:lvl w:ilvl="3" w:tplc="378E9038">
      <w:start w:val="1"/>
      <w:numFmt w:val="decimal"/>
      <w:lvlText w:val="%4."/>
      <w:lvlJc w:val="left"/>
      <w:pPr>
        <w:ind w:left="2520" w:hanging="360"/>
      </w:pPr>
    </w:lvl>
    <w:lvl w:ilvl="4" w:tplc="33860CEE">
      <w:start w:val="1"/>
      <w:numFmt w:val="lowerLetter"/>
      <w:lvlText w:val="%5."/>
      <w:lvlJc w:val="left"/>
      <w:pPr>
        <w:ind w:left="3240" w:hanging="360"/>
      </w:pPr>
    </w:lvl>
    <w:lvl w:ilvl="5" w:tplc="5EDC8092">
      <w:start w:val="1"/>
      <w:numFmt w:val="lowerRoman"/>
      <w:lvlText w:val="%6."/>
      <w:lvlJc w:val="right"/>
      <w:pPr>
        <w:ind w:left="3960" w:hanging="180"/>
      </w:pPr>
    </w:lvl>
    <w:lvl w:ilvl="6" w:tplc="FFF29A0C">
      <w:start w:val="1"/>
      <w:numFmt w:val="decimal"/>
      <w:lvlText w:val="%7."/>
      <w:lvlJc w:val="left"/>
      <w:pPr>
        <w:ind w:left="4680" w:hanging="360"/>
      </w:pPr>
    </w:lvl>
    <w:lvl w:ilvl="7" w:tplc="505E800A">
      <w:start w:val="1"/>
      <w:numFmt w:val="lowerLetter"/>
      <w:lvlText w:val="%8."/>
      <w:lvlJc w:val="left"/>
      <w:pPr>
        <w:ind w:left="5400" w:hanging="360"/>
      </w:pPr>
    </w:lvl>
    <w:lvl w:ilvl="8" w:tplc="A4E0B7C4">
      <w:start w:val="1"/>
      <w:numFmt w:val="lowerRoman"/>
      <w:lvlText w:val="%9."/>
      <w:lvlJc w:val="right"/>
      <w:pPr>
        <w:ind w:left="6120" w:hanging="180"/>
      </w:pPr>
    </w:lvl>
  </w:abstractNum>
  <w:abstractNum w:abstractNumId="11" w15:restartNumberingAfterBreak="0">
    <w:nsid w:val="74B10A19"/>
    <w:multiLevelType w:val="hybridMultilevel"/>
    <w:tmpl w:val="7680772C"/>
    <w:lvl w:ilvl="0" w:tplc="04C6A1C4">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771AD2"/>
    <w:multiLevelType w:val="hybridMultilevel"/>
    <w:tmpl w:val="1D8E1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A133DA"/>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7D79636D"/>
    <w:multiLevelType w:val="hybridMultilevel"/>
    <w:tmpl w:val="38A44514"/>
    <w:lvl w:ilvl="0" w:tplc="4462BD58">
      <w:start w:val="1"/>
      <w:numFmt w:val="decimal"/>
      <w:lvlText w:val="%1."/>
      <w:lvlJc w:val="left"/>
      <w:pPr>
        <w:ind w:left="930" w:hanging="570"/>
      </w:pPr>
      <w:rPr>
        <w:rFonts w:hint="default"/>
      </w:rPr>
    </w:lvl>
    <w:lvl w:ilvl="1" w:tplc="93385008" w:tentative="1">
      <w:start w:val="1"/>
      <w:numFmt w:val="lowerLetter"/>
      <w:lvlText w:val="%2."/>
      <w:lvlJc w:val="left"/>
      <w:pPr>
        <w:ind w:left="1440" w:hanging="360"/>
      </w:pPr>
    </w:lvl>
    <w:lvl w:ilvl="2" w:tplc="D004ABC8" w:tentative="1">
      <w:start w:val="1"/>
      <w:numFmt w:val="lowerRoman"/>
      <w:lvlText w:val="%3."/>
      <w:lvlJc w:val="right"/>
      <w:pPr>
        <w:ind w:left="2160" w:hanging="180"/>
      </w:pPr>
    </w:lvl>
    <w:lvl w:ilvl="3" w:tplc="86641468" w:tentative="1">
      <w:start w:val="1"/>
      <w:numFmt w:val="decimal"/>
      <w:lvlText w:val="%4."/>
      <w:lvlJc w:val="left"/>
      <w:pPr>
        <w:ind w:left="2880" w:hanging="360"/>
      </w:pPr>
    </w:lvl>
    <w:lvl w:ilvl="4" w:tplc="45DA3D3E" w:tentative="1">
      <w:start w:val="1"/>
      <w:numFmt w:val="lowerLetter"/>
      <w:lvlText w:val="%5."/>
      <w:lvlJc w:val="left"/>
      <w:pPr>
        <w:ind w:left="3600" w:hanging="360"/>
      </w:pPr>
    </w:lvl>
    <w:lvl w:ilvl="5" w:tplc="D012F734" w:tentative="1">
      <w:start w:val="1"/>
      <w:numFmt w:val="lowerRoman"/>
      <w:lvlText w:val="%6."/>
      <w:lvlJc w:val="right"/>
      <w:pPr>
        <w:ind w:left="4320" w:hanging="180"/>
      </w:pPr>
    </w:lvl>
    <w:lvl w:ilvl="6" w:tplc="3A041D4C" w:tentative="1">
      <w:start w:val="1"/>
      <w:numFmt w:val="decimal"/>
      <w:lvlText w:val="%7."/>
      <w:lvlJc w:val="left"/>
      <w:pPr>
        <w:ind w:left="5040" w:hanging="360"/>
      </w:pPr>
    </w:lvl>
    <w:lvl w:ilvl="7" w:tplc="483468EA" w:tentative="1">
      <w:start w:val="1"/>
      <w:numFmt w:val="lowerLetter"/>
      <w:lvlText w:val="%8."/>
      <w:lvlJc w:val="left"/>
      <w:pPr>
        <w:ind w:left="5760" w:hanging="360"/>
      </w:pPr>
    </w:lvl>
    <w:lvl w:ilvl="8" w:tplc="3556B344" w:tentative="1">
      <w:start w:val="1"/>
      <w:numFmt w:val="lowerRoman"/>
      <w:lvlText w:val="%9."/>
      <w:lvlJc w:val="right"/>
      <w:pPr>
        <w:ind w:left="6480" w:hanging="180"/>
      </w:pPr>
    </w:lvl>
  </w:abstractNum>
  <w:num w:numId="1" w16cid:durableId="1246766704">
    <w:abstractNumId w:val="10"/>
  </w:num>
  <w:num w:numId="2" w16cid:durableId="41291048">
    <w:abstractNumId w:val="9"/>
  </w:num>
  <w:num w:numId="3" w16cid:durableId="1572425107">
    <w:abstractNumId w:val="8"/>
  </w:num>
  <w:num w:numId="4" w16cid:durableId="1898396982">
    <w:abstractNumId w:val="1"/>
  </w:num>
  <w:num w:numId="5" w16cid:durableId="1933390468">
    <w:abstractNumId w:val="6"/>
  </w:num>
  <w:num w:numId="6" w16cid:durableId="1134641726">
    <w:abstractNumId w:val="14"/>
  </w:num>
  <w:num w:numId="7" w16cid:durableId="197593784">
    <w:abstractNumId w:val="12"/>
  </w:num>
  <w:num w:numId="8" w16cid:durableId="658191613">
    <w:abstractNumId w:val="3"/>
  </w:num>
  <w:num w:numId="9" w16cid:durableId="916986528">
    <w:abstractNumId w:val="4"/>
  </w:num>
  <w:num w:numId="10" w16cid:durableId="1183784868">
    <w:abstractNumId w:val="7"/>
  </w:num>
  <w:num w:numId="11" w16cid:durableId="1775981714">
    <w:abstractNumId w:val="5"/>
  </w:num>
  <w:num w:numId="12" w16cid:durableId="1752969215">
    <w:abstractNumId w:val="0"/>
  </w:num>
  <w:num w:numId="13" w16cid:durableId="1289162455">
    <w:abstractNumId w:val="2"/>
  </w:num>
  <w:num w:numId="14" w16cid:durableId="611401541">
    <w:abstractNumId w:val="13"/>
  </w:num>
  <w:num w:numId="15" w16cid:durableId="93278703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 w:val="NO"/>
    <w:docVar w:name="mitStyleTemplates" w:va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9E3364"/>
    <w:rsid w:val="00010DFB"/>
    <w:rsid w:val="00013B6F"/>
    <w:rsid w:val="0002528F"/>
    <w:rsid w:val="00033209"/>
    <w:rsid w:val="0004114E"/>
    <w:rsid w:val="000428C6"/>
    <w:rsid w:val="00052424"/>
    <w:rsid w:val="00067668"/>
    <w:rsid w:val="0008257C"/>
    <w:rsid w:val="00096976"/>
    <w:rsid w:val="000B530E"/>
    <w:rsid w:val="000C0ECF"/>
    <w:rsid w:val="000D1E63"/>
    <w:rsid w:val="000E1FFD"/>
    <w:rsid w:val="000E2252"/>
    <w:rsid w:val="000F7805"/>
    <w:rsid w:val="0013258C"/>
    <w:rsid w:val="00132677"/>
    <w:rsid w:val="00133CE6"/>
    <w:rsid w:val="001341C0"/>
    <w:rsid w:val="0014021F"/>
    <w:rsid w:val="001472A6"/>
    <w:rsid w:val="001609ED"/>
    <w:rsid w:val="00163D8C"/>
    <w:rsid w:val="0016522B"/>
    <w:rsid w:val="00174C77"/>
    <w:rsid w:val="001A2AE2"/>
    <w:rsid w:val="001A2CD6"/>
    <w:rsid w:val="001E15AA"/>
    <w:rsid w:val="001E74DA"/>
    <w:rsid w:val="00202353"/>
    <w:rsid w:val="002124EB"/>
    <w:rsid w:val="002137D2"/>
    <w:rsid w:val="002143CE"/>
    <w:rsid w:val="00224E25"/>
    <w:rsid w:val="00227A86"/>
    <w:rsid w:val="00232EF1"/>
    <w:rsid w:val="00237055"/>
    <w:rsid w:val="00237662"/>
    <w:rsid w:val="00252190"/>
    <w:rsid w:val="0025759A"/>
    <w:rsid w:val="002765E3"/>
    <w:rsid w:val="002A4CFF"/>
    <w:rsid w:val="002A745A"/>
    <w:rsid w:val="002B53C7"/>
    <w:rsid w:val="002B598F"/>
    <w:rsid w:val="002C576E"/>
    <w:rsid w:val="002C595C"/>
    <w:rsid w:val="002D22CE"/>
    <w:rsid w:val="002D443F"/>
    <w:rsid w:val="00333B3E"/>
    <w:rsid w:val="0034405F"/>
    <w:rsid w:val="003620A3"/>
    <w:rsid w:val="003640CC"/>
    <w:rsid w:val="0038772D"/>
    <w:rsid w:val="00395CC2"/>
    <w:rsid w:val="003B193C"/>
    <w:rsid w:val="003C3B12"/>
    <w:rsid w:val="003C5388"/>
    <w:rsid w:val="003F5CDF"/>
    <w:rsid w:val="004127A2"/>
    <w:rsid w:val="004164DF"/>
    <w:rsid w:val="0046671B"/>
    <w:rsid w:val="00481046"/>
    <w:rsid w:val="00483F6E"/>
    <w:rsid w:val="0048706E"/>
    <w:rsid w:val="00490137"/>
    <w:rsid w:val="00495EE4"/>
    <w:rsid w:val="004D4318"/>
    <w:rsid w:val="004E6028"/>
    <w:rsid w:val="004F0AE8"/>
    <w:rsid w:val="0051251B"/>
    <w:rsid w:val="00517E4A"/>
    <w:rsid w:val="00531808"/>
    <w:rsid w:val="0053669A"/>
    <w:rsid w:val="005A1EAF"/>
    <w:rsid w:val="005C0C07"/>
    <w:rsid w:val="005C2E3C"/>
    <w:rsid w:val="005F2118"/>
    <w:rsid w:val="00615C07"/>
    <w:rsid w:val="006316FF"/>
    <w:rsid w:val="00671936"/>
    <w:rsid w:val="00684E02"/>
    <w:rsid w:val="006B1529"/>
    <w:rsid w:val="006D3A38"/>
    <w:rsid w:val="006D4B4C"/>
    <w:rsid w:val="006F27CC"/>
    <w:rsid w:val="006F4D96"/>
    <w:rsid w:val="006F5349"/>
    <w:rsid w:val="007043FF"/>
    <w:rsid w:val="007048D3"/>
    <w:rsid w:val="00706AC7"/>
    <w:rsid w:val="00723BB8"/>
    <w:rsid w:val="00724709"/>
    <w:rsid w:val="0075079E"/>
    <w:rsid w:val="00750928"/>
    <w:rsid w:val="00770B50"/>
    <w:rsid w:val="007734B8"/>
    <w:rsid w:val="007831C1"/>
    <w:rsid w:val="007B2BA7"/>
    <w:rsid w:val="007B566A"/>
    <w:rsid w:val="007D1E0F"/>
    <w:rsid w:val="007D2DFE"/>
    <w:rsid w:val="007D7E7F"/>
    <w:rsid w:val="007E075E"/>
    <w:rsid w:val="007F43B3"/>
    <w:rsid w:val="00806F1F"/>
    <w:rsid w:val="0081012B"/>
    <w:rsid w:val="00820ED9"/>
    <w:rsid w:val="008210B7"/>
    <w:rsid w:val="008354B8"/>
    <w:rsid w:val="00844255"/>
    <w:rsid w:val="00846C7A"/>
    <w:rsid w:val="00855FBD"/>
    <w:rsid w:val="008610E8"/>
    <w:rsid w:val="008730DC"/>
    <w:rsid w:val="0088357A"/>
    <w:rsid w:val="008A76F7"/>
    <w:rsid w:val="008E5A2D"/>
    <w:rsid w:val="008E6090"/>
    <w:rsid w:val="00900A66"/>
    <w:rsid w:val="009730A0"/>
    <w:rsid w:val="009765D2"/>
    <w:rsid w:val="009A1450"/>
    <w:rsid w:val="009D08C6"/>
    <w:rsid w:val="009E3364"/>
    <w:rsid w:val="00A052AF"/>
    <w:rsid w:val="00A06CAD"/>
    <w:rsid w:val="00A21E7E"/>
    <w:rsid w:val="00A31520"/>
    <w:rsid w:val="00A32639"/>
    <w:rsid w:val="00A43A64"/>
    <w:rsid w:val="00A50501"/>
    <w:rsid w:val="00A63A60"/>
    <w:rsid w:val="00A65EF3"/>
    <w:rsid w:val="00A677B3"/>
    <w:rsid w:val="00A85435"/>
    <w:rsid w:val="00A9040C"/>
    <w:rsid w:val="00A97D1C"/>
    <w:rsid w:val="00AA4AD0"/>
    <w:rsid w:val="00AB37AF"/>
    <w:rsid w:val="00AD4D09"/>
    <w:rsid w:val="00AD515A"/>
    <w:rsid w:val="00AE0A09"/>
    <w:rsid w:val="00AF57C1"/>
    <w:rsid w:val="00B209F5"/>
    <w:rsid w:val="00B27910"/>
    <w:rsid w:val="00B53D9F"/>
    <w:rsid w:val="00B663B9"/>
    <w:rsid w:val="00B67907"/>
    <w:rsid w:val="00B67D4D"/>
    <w:rsid w:val="00B97A59"/>
    <w:rsid w:val="00BA6335"/>
    <w:rsid w:val="00BD3199"/>
    <w:rsid w:val="00BD444A"/>
    <w:rsid w:val="00BD5C18"/>
    <w:rsid w:val="00BE0720"/>
    <w:rsid w:val="00BF2BC1"/>
    <w:rsid w:val="00C10F0B"/>
    <w:rsid w:val="00C1237F"/>
    <w:rsid w:val="00C618A4"/>
    <w:rsid w:val="00C87FBD"/>
    <w:rsid w:val="00C957DD"/>
    <w:rsid w:val="00C97DAC"/>
    <w:rsid w:val="00CA5F14"/>
    <w:rsid w:val="00CB60A5"/>
    <w:rsid w:val="00CC0DBC"/>
    <w:rsid w:val="00CD6019"/>
    <w:rsid w:val="00CD62DD"/>
    <w:rsid w:val="00CF07CD"/>
    <w:rsid w:val="00D00BD3"/>
    <w:rsid w:val="00D00CC1"/>
    <w:rsid w:val="00D01382"/>
    <w:rsid w:val="00D036F8"/>
    <w:rsid w:val="00D20B19"/>
    <w:rsid w:val="00D23DC9"/>
    <w:rsid w:val="00D2726C"/>
    <w:rsid w:val="00D302FE"/>
    <w:rsid w:val="00D82B2C"/>
    <w:rsid w:val="00D86DD3"/>
    <w:rsid w:val="00DC55CD"/>
    <w:rsid w:val="00DD56EE"/>
    <w:rsid w:val="00DE0638"/>
    <w:rsid w:val="00E00FCC"/>
    <w:rsid w:val="00E054C8"/>
    <w:rsid w:val="00E32004"/>
    <w:rsid w:val="00E349EC"/>
    <w:rsid w:val="00E42A05"/>
    <w:rsid w:val="00E631FE"/>
    <w:rsid w:val="00E811B3"/>
    <w:rsid w:val="00E857BC"/>
    <w:rsid w:val="00E906FB"/>
    <w:rsid w:val="00EC2A8E"/>
    <w:rsid w:val="00EC41E6"/>
    <w:rsid w:val="00ED19AE"/>
    <w:rsid w:val="00ED4A82"/>
    <w:rsid w:val="00EE6D52"/>
    <w:rsid w:val="00F04B96"/>
    <w:rsid w:val="00F12ED8"/>
    <w:rsid w:val="00F159A4"/>
    <w:rsid w:val="00F55AB6"/>
    <w:rsid w:val="00F62CFB"/>
    <w:rsid w:val="00F679D4"/>
    <w:rsid w:val="00F72D89"/>
    <w:rsid w:val="00F73561"/>
    <w:rsid w:val="00F75BEC"/>
    <w:rsid w:val="00F7653E"/>
    <w:rsid w:val="00F86249"/>
    <w:rsid w:val="00F870C7"/>
    <w:rsid w:val="00FA2AA3"/>
    <w:rsid w:val="00FC0E27"/>
    <w:rsid w:val="00FC3E34"/>
    <w:rsid w:val="00FC4A04"/>
    <w:rsid w:val="00FD01F5"/>
    <w:rsid w:val="00FD24EF"/>
    <w:rsid w:val="00FD4D7D"/>
    <w:rsid w:val="00FF45BE"/>
    <w:rsid w:val="00FF76D9"/>
    <w:rsid w:val="04C94560"/>
    <w:rsid w:val="04DAEB4C"/>
    <w:rsid w:val="09A26471"/>
    <w:rsid w:val="0A5E161C"/>
    <w:rsid w:val="0FAB9F79"/>
    <w:rsid w:val="10498CCF"/>
    <w:rsid w:val="10AA6D91"/>
    <w:rsid w:val="117F1ECE"/>
    <w:rsid w:val="15CEE047"/>
    <w:rsid w:val="174CAC2E"/>
    <w:rsid w:val="17993D2B"/>
    <w:rsid w:val="17B4FFFC"/>
    <w:rsid w:val="1B0A0742"/>
    <w:rsid w:val="1C7802D0"/>
    <w:rsid w:val="2151446E"/>
    <w:rsid w:val="24724145"/>
    <w:rsid w:val="259EF689"/>
    <w:rsid w:val="29834D95"/>
    <w:rsid w:val="2BFC0BE7"/>
    <w:rsid w:val="301FAA6C"/>
    <w:rsid w:val="33CE0F31"/>
    <w:rsid w:val="348AD139"/>
    <w:rsid w:val="37D85464"/>
    <w:rsid w:val="3B848250"/>
    <w:rsid w:val="3CBF785E"/>
    <w:rsid w:val="3F901062"/>
    <w:rsid w:val="400F7228"/>
    <w:rsid w:val="40393528"/>
    <w:rsid w:val="4069D1B9"/>
    <w:rsid w:val="41A71C1D"/>
    <w:rsid w:val="43223FE4"/>
    <w:rsid w:val="4AF45DFD"/>
    <w:rsid w:val="4EF5F7BE"/>
    <w:rsid w:val="5081C4AB"/>
    <w:rsid w:val="516E228F"/>
    <w:rsid w:val="52FA29D9"/>
    <w:rsid w:val="5624013A"/>
    <w:rsid w:val="5665B5AD"/>
    <w:rsid w:val="56D266F7"/>
    <w:rsid w:val="57F51310"/>
    <w:rsid w:val="615B1C08"/>
    <w:rsid w:val="6D5F04DC"/>
    <w:rsid w:val="6F33395F"/>
    <w:rsid w:val="70D9D108"/>
    <w:rsid w:val="740397A1"/>
    <w:rsid w:val="76948341"/>
    <w:rsid w:val="77311B91"/>
    <w:rsid w:val="77E3F157"/>
    <w:rsid w:val="77EEC127"/>
    <w:rsid w:val="787E4FB5"/>
    <w:rsid w:val="78DC746F"/>
    <w:rsid w:val="793A2F9A"/>
    <w:rsid w:val="7A2C8F1B"/>
    <w:rsid w:val="7C8831D6"/>
    <w:rsid w:val="7E4CE8AD"/>
    <w:rsid w:val="7F2DF61E"/>
    <w:rsid w:val="7FA212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5F074"/>
  <w15:docId w15:val="{161AEC28-7DEF-4413-9CF5-305BF565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lsdException w:name="List Bullet"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497EED"/>
    <w:pPr>
      <w:contextualSpacing/>
    </w:pPr>
    <w:rPr>
      <w:rFonts w:ascii="Arial" w:hAnsi="Arial"/>
      <w:szCs w:val="24"/>
    </w:rPr>
  </w:style>
  <w:style w:type="paragraph" w:styleId="Kop1">
    <w:name w:val="heading 1"/>
    <w:basedOn w:val="Standaard"/>
    <w:next w:val="Standaard"/>
    <w:link w:val="Kop1Char"/>
    <w:uiPriority w:val="99"/>
    <w:semiHidden/>
    <w:rsid w:val="00AF6AB3"/>
    <w:pPr>
      <w:keepNext/>
      <w:spacing w:before="240" w:after="60"/>
      <w:outlineLvl w:val="0"/>
    </w:pPr>
    <w:rPr>
      <w:b/>
      <w:bCs/>
      <w:kern w:val="32"/>
      <w:sz w:val="22"/>
      <w:szCs w:val="32"/>
    </w:rPr>
  </w:style>
  <w:style w:type="paragraph" w:styleId="Kop2">
    <w:name w:val="heading 2"/>
    <w:basedOn w:val="Standaard"/>
    <w:next w:val="Standaard"/>
    <w:link w:val="Kop2Char"/>
    <w:uiPriority w:val="99"/>
    <w:semiHidden/>
    <w:rsid w:val="00CC0DB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F6AB3"/>
    <w:pPr>
      <w:tabs>
        <w:tab w:val="center" w:pos="4536"/>
        <w:tab w:val="right" w:pos="9072"/>
      </w:tabs>
    </w:pPr>
  </w:style>
  <w:style w:type="character" w:customStyle="1" w:styleId="KoptekstChar">
    <w:name w:val="Koptekst Char"/>
    <w:link w:val="Koptekst"/>
    <w:uiPriority w:val="99"/>
    <w:semiHidden/>
    <w:rsid w:val="004C3CD8"/>
    <w:rPr>
      <w:rFonts w:ascii="Arial" w:hAnsi="Arial"/>
      <w:szCs w:val="24"/>
    </w:rPr>
  </w:style>
  <w:style w:type="paragraph" w:styleId="Voettekst">
    <w:name w:val="footer"/>
    <w:basedOn w:val="Standaard"/>
    <w:link w:val="VoettekstChar"/>
    <w:rsid w:val="00AF6AB3"/>
    <w:pPr>
      <w:tabs>
        <w:tab w:val="center" w:pos="4536"/>
        <w:tab w:val="right" w:pos="9072"/>
      </w:tabs>
    </w:pPr>
  </w:style>
  <w:style w:type="character" w:customStyle="1" w:styleId="VoettekstChar">
    <w:name w:val="Voettekst Char"/>
    <w:link w:val="Voettekst"/>
    <w:rsid w:val="004C3CD8"/>
    <w:rPr>
      <w:rFonts w:ascii="Arial" w:hAnsi="Arial"/>
      <w:szCs w:val="24"/>
    </w:rPr>
  </w:style>
  <w:style w:type="character" w:customStyle="1" w:styleId="Kop1Char">
    <w:name w:val="Kop 1 Char"/>
    <w:link w:val="Kop1"/>
    <w:uiPriority w:val="99"/>
    <w:semiHidden/>
    <w:rsid w:val="004C3CD8"/>
    <w:rPr>
      <w:rFonts w:ascii="Arial" w:hAnsi="Arial"/>
      <w:b/>
      <w:bCs/>
      <w:kern w:val="32"/>
      <w:sz w:val="22"/>
      <w:szCs w:val="32"/>
    </w:rPr>
  </w:style>
  <w:style w:type="paragraph" w:customStyle="1" w:styleId="KleinVet">
    <w:name w:val="KleinVet"/>
    <w:basedOn w:val="Standaard"/>
    <w:link w:val="KleinVetChar"/>
    <w:uiPriority w:val="1"/>
    <w:qFormat/>
    <w:rsid w:val="00497EED"/>
    <w:rPr>
      <w:b/>
      <w:sz w:val="16"/>
    </w:rPr>
  </w:style>
  <w:style w:type="paragraph" w:customStyle="1" w:styleId="Klein">
    <w:name w:val="Klein"/>
    <w:basedOn w:val="Standaard"/>
    <w:qFormat/>
    <w:rsid w:val="00497EED"/>
    <w:rPr>
      <w:sz w:val="16"/>
    </w:rPr>
  </w:style>
  <w:style w:type="paragraph" w:styleId="Titel">
    <w:name w:val="Title"/>
    <w:basedOn w:val="Standaard"/>
    <w:next w:val="Standaard"/>
    <w:link w:val="TitelChar"/>
    <w:uiPriority w:val="99"/>
    <w:semiHidden/>
    <w:rsid w:val="000200D4"/>
    <w:rPr>
      <w:rFonts w:ascii="Arial Narrow" w:eastAsiaTheme="majorEastAsia" w:hAnsi="Arial Narrow" w:cstheme="majorBidi"/>
      <w:spacing w:val="-10"/>
      <w:kern w:val="28"/>
      <w:sz w:val="76"/>
      <w:szCs w:val="56"/>
    </w:rPr>
  </w:style>
  <w:style w:type="character" w:customStyle="1" w:styleId="TitelChar">
    <w:name w:val="Titel Char"/>
    <w:basedOn w:val="Standaardalinea-lettertype"/>
    <w:link w:val="Titel"/>
    <w:uiPriority w:val="99"/>
    <w:semiHidden/>
    <w:rsid w:val="004C3CD8"/>
    <w:rPr>
      <w:rFonts w:ascii="Arial Narrow" w:eastAsiaTheme="majorEastAsia" w:hAnsi="Arial Narrow" w:cstheme="majorBidi"/>
      <w:spacing w:val="-10"/>
      <w:kern w:val="28"/>
      <w:sz w:val="76"/>
      <w:szCs w:val="56"/>
    </w:rPr>
  </w:style>
  <w:style w:type="paragraph" w:styleId="Geenafstand">
    <w:name w:val="No Spacing"/>
    <w:uiPriority w:val="99"/>
    <w:semiHidden/>
    <w:rsid w:val="00F83174"/>
    <w:rPr>
      <w:rFonts w:ascii="Arial" w:hAnsi="Arial"/>
      <w:szCs w:val="24"/>
    </w:rPr>
  </w:style>
  <w:style w:type="paragraph" w:customStyle="1" w:styleId="Kenmerk">
    <w:name w:val="Kenmerk"/>
    <w:basedOn w:val="Standaard"/>
    <w:link w:val="KenmerkChar"/>
    <w:uiPriority w:val="3"/>
    <w:qFormat/>
    <w:rsid w:val="00497EED"/>
    <w:rPr>
      <w:b/>
      <w:bCs/>
    </w:rPr>
  </w:style>
  <w:style w:type="paragraph" w:customStyle="1" w:styleId="Bullets">
    <w:name w:val="Bullets"/>
    <w:basedOn w:val="Lijstalinea"/>
    <w:uiPriority w:val="5"/>
    <w:qFormat/>
    <w:rsid w:val="00497EED"/>
    <w:pPr>
      <w:numPr>
        <w:numId w:val="2"/>
      </w:numPr>
      <w:ind w:left="357" w:hanging="357"/>
    </w:pPr>
  </w:style>
  <w:style w:type="character" w:customStyle="1" w:styleId="KenmerkChar">
    <w:name w:val="Kenmerk Char"/>
    <w:basedOn w:val="Standaardalinea-lettertype"/>
    <w:link w:val="Kenmerk"/>
    <w:uiPriority w:val="3"/>
    <w:rsid w:val="00497EED"/>
    <w:rPr>
      <w:rFonts w:ascii="Arial" w:hAnsi="Arial"/>
      <w:b/>
      <w:bCs/>
      <w:szCs w:val="24"/>
    </w:rPr>
  </w:style>
  <w:style w:type="paragraph" w:styleId="Lijstalinea">
    <w:name w:val="List Paragraph"/>
    <w:aliases w:val="Reference List"/>
    <w:basedOn w:val="Standaard"/>
    <w:link w:val="LijstalineaChar"/>
    <w:uiPriority w:val="34"/>
    <w:qFormat/>
    <w:rsid w:val="00F83174"/>
    <w:pPr>
      <w:ind w:left="720"/>
    </w:pPr>
  </w:style>
  <w:style w:type="character" w:customStyle="1" w:styleId="KleinVetChar">
    <w:name w:val="KleinVet Char"/>
    <w:basedOn w:val="Standaardalinea-lettertype"/>
    <w:link w:val="KleinVet"/>
    <w:uiPriority w:val="1"/>
    <w:rsid w:val="00497EED"/>
    <w:rPr>
      <w:rFonts w:ascii="Arial" w:hAnsi="Arial"/>
      <w:b/>
      <w:sz w:val="16"/>
      <w:szCs w:val="24"/>
    </w:rPr>
  </w:style>
  <w:style w:type="paragraph" w:customStyle="1" w:styleId="Nummering">
    <w:name w:val="Nummering"/>
    <w:basedOn w:val="Lijst"/>
    <w:uiPriority w:val="6"/>
    <w:qFormat/>
    <w:rsid w:val="00497EED"/>
    <w:pPr>
      <w:numPr>
        <w:numId w:val="5"/>
      </w:numPr>
      <w:ind w:left="357" w:hanging="357"/>
    </w:pPr>
  </w:style>
  <w:style w:type="paragraph" w:customStyle="1" w:styleId="Titeldocument">
    <w:name w:val="Titel document"/>
    <w:basedOn w:val="Titel"/>
    <w:next w:val="Standaard"/>
    <w:link w:val="TiteldocumentChar"/>
    <w:uiPriority w:val="7"/>
    <w:qFormat/>
    <w:rsid w:val="00497EED"/>
    <w:pPr>
      <w:outlineLvl w:val="0"/>
    </w:pPr>
  </w:style>
  <w:style w:type="paragraph" w:customStyle="1" w:styleId="Ondertiteldocument">
    <w:name w:val="Ondertitel document"/>
    <w:basedOn w:val="Titel"/>
    <w:next w:val="Standaard"/>
    <w:link w:val="OndertiteldocumentChar"/>
    <w:uiPriority w:val="8"/>
    <w:qFormat/>
    <w:rsid w:val="00497EED"/>
    <w:rPr>
      <w:sz w:val="48"/>
    </w:rPr>
  </w:style>
  <w:style w:type="character" w:customStyle="1" w:styleId="TiteldocumentChar">
    <w:name w:val="Titel document Char"/>
    <w:basedOn w:val="TitelChar"/>
    <w:link w:val="Titeldocument"/>
    <w:uiPriority w:val="7"/>
    <w:rsid w:val="00497EED"/>
    <w:rPr>
      <w:rFonts w:ascii="Arial Narrow" w:eastAsiaTheme="majorEastAsia" w:hAnsi="Arial Narrow" w:cstheme="majorBidi"/>
      <w:spacing w:val="-10"/>
      <w:kern w:val="28"/>
      <w:sz w:val="76"/>
      <w:szCs w:val="56"/>
    </w:rPr>
  </w:style>
  <w:style w:type="paragraph" w:customStyle="1" w:styleId="Hoofdstukkop">
    <w:name w:val="Hoofdstukkop"/>
    <w:basedOn w:val="Kop1"/>
    <w:next w:val="Standaard"/>
    <w:link w:val="HoofdstukkopChar"/>
    <w:uiPriority w:val="10"/>
    <w:qFormat/>
    <w:rsid w:val="00497EED"/>
    <w:pPr>
      <w:outlineLvl w:val="1"/>
    </w:pPr>
    <w:rPr>
      <w:sz w:val="28"/>
    </w:rPr>
  </w:style>
  <w:style w:type="character" w:customStyle="1" w:styleId="OndertiteldocumentChar">
    <w:name w:val="Ondertitel document Char"/>
    <w:basedOn w:val="TitelChar"/>
    <w:link w:val="Ondertiteldocument"/>
    <w:uiPriority w:val="8"/>
    <w:rsid w:val="00497EED"/>
    <w:rPr>
      <w:rFonts w:ascii="Arial Narrow" w:eastAsiaTheme="majorEastAsia" w:hAnsi="Arial Narrow" w:cstheme="majorBidi"/>
      <w:spacing w:val="-10"/>
      <w:kern w:val="28"/>
      <w:sz w:val="48"/>
      <w:szCs w:val="56"/>
    </w:rPr>
  </w:style>
  <w:style w:type="paragraph" w:customStyle="1" w:styleId="Paragraafkop">
    <w:name w:val="Paragraafkop"/>
    <w:basedOn w:val="Kop1"/>
    <w:next w:val="Standaard"/>
    <w:link w:val="ParagraafkopChar"/>
    <w:uiPriority w:val="11"/>
    <w:qFormat/>
    <w:rsid w:val="00497EED"/>
    <w:pPr>
      <w:spacing w:before="0" w:after="0"/>
      <w:outlineLvl w:val="2"/>
    </w:pPr>
    <w:rPr>
      <w:sz w:val="24"/>
    </w:rPr>
  </w:style>
  <w:style w:type="paragraph" w:styleId="Kopvaninhoudsopgave">
    <w:name w:val="TOC Heading"/>
    <w:basedOn w:val="Kop1"/>
    <w:next w:val="Standaard"/>
    <w:link w:val="KopvaninhoudsopgaveChar"/>
    <w:uiPriority w:val="99"/>
    <w:semiHidden/>
    <w:rsid w:val="00F4381A"/>
    <w:pPr>
      <w:keepLines/>
      <w:spacing w:after="0"/>
      <w:outlineLvl w:val="9"/>
    </w:pPr>
    <w:rPr>
      <w:rFonts w:asciiTheme="majorHAnsi" w:eastAsiaTheme="majorEastAsia" w:hAnsiTheme="majorHAnsi" w:cstheme="majorBidi"/>
      <w:b w:val="0"/>
      <w:bCs w:val="0"/>
      <w:color w:val="2F5496" w:themeColor="accent1" w:themeShade="BF"/>
      <w:kern w:val="0"/>
      <w:sz w:val="32"/>
    </w:rPr>
  </w:style>
  <w:style w:type="character" w:customStyle="1" w:styleId="KopvaninhoudsopgaveChar">
    <w:name w:val="Kop van inhoudsopgave Char"/>
    <w:basedOn w:val="Kop1Char"/>
    <w:link w:val="Kopvaninhoudsopgave"/>
    <w:uiPriority w:val="99"/>
    <w:semiHidden/>
    <w:rsid w:val="004C3CD8"/>
    <w:rPr>
      <w:rFonts w:asciiTheme="majorHAnsi" w:eastAsiaTheme="majorEastAsia" w:hAnsiTheme="majorHAnsi" w:cstheme="majorBidi"/>
      <w:b w:val="0"/>
      <w:bCs w:val="0"/>
      <w:color w:val="2F5496" w:themeColor="accent1" w:themeShade="BF"/>
      <w:kern w:val="32"/>
      <w:sz w:val="32"/>
      <w:szCs w:val="32"/>
    </w:rPr>
  </w:style>
  <w:style w:type="character" w:customStyle="1" w:styleId="HoofdstukkopChar">
    <w:name w:val="Hoofdstukkop Char"/>
    <w:basedOn w:val="KopvaninhoudsopgaveChar"/>
    <w:link w:val="Hoofdstukkop"/>
    <w:uiPriority w:val="10"/>
    <w:rsid w:val="00497EED"/>
    <w:rPr>
      <w:rFonts w:ascii="Arial" w:eastAsiaTheme="majorEastAsia" w:hAnsi="Arial" w:cstheme="majorBidi"/>
      <w:b/>
      <w:bCs/>
      <w:color w:val="2F5496" w:themeColor="accent1" w:themeShade="BF"/>
      <w:kern w:val="32"/>
      <w:sz w:val="28"/>
      <w:szCs w:val="32"/>
    </w:rPr>
  </w:style>
  <w:style w:type="numbering" w:customStyle="1" w:styleId="Stijl1">
    <w:name w:val="Stijl1"/>
    <w:rsid w:val="00A63FFA"/>
    <w:pPr>
      <w:numPr>
        <w:numId w:val="3"/>
      </w:numPr>
    </w:pPr>
  </w:style>
  <w:style w:type="character" w:customStyle="1" w:styleId="ParagraafkopChar">
    <w:name w:val="Paragraafkop Char"/>
    <w:basedOn w:val="Kop1Char"/>
    <w:link w:val="Paragraafkop"/>
    <w:uiPriority w:val="11"/>
    <w:rsid w:val="00497EED"/>
    <w:rPr>
      <w:rFonts w:ascii="Arial" w:hAnsi="Arial"/>
      <w:b/>
      <w:bCs/>
      <w:kern w:val="32"/>
      <w:sz w:val="24"/>
      <w:szCs w:val="32"/>
    </w:rPr>
  </w:style>
  <w:style w:type="paragraph" w:customStyle="1" w:styleId="Inhoudsopgave">
    <w:name w:val="Inhoudsopgave"/>
    <w:basedOn w:val="Kopvaninhoudsopgave"/>
    <w:next w:val="Standaard"/>
    <w:link w:val="InhoudsopgaveChar"/>
    <w:uiPriority w:val="9"/>
    <w:qFormat/>
    <w:rsid w:val="00497EED"/>
    <w:pPr>
      <w:spacing w:after="60"/>
    </w:pPr>
    <w:rPr>
      <w:rFonts w:ascii="Arial" w:hAnsi="Arial"/>
      <w:color w:val="auto"/>
      <w:sz w:val="28"/>
    </w:rPr>
  </w:style>
  <w:style w:type="paragraph" w:styleId="Inhopg1">
    <w:name w:val="toc 1"/>
    <w:basedOn w:val="Standaard"/>
    <w:next w:val="Standaard"/>
    <w:autoRedefine/>
    <w:uiPriority w:val="39"/>
    <w:rsid w:val="00442C22"/>
    <w:pPr>
      <w:spacing w:after="100"/>
    </w:pPr>
  </w:style>
  <w:style w:type="character" w:customStyle="1" w:styleId="InhoudsopgaveChar">
    <w:name w:val="Inhoudsopgave Char"/>
    <w:basedOn w:val="KopvaninhoudsopgaveChar"/>
    <w:link w:val="Inhoudsopgave"/>
    <w:uiPriority w:val="9"/>
    <w:rsid w:val="00497EED"/>
    <w:rPr>
      <w:rFonts w:ascii="Arial" w:eastAsiaTheme="majorEastAsia" w:hAnsi="Arial" w:cstheme="majorBidi"/>
      <w:b w:val="0"/>
      <w:bCs w:val="0"/>
      <w:color w:val="2F5496" w:themeColor="accent1" w:themeShade="BF"/>
      <w:kern w:val="32"/>
      <w:sz w:val="28"/>
      <w:szCs w:val="32"/>
    </w:rPr>
  </w:style>
  <w:style w:type="paragraph" w:styleId="Inhopg2">
    <w:name w:val="toc 2"/>
    <w:basedOn w:val="Standaard"/>
    <w:next w:val="Standaard"/>
    <w:autoRedefine/>
    <w:uiPriority w:val="39"/>
    <w:rsid w:val="00442C22"/>
    <w:pPr>
      <w:spacing w:after="100"/>
      <w:ind w:left="200"/>
    </w:pPr>
  </w:style>
  <w:style w:type="character" w:styleId="Hyperlink">
    <w:name w:val="Hyperlink"/>
    <w:basedOn w:val="Standaardalinea-lettertype"/>
    <w:uiPriority w:val="99"/>
    <w:rsid w:val="00442C22"/>
    <w:rPr>
      <w:color w:val="0563C1" w:themeColor="hyperlink"/>
      <w:u w:val="single"/>
    </w:rPr>
  </w:style>
  <w:style w:type="paragraph" w:styleId="Inhopg3">
    <w:name w:val="toc 3"/>
    <w:basedOn w:val="Standaard"/>
    <w:next w:val="Standaard"/>
    <w:autoRedefine/>
    <w:uiPriority w:val="99"/>
    <w:semiHidden/>
    <w:rsid w:val="005A6D93"/>
    <w:pPr>
      <w:spacing w:after="100"/>
      <w:ind w:left="400"/>
    </w:pPr>
  </w:style>
  <w:style w:type="paragraph" w:customStyle="1" w:styleId="Subparagraafkop">
    <w:name w:val="Sub paragraafkop"/>
    <w:basedOn w:val="Kop1"/>
    <w:next w:val="Standaard"/>
    <w:link w:val="SubparagraafkopChar"/>
    <w:uiPriority w:val="12"/>
    <w:qFormat/>
    <w:rsid w:val="00497EED"/>
    <w:pPr>
      <w:outlineLvl w:val="3"/>
    </w:pPr>
    <w:rPr>
      <w:sz w:val="24"/>
    </w:rPr>
  </w:style>
  <w:style w:type="paragraph" w:customStyle="1" w:styleId="Groot">
    <w:name w:val="Groot"/>
    <w:basedOn w:val="Standaard"/>
    <w:link w:val="GrootChar"/>
    <w:uiPriority w:val="4"/>
    <w:qFormat/>
    <w:rsid w:val="00497EED"/>
    <w:rPr>
      <w:sz w:val="26"/>
    </w:rPr>
  </w:style>
  <w:style w:type="character" w:customStyle="1" w:styleId="SubparagraafkopChar">
    <w:name w:val="Sub paragraafkop Char"/>
    <w:basedOn w:val="Kop1Char"/>
    <w:link w:val="Subparagraafkop"/>
    <w:uiPriority w:val="12"/>
    <w:rsid w:val="00497EED"/>
    <w:rPr>
      <w:rFonts w:ascii="Arial" w:hAnsi="Arial"/>
      <w:b/>
      <w:bCs/>
      <w:kern w:val="32"/>
      <w:sz w:val="24"/>
      <w:szCs w:val="32"/>
    </w:rPr>
  </w:style>
  <w:style w:type="character" w:customStyle="1" w:styleId="GrootChar">
    <w:name w:val="Groot Char"/>
    <w:basedOn w:val="Standaardalinea-lettertype"/>
    <w:link w:val="Groot"/>
    <w:uiPriority w:val="4"/>
    <w:rsid w:val="00497EED"/>
    <w:rPr>
      <w:rFonts w:ascii="Arial" w:hAnsi="Arial"/>
      <w:sz w:val="26"/>
      <w:szCs w:val="24"/>
    </w:rPr>
  </w:style>
  <w:style w:type="paragraph" w:styleId="Lijstopsomteken">
    <w:name w:val="List Bullet"/>
    <w:basedOn w:val="Standaard"/>
    <w:uiPriority w:val="99"/>
    <w:semiHidden/>
    <w:rsid w:val="00D91616"/>
    <w:pPr>
      <w:numPr>
        <w:numId w:val="4"/>
      </w:numPr>
    </w:pPr>
  </w:style>
  <w:style w:type="paragraph" w:styleId="Lijst">
    <w:name w:val="List"/>
    <w:basedOn w:val="Standaard"/>
    <w:uiPriority w:val="99"/>
    <w:semiHidden/>
    <w:rsid w:val="00D91616"/>
    <w:pPr>
      <w:ind w:left="283" w:hanging="283"/>
    </w:pPr>
  </w:style>
  <w:style w:type="table" w:styleId="Tabelraster">
    <w:name w:val="Table Grid"/>
    <w:basedOn w:val="Standaardtabel"/>
    <w:uiPriority w:val="59"/>
    <w:rsid w:val="005A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zonderkolomkoppen">
    <w:name w:val="Tabel zonder kolomkoppen"/>
    <w:basedOn w:val="Standaardtabel"/>
    <w:uiPriority w:val="99"/>
    <w:rsid w:val="006538B0"/>
    <w:pPr>
      <w:spacing w:line="312" w:lineRule="auto"/>
      <w:contextualSpacing/>
    </w:pPr>
    <w:rPr>
      <w:rFonts w:ascii="Arial" w:hAnsi="Arial"/>
    </w:rPr>
    <w:tblPr>
      <w:tblStyleRowBandSize w:val="3"/>
      <w:tblStyleColBandSize w:val="3"/>
      <w:tblCellMar>
        <w:left w:w="0" w:type="dxa"/>
        <w:right w:w="0" w:type="dxa"/>
      </w:tblCellMar>
    </w:tblPr>
    <w:trPr>
      <w:cantSplit/>
      <w:tblHeader/>
    </w:trPr>
  </w:style>
  <w:style w:type="table" w:customStyle="1" w:styleId="Onopgemaaktetabel51">
    <w:name w:val="Onopgemaakte tabel 51"/>
    <w:basedOn w:val="Standaardtabel"/>
    <w:uiPriority w:val="45"/>
    <w:rsid w:val="003E21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72026F"/>
  </w:style>
  <w:style w:type="table" w:customStyle="1" w:styleId="Xentialtabelzonderkopenkolom">
    <w:name w:val="Xential tabel zonder kop en kolom"/>
    <w:basedOn w:val="Standaardtabel"/>
    <w:uiPriority w:val="99"/>
    <w:rsid w:val="0059036F"/>
    <w:rPr>
      <w:rFonts w:ascii="Arial" w:hAnsi="Arial" w:cs="Arimo"/>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ttetekst2">
    <w:name w:val="Body Text 2"/>
    <w:basedOn w:val="Standaard"/>
    <w:link w:val="Plattetekst2Char"/>
    <w:rsid w:val="009D7AFD"/>
    <w:rPr>
      <w:rFonts w:ascii="Times New Roman" w:hAnsi="Times New Roman"/>
      <w:b/>
      <w:bCs/>
      <w:sz w:val="24"/>
    </w:rPr>
  </w:style>
  <w:style w:type="character" w:customStyle="1" w:styleId="Plattetekst2Char">
    <w:name w:val="Platte tekst 2 Char"/>
    <w:basedOn w:val="Standaardalinea-lettertype"/>
    <w:link w:val="Plattetekst2"/>
    <w:rsid w:val="009D7AFD"/>
    <w:rPr>
      <w:b/>
      <w:bCs/>
      <w:sz w:val="24"/>
      <w:szCs w:val="24"/>
    </w:rPr>
  </w:style>
  <w:style w:type="character" w:customStyle="1" w:styleId="fontstyle01">
    <w:name w:val="fontstyle01"/>
    <w:basedOn w:val="Standaardalinea-lettertype"/>
    <w:rsid w:val="005E4662"/>
    <w:rPr>
      <w:rFonts w:ascii="AvenirLTStd-Light" w:hAnsi="AvenirLTStd-Light" w:hint="default"/>
      <w:b w:val="0"/>
      <w:bCs w:val="0"/>
      <w:i w:val="0"/>
      <w:iCs w:val="0"/>
      <w:color w:val="009FE3"/>
      <w:sz w:val="60"/>
      <w:szCs w:val="60"/>
    </w:rPr>
  </w:style>
  <w:style w:type="paragraph" w:styleId="Revisie">
    <w:name w:val="Revision"/>
    <w:hidden/>
    <w:uiPriority w:val="99"/>
    <w:semiHidden/>
    <w:rsid w:val="00C618A4"/>
    <w:rPr>
      <w:rFonts w:ascii="Arial" w:hAnsi="Arial"/>
      <w:szCs w:val="24"/>
    </w:rPr>
  </w:style>
  <w:style w:type="character" w:customStyle="1" w:styleId="Kop2Char">
    <w:name w:val="Kop 2 Char"/>
    <w:basedOn w:val="Standaardalinea-lettertype"/>
    <w:link w:val="Kop2"/>
    <w:uiPriority w:val="99"/>
    <w:semiHidden/>
    <w:rsid w:val="00CC0DBC"/>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Standaardalinea-lettertype"/>
    <w:rsid w:val="00DD56EE"/>
  </w:style>
  <w:style w:type="character" w:customStyle="1" w:styleId="eop">
    <w:name w:val="eop"/>
    <w:basedOn w:val="Standaardalinea-lettertype"/>
    <w:rsid w:val="00DD56EE"/>
  </w:style>
  <w:style w:type="paragraph" w:styleId="Tekstopmerking">
    <w:name w:val="annotation text"/>
    <w:basedOn w:val="Standaard"/>
    <w:link w:val="TekstopmerkingChar"/>
    <w:uiPriority w:val="99"/>
    <w:semiHidden/>
    <w:rsid w:val="007F43B3"/>
    <w:rPr>
      <w:szCs w:val="20"/>
    </w:rPr>
  </w:style>
  <w:style w:type="character" w:customStyle="1" w:styleId="TekstopmerkingChar">
    <w:name w:val="Tekst opmerking Char"/>
    <w:basedOn w:val="Standaardalinea-lettertype"/>
    <w:link w:val="Tekstopmerking"/>
    <w:uiPriority w:val="99"/>
    <w:semiHidden/>
    <w:rsid w:val="007F43B3"/>
    <w:rPr>
      <w:rFonts w:ascii="Arial" w:hAnsi="Arial"/>
    </w:rPr>
  </w:style>
  <w:style w:type="character" w:styleId="Verwijzingopmerking">
    <w:name w:val="annotation reference"/>
    <w:basedOn w:val="Standaardalinea-lettertype"/>
    <w:uiPriority w:val="99"/>
    <w:semiHidden/>
    <w:rsid w:val="007F43B3"/>
    <w:rPr>
      <w:sz w:val="16"/>
      <w:szCs w:val="16"/>
    </w:rPr>
  </w:style>
  <w:style w:type="paragraph" w:customStyle="1" w:styleId="paragraph">
    <w:name w:val="paragraph"/>
    <w:basedOn w:val="Standaard"/>
    <w:rsid w:val="00FF76D9"/>
    <w:pPr>
      <w:spacing w:before="100" w:beforeAutospacing="1" w:after="100" w:afterAutospacing="1"/>
      <w:contextualSpacing w:val="0"/>
    </w:pPr>
    <w:rPr>
      <w:rFonts w:ascii="Times New Roman" w:hAnsi="Times New Roman"/>
      <w:sz w:val="24"/>
    </w:rPr>
  </w:style>
  <w:style w:type="character" w:customStyle="1" w:styleId="contentcontrolboundarysink">
    <w:name w:val="contentcontrolboundarysink"/>
    <w:basedOn w:val="Standaardalinea-lettertype"/>
    <w:rsid w:val="00FF76D9"/>
  </w:style>
  <w:style w:type="character" w:customStyle="1" w:styleId="LijstalineaChar">
    <w:name w:val="Lijstalinea Char"/>
    <w:aliases w:val="Reference List Char"/>
    <w:link w:val="Lijstalinea"/>
    <w:uiPriority w:val="34"/>
    <w:locked/>
    <w:rsid w:val="00A97D1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0868">
      <w:bodyDiv w:val="1"/>
      <w:marLeft w:val="0"/>
      <w:marRight w:val="0"/>
      <w:marTop w:val="0"/>
      <w:marBottom w:val="0"/>
      <w:divBdr>
        <w:top w:val="none" w:sz="0" w:space="0" w:color="auto"/>
        <w:left w:val="none" w:sz="0" w:space="0" w:color="auto"/>
        <w:bottom w:val="none" w:sz="0" w:space="0" w:color="auto"/>
        <w:right w:val="none" w:sz="0" w:space="0" w:color="auto"/>
      </w:divBdr>
      <w:divsChild>
        <w:div w:id="1858615199">
          <w:marLeft w:val="0"/>
          <w:marRight w:val="0"/>
          <w:marTop w:val="0"/>
          <w:marBottom w:val="0"/>
          <w:divBdr>
            <w:top w:val="none" w:sz="0" w:space="0" w:color="auto"/>
            <w:left w:val="none" w:sz="0" w:space="0" w:color="auto"/>
            <w:bottom w:val="none" w:sz="0" w:space="0" w:color="auto"/>
            <w:right w:val="none" w:sz="0" w:space="0" w:color="auto"/>
          </w:divBdr>
        </w:div>
        <w:div w:id="1499004957">
          <w:marLeft w:val="0"/>
          <w:marRight w:val="0"/>
          <w:marTop w:val="0"/>
          <w:marBottom w:val="0"/>
          <w:divBdr>
            <w:top w:val="none" w:sz="0" w:space="0" w:color="auto"/>
            <w:left w:val="none" w:sz="0" w:space="0" w:color="auto"/>
            <w:bottom w:val="none" w:sz="0" w:space="0" w:color="auto"/>
            <w:right w:val="none" w:sz="0" w:space="0" w:color="auto"/>
          </w:divBdr>
        </w:div>
        <w:div w:id="1350837774">
          <w:marLeft w:val="0"/>
          <w:marRight w:val="0"/>
          <w:marTop w:val="0"/>
          <w:marBottom w:val="0"/>
          <w:divBdr>
            <w:top w:val="none" w:sz="0" w:space="0" w:color="auto"/>
            <w:left w:val="none" w:sz="0" w:space="0" w:color="auto"/>
            <w:bottom w:val="none" w:sz="0" w:space="0" w:color="auto"/>
            <w:right w:val="none" w:sz="0" w:space="0" w:color="auto"/>
          </w:divBdr>
        </w:div>
      </w:divsChild>
    </w:div>
    <w:div w:id="255292295">
      <w:bodyDiv w:val="1"/>
      <w:marLeft w:val="0"/>
      <w:marRight w:val="0"/>
      <w:marTop w:val="0"/>
      <w:marBottom w:val="0"/>
      <w:divBdr>
        <w:top w:val="none" w:sz="0" w:space="0" w:color="auto"/>
        <w:left w:val="none" w:sz="0" w:space="0" w:color="auto"/>
        <w:bottom w:val="none" w:sz="0" w:space="0" w:color="auto"/>
        <w:right w:val="none" w:sz="0" w:space="0" w:color="auto"/>
      </w:divBdr>
      <w:divsChild>
        <w:div w:id="891036414">
          <w:marLeft w:val="0"/>
          <w:marRight w:val="0"/>
          <w:marTop w:val="0"/>
          <w:marBottom w:val="0"/>
          <w:divBdr>
            <w:top w:val="none" w:sz="0" w:space="0" w:color="auto"/>
            <w:left w:val="none" w:sz="0" w:space="0" w:color="auto"/>
            <w:bottom w:val="none" w:sz="0" w:space="0" w:color="auto"/>
            <w:right w:val="none" w:sz="0" w:space="0" w:color="auto"/>
          </w:divBdr>
        </w:div>
        <w:div w:id="1913005146">
          <w:marLeft w:val="0"/>
          <w:marRight w:val="0"/>
          <w:marTop w:val="0"/>
          <w:marBottom w:val="0"/>
          <w:divBdr>
            <w:top w:val="none" w:sz="0" w:space="0" w:color="auto"/>
            <w:left w:val="none" w:sz="0" w:space="0" w:color="auto"/>
            <w:bottom w:val="none" w:sz="0" w:space="0" w:color="auto"/>
            <w:right w:val="none" w:sz="0" w:space="0" w:color="auto"/>
          </w:divBdr>
        </w:div>
        <w:div w:id="370879938">
          <w:marLeft w:val="0"/>
          <w:marRight w:val="0"/>
          <w:marTop w:val="0"/>
          <w:marBottom w:val="0"/>
          <w:divBdr>
            <w:top w:val="none" w:sz="0" w:space="0" w:color="auto"/>
            <w:left w:val="none" w:sz="0" w:space="0" w:color="auto"/>
            <w:bottom w:val="none" w:sz="0" w:space="0" w:color="auto"/>
            <w:right w:val="none" w:sz="0" w:space="0" w:color="auto"/>
          </w:divBdr>
        </w:div>
      </w:divsChild>
    </w:div>
    <w:div w:id="1175073397">
      <w:bodyDiv w:val="1"/>
      <w:marLeft w:val="0"/>
      <w:marRight w:val="0"/>
      <w:marTop w:val="0"/>
      <w:marBottom w:val="0"/>
      <w:divBdr>
        <w:top w:val="none" w:sz="0" w:space="0" w:color="auto"/>
        <w:left w:val="none" w:sz="0" w:space="0" w:color="auto"/>
        <w:bottom w:val="none" w:sz="0" w:space="0" w:color="auto"/>
        <w:right w:val="none" w:sz="0" w:space="0" w:color="auto"/>
      </w:divBdr>
      <w:divsChild>
        <w:div w:id="698050519">
          <w:marLeft w:val="0"/>
          <w:marRight w:val="0"/>
          <w:marTop w:val="0"/>
          <w:marBottom w:val="0"/>
          <w:divBdr>
            <w:top w:val="none" w:sz="0" w:space="0" w:color="auto"/>
            <w:left w:val="none" w:sz="0" w:space="0" w:color="auto"/>
            <w:bottom w:val="none" w:sz="0" w:space="0" w:color="auto"/>
            <w:right w:val="none" w:sz="0" w:space="0" w:color="auto"/>
          </w:divBdr>
        </w:div>
        <w:div w:id="1135217786">
          <w:marLeft w:val="0"/>
          <w:marRight w:val="0"/>
          <w:marTop w:val="0"/>
          <w:marBottom w:val="0"/>
          <w:divBdr>
            <w:top w:val="none" w:sz="0" w:space="0" w:color="auto"/>
            <w:left w:val="none" w:sz="0" w:space="0" w:color="auto"/>
            <w:bottom w:val="none" w:sz="0" w:space="0" w:color="auto"/>
            <w:right w:val="none" w:sz="0" w:space="0" w:color="auto"/>
          </w:divBdr>
        </w:div>
        <w:div w:id="654341243">
          <w:marLeft w:val="0"/>
          <w:marRight w:val="0"/>
          <w:marTop w:val="0"/>
          <w:marBottom w:val="0"/>
          <w:divBdr>
            <w:top w:val="none" w:sz="0" w:space="0" w:color="auto"/>
            <w:left w:val="none" w:sz="0" w:space="0" w:color="auto"/>
            <w:bottom w:val="none" w:sz="0" w:space="0" w:color="auto"/>
            <w:right w:val="none" w:sz="0" w:space="0" w:color="auto"/>
          </w:divBdr>
        </w:div>
      </w:divsChild>
    </w:div>
    <w:div w:id="1540238747">
      <w:bodyDiv w:val="1"/>
      <w:marLeft w:val="0"/>
      <w:marRight w:val="0"/>
      <w:marTop w:val="0"/>
      <w:marBottom w:val="0"/>
      <w:divBdr>
        <w:top w:val="none" w:sz="0" w:space="0" w:color="auto"/>
        <w:left w:val="none" w:sz="0" w:space="0" w:color="auto"/>
        <w:bottom w:val="none" w:sz="0" w:space="0" w:color="auto"/>
        <w:right w:val="none" w:sz="0" w:space="0" w:color="auto"/>
      </w:divBdr>
      <w:divsChild>
        <w:div w:id="953444037">
          <w:marLeft w:val="0"/>
          <w:marRight w:val="0"/>
          <w:marTop w:val="0"/>
          <w:marBottom w:val="0"/>
          <w:divBdr>
            <w:top w:val="none" w:sz="0" w:space="0" w:color="auto"/>
            <w:left w:val="none" w:sz="0" w:space="0" w:color="auto"/>
            <w:bottom w:val="none" w:sz="0" w:space="0" w:color="auto"/>
            <w:right w:val="none" w:sz="0" w:space="0" w:color="auto"/>
          </w:divBdr>
        </w:div>
        <w:div w:id="745305282">
          <w:marLeft w:val="0"/>
          <w:marRight w:val="0"/>
          <w:marTop w:val="0"/>
          <w:marBottom w:val="0"/>
          <w:divBdr>
            <w:top w:val="none" w:sz="0" w:space="0" w:color="auto"/>
            <w:left w:val="none" w:sz="0" w:space="0" w:color="auto"/>
            <w:bottom w:val="none" w:sz="0" w:space="0" w:color="auto"/>
            <w:right w:val="none" w:sz="0" w:space="0" w:color="auto"/>
          </w:divBdr>
        </w:div>
        <w:div w:id="1790127123">
          <w:marLeft w:val="0"/>
          <w:marRight w:val="0"/>
          <w:marTop w:val="0"/>
          <w:marBottom w:val="0"/>
          <w:divBdr>
            <w:top w:val="none" w:sz="0" w:space="0" w:color="auto"/>
            <w:left w:val="none" w:sz="0" w:space="0" w:color="auto"/>
            <w:bottom w:val="none" w:sz="0" w:space="0" w:color="auto"/>
            <w:right w:val="none" w:sz="0" w:space="0" w:color="auto"/>
          </w:divBdr>
        </w:div>
      </w:divsChild>
    </w:div>
    <w:div w:id="2106879884">
      <w:bodyDiv w:val="1"/>
      <w:marLeft w:val="0"/>
      <w:marRight w:val="0"/>
      <w:marTop w:val="0"/>
      <w:marBottom w:val="0"/>
      <w:divBdr>
        <w:top w:val="none" w:sz="0" w:space="0" w:color="auto"/>
        <w:left w:val="none" w:sz="0" w:space="0" w:color="auto"/>
        <w:bottom w:val="none" w:sz="0" w:space="0" w:color="auto"/>
        <w:right w:val="none" w:sz="0" w:space="0" w:color="auto"/>
      </w:divBdr>
      <w:divsChild>
        <w:div w:id="1458255749">
          <w:marLeft w:val="0"/>
          <w:marRight w:val="0"/>
          <w:marTop w:val="0"/>
          <w:marBottom w:val="0"/>
          <w:divBdr>
            <w:top w:val="none" w:sz="0" w:space="0" w:color="auto"/>
            <w:left w:val="none" w:sz="0" w:space="0" w:color="auto"/>
            <w:bottom w:val="none" w:sz="0" w:space="0" w:color="auto"/>
            <w:right w:val="none" w:sz="0" w:space="0" w:color="auto"/>
          </w:divBdr>
        </w:div>
        <w:div w:id="1995716824">
          <w:marLeft w:val="0"/>
          <w:marRight w:val="0"/>
          <w:marTop w:val="0"/>
          <w:marBottom w:val="0"/>
          <w:divBdr>
            <w:top w:val="none" w:sz="0" w:space="0" w:color="auto"/>
            <w:left w:val="none" w:sz="0" w:space="0" w:color="auto"/>
            <w:bottom w:val="none" w:sz="0" w:space="0" w:color="auto"/>
            <w:right w:val="none" w:sz="0" w:space="0" w:color="auto"/>
          </w:divBdr>
        </w:div>
        <w:div w:id="1164512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tionaalweeeregister.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nationaalweeeregister.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sponsiblemineralsinitiative.org"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93475c-cbe5-4c8c-b43b-86f65b1ea0a4">
      <Terms xmlns="http://schemas.microsoft.com/office/infopath/2007/PartnerControls"/>
    </lcf76f155ced4ddcb4097134ff3c332f>
    <TaxCatchAll xmlns="48ea8b70-b23a-49fa-84c4-f577ba50cc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Create a new document." ma:contentTypeScope="" ma:versionID="2c5263045fe2d02828690cc365832807">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2d0d7baf3857de8314c942a11e1404f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FFFC5-8A43-4EE4-A384-E487D454E8D2}">
  <ds:schemaRefs>
    <ds:schemaRef ds:uri="http://schemas.microsoft.com/sharepoint/v3/contenttype/forms"/>
  </ds:schemaRefs>
</ds:datastoreItem>
</file>

<file path=customXml/itemProps2.xml><?xml version="1.0" encoding="utf-8"?>
<ds:datastoreItem xmlns:ds="http://schemas.openxmlformats.org/officeDocument/2006/customXml" ds:itemID="{1802FA8A-3278-4CD9-B04C-4FD815F55624}">
  <ds:schemaRefs>
    <ds:schemaRef ds:uri="http://schemas.microsoft.com/office/2006/metadata/properties"/>
    <ds:schemaRef ds:uri="http://schemas.microsoft.com/office/infopath/2007/PartnerControls"/>
    <ds:schemaRef ds:uri="c5f2d5dc-f651-4b72-b5b2-bc9890daf0c3"/>
    <ds:schemaRef ds:uri="d51c7d8a-1a47-49db-9f27-354b0de7b265"/>
  </ds:schemaRefs>
</ds:datastoreItem>
</file>

<file path=customXml/itemProps3.xml><?xml version="1.0" encoding="utf-8"?>
<ds:datastoreItem xmlns:ds="http://schemas.openxmlformats.org/officeDocument/2006/customXml" ds:itemID="{DA523F25-DA64-4B3E-AF01-A2C488EEC095}"/>
</file>

<file path=docMetadata/LabelInfo.xml><?xml version="1.0" encoding="utf-8"?>
<clbl:labelList xmlns:clbl="http://schemas.microsoft.com/office/2020/mipLabelMetadata">
  <clbl:label id="{a47041ea-d8e4-4675-8f41-dc79697a805f}" enabled="1" method="Standard" siteId="{76850799-28ea-4f56-b80d-c1640687052d}" removed="0"/>
</clbl:labelList>
</file>

<file path=docProps/app.xml><?xml version="1.0" encoding="utf-8"?>
<Properties xmlns="http://schemas.openxmlformats.org/officeDocument/2006/extended-properties" xmlns:vt="http://schemas.openxmlformats.org/officeDocument/2006/docPropsVTypes">
  <Template>Normal.dotm</Template>
  <TotalTime>153</TotalTime>
  <Pages>2</Pages>
  <Words>1036</Words>
  <Characters>5704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Provincie Zeeland</dc:creator>
  <cp:keywords>Model overeenkomst ARBIT-2022</cp:keywords>
  <cp:lastModifiedBy>Allemekinders A.P. (Aart)</cp:lastModifiedBy>
  <cp:revision>185</cp:revision>
  <dcterms:created xsi:type="dcterms:W3CDTF">2025-01-29T09:58:00Z</dcterms:created>
  <dcterms:modified xsi:type="dcterms:W3CDTF">2025-04-07T08:39:00Z</dcterms:modified>
  <cp:category>Interne formulieren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0x01010022AEAAE888D0704B81831AA2D8FA6549</vt:lpwstr>
  </property>
  <property fmtid="{D5CDD505-2E9C-101B-9397-08002B2CF9AE}" pid="3" name="MediaServiceImageTags">
    <vt:lpwstr/>
  </property>
</Properties>
</file>