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Pr>
          <w:b w:val="0"/>
          <w:sz w:val="26"/>
          <w:szCs w:val="26"/>
        </w:rPr>
        <w:t xml:space="preserve">Formulier </w:t>
      </w:r>
      <w:r w:rsidR="005A1A31" w:rsidRPr="002F5228">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410C68C" w14:textId="5BD7C79F" w:rsidR="005A1A31" w:rsidRPr="004A6F5A" w:rsidRDefault="002F5228" w:rsidP="005A1A31">
      <w:pPr>
        <w:pStyle w:val="titel"/>
        <w:spacing w:line="240" w:lineRule="auto"/>
        <w:rPr>
          <w:noProof/>
          <w:sz w:val="40"/>
          <w:szCs w:val="40"/>
        </w:rPr>
      </w:pPr>
      <w:r w:rsidRPr="002F5228">
        <w:rPr>
          <w:noProof/>
          <w:sz w:val="40"/>
          <w:szCs w:val="40"/>
        </w:rPr>
        <w:t>Legionella spoelen</w:t>
      </w:r>
    </w:p>
    <w:p w14:paraId="029DC0E7" w14:textId="3E5CD0C0" w:rsidR="005A1A31" w:rsidRPr="006275E8" w:rsidRDefault="005A1A31" w:rsidP="005A1A31">
      <w:pPr>
        <w:pStyle w:val="titel"/>
        <w:spacing w:line="240" w:lineRule="auto"/>
        <w:rPr>
          <w:b w:val="0"/>
          <w:sz w:val="26"/>
          <w:szCs w:val="26"/>
        </w:rPr>
      </w:pPr>
      <w:r w:rsidRPr="006275E8">
        <w:rPr>
          <w:b w:val="0"/>
          <w:sz w:val="26"/>
          <w:szCs w:val="26"/>
        </w:rPr>
        <w:t xml:space="preserve">t.b.v. </w:t>
      </w:r>
      <w:r w:rsidR="002F5228" w:rsidRPr="002F5228">
        <w:rPr>
          <w:b w:val="0"/>
          <w:sz w:val="26"/>
          <w:szCs w:val="26"/>
        </w:rPr>
        <w:t>Dienst Justitiële Inrichtingen (DJI)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48578126"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2E048C" w:rsidRPr="002E048C">
                              <w:rPr>
                                <w:color w:val="FFFFFF" w:themeColor="background1"/>
                              </w:rPr>
                              <w:t>TN531768</w:t>
                            </w:r>
                          </w:p>
                          <w:p w14:paraId="102D4EC0" w14:textId="230B175C"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2E048C" w:rsidRPr="00EC77D9">
                              <w:rPr>
                                <w:color w:val="FFFFFF" w:themeColor="background1"/>
                              </w:rPr>
                              <w:t>21-08-2025</w:t>
                            </w:r>
                          </w:p>
                          <w:p w14:paraId="4AA165BE" w14:textId="090AD466"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05713F">
                              <w:rPr>
                                <w:color w:val="FFFFFF" w:themeColor="background1"/>
                              </w:rPr>
                              <w:t>1.</w:t>
                            </w:r>
                            <w:r w:rsidR="002E048C">
                              <w:rPr>
                                <w:color w:val="FFFFFF" w:themeColor="background1"/>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" filled="f" stroked="f">
                <v:textbox>
                  <w:txbxContent>
                    <w:p w14:paraId="5DBF5503" w14:textId="48578126"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2E048C" w:rsidRPr="002E048C">
                        <w:rPr>
                          <w:color w:val="FFFFFF" w:themeColor="background1"/>
                        </w:rPr>
                        <w:t>TN531768</w:t>
                      </w:r>
                    </w:p>
                    <w:p w14:paraId="102D4EC0" w14:textId="230B175C"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2E048C" w:rsidRPr="00EC77D9">
                        <w:rPr>
                          <w:color w:val="FFFFFF" w:themeColor="background1"/>
                        </w:rPr>
                        <w:t>21-08-2025</w:t>
                      </w:r>
                    </w:p>
                    <w:p w14:paraId="4AA165BE" w14:textId="090AD466"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05713F">
                        <w:rPr>
                          <w:color w:val="FFFFFF" w:themeColor="background1"/>
                        </w:rPr>
                        <w:t>1.</w:t>
                      </w:r>
                      <w:r w:rsidR="002E048C">
                        <w:rPr>
                          <w:color w:val="FFFFFF" w:themeColor="background1"/>
                        </w:rPr>
                        <w:t>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32862670" w:rsidR="00982A82" w:rsidRDefault="00982A82" w:rsidP="002856AB">
      <w:pPr>
        <w:spacing w:line="240" w:lineRule="auto"/>
      </w:pPr>
      <w:r>
        <w:t xml:space="preserve">Dit document is het inschrijfformulier en de akkoordverklaring voor de Europese aanbestedingsprocedure </w:t>
      </w:r>
      <w:r w:rsidR="00CF78D1" w:rsidRPr="00CF78D1">
        <w:t>‘Legionella spoelen’</w:t>
      </w:r>
      <w:r w:rsidRPr="002C796B">
        <w:t xml:space="preserve">. </w:t>
      </w:r>
      <w:r w:rsidR="002C796B" w:rsidRPr="002C796B">
        <w:t>In</w:t>
      </w:r>
      <w:r w:rsidR="002C796B">
        <w:t xml:space="preserve"> 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0E9F6DA9"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CF78D1" w:rsidRPr="00CF78D1">
        <w:rPr>
          <w:b/>
        </w:rPr>
        <w:t>‘Legionella spoelen’</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68DB56EB" w:rsidR="007529F3" w:rsidRDefault="007529F3" w:rsidP="007529F3">
      <w:pPr>
        <w:pStyle w:val="Lijstalinea"/>
        <w:numPr>
          <w:ilvl w:val="0"/>
          <w:numId w:val="13"/>
        </w:numPr>
        <w:spacing w:line="240" w:lineRule="auto"/>
        <w:ind w:right="496"/>
      </w:pPr>
      <w:r>
        <w:t>instemt met alle eisen zoals opgen</w:t>
      </w:r>
      <w:r w:rsidR="00612127">
        <w:t>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w:t>
      </w:r>
      <w:r w:rsidR="005A1A31">
        <w:rPr>
          <w:szCs w:val="18"/>
        </w:rPr>
        <w:t xml:space="preserve"> gehanteerde formule frustreren;</w:t>
      </w:r>
    </w:p>
    <w:p w14:paraId="44F8F7B9" w14:textId="3E3F4405" w:rsidR="00812B5F" w:rsidRPr="00812B5F" w:rsidRDefault="00812B5F" w:rsidP="00812B5F">
      <w:pPr>
        <w:pStyle w:val="Lijstalinea"/>
        <w:numPr>
          <w:ilvl w:val="0"/>
          <w:numId w:val="21"/>
        </w:numPr>
        <w:spacing w:line="240" w:lineRule="auto"/>
        <w:ind w:left="1560" w:hanging="284"/>
        <w:rPr>
          <w:szCs w:val="18"/>
        </w:rPr>
      </w:pPr>
      <w:r w:rsidRPr="00CF78D1">
        <w:rPr>
          <w:szCs w:val="18"/>
        </w:rPr>
        <w:t>sprake is van negatieve of nultarieven</w:t>
      </w:r>
      <w:r w:rsidR="005A1A31">
        <w:rPr>
          <w:szCs w:val="18"/>
        </w:rPr>
        <w:t>;</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54D03CB7"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w:t>
      </w:r>
      <w:r w:rsidR="00612127">
        <w:t>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2B069714"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BB03BD" w:rsidRPr="00BB03BD">
        <w:rPr>
          <w:b/>
        </w:rPr>
        <w:t>‘Legionella spoelen’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bookmarkStart w:id="0" w:name="_GoBack"/>
      <w:bookmarkEnd w:id="0"/>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64012215"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CB439F" w:rsidRPr="00CB439F">
        <w:rPr>
          <w:b/>
        </w:rPr>
        <w:t>Legionella spoelen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 xml:space="preserve">(zie </w:t>
      </w:r>
      <w:r w:rsidRPr="00CB439F">
        <w:t>hoofdstuk</w:t>
      </w:r>
      <w:r w:rsidR="00C15C86" w:rsidRPr="00CB439F">
        <w:t xml:space="preserve"> 4</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4CCD150E"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zie </w:t>
      </w:r>
      <w:r w:rsidR="005D0D2F" w:rsidRPr="00CB439F">
        <w:rPr>
          <w:i/>
        </w:rPr>
        <w:t xml:space="preserve">paragraaf </w:t>
      </w:r>
      <w:r w:rsidR="00CB439F" w:rsidRPr="00CB439F">
        <w:rPr>
          <w:i/>
        </w:rPr>
        <w:t>4.</w:t>
      </w:r>
      <w:r w:rsidR="00C15C86" w:rsidRPr="00CB439F">
        <w:rPr>
          <w:i/>
        </w:rPr>
        <w:t>4.3</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2987A18C"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CB439F" w:rsidRPr="00CB439F">
        <w:rPr>
          <w:b/>
        </w:rPr>
        <w:t>‘Legionella spoelen’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14A3A50C" w:rsidR="000062A6" w:rsidRDefault="000062A6" w:rsidP="000062A6">
      <w:pPr>
        <w:spacing w:line="240" w:lineRule="auto"/>
        <w:ind w:right="638"/>
      </w:pPr>
      <w:r>
        <w:t xml:space="preserve">Zie het </w:t>
      </w:r>
      <w:r w:rsidR="00DE6F48">
        <w:t>B</w:t>
      </w:r>
      <w:r>
        <w:t xml:space="preserve">eschrijvend document paragraaf </w:t>
      </w:r>
      <w:r w:rsidR="005A1A31" w:rsidRPr="004F40F4">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501EE2FE"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CB439F" w:rsidRPr="00CB439F">
        <w:rPr>
          <w:b/>
        </w:rPr>
        <w:t>‘Legionella spoelen’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5D073BC7"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004F40F4" w:rsidRPr="004F40F4">
        <w:rPr>
          <w:b/>
        </w:rPr>
        <w:t>‘Legionella spoelen’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72DD9349" w:rsidR="00D858E5" w:rsidRDefault="00BB03BD" w:rsidP="00BF0365">
          <w:pPr>
            <w:widowControl w:val="0"/>
            <w:rPr>
              <w:rStyle w:val="Huisstijl-Rubricering"/>
            </w:rPr>
          </w:pPr>
          <w:r w:rsidRPr="00BB03BD">
            <w:rPr>
              <w:sz w:val="13"/>
              <w:szCs w:val="13"/>
            </w:rPr>
            <w:t>TN531768</w:t>
          </w:r>
        </w:p>
      </w:tc>
      <w:tc>
        <w:tcPr>
          <w:tcW w:w="3095" w:type="dxa"/>
          <w:shd w:val="clear" w:color="auto" w:fill="auto"/>
        </w:tcPr>
        <w:p w14:paraId="75E50F99" w14:textId="74E1C027" w:rsidR="00D858E5" w:rsidRDefault="00D858E5">
          <w:pPr>
            <w:pStyle w:val="Huisstijl-Paginanummering"/>
            <w:widowControl w:val="0"/>
            <w:jc w:val="right"/>
          </w:pPr>
          <w:r>
            <w:t xml:space="preserve">Pagina </w:t>
          </w:r>
          <w:r>
            <w:fldChar w:fldCharType="begin"/>
          </w:r>
          <w:r>
            <w:instrText>PAGE</w:instrText>
          </w:r>
          <w:r>
            <w:fldChar w:fldCharType="separate"/>
          </w:r>
          <w:r w:rsidR="00612127">
            <w:rPr>
              <w:noProof/>
            </w:rPr>
            <w:t>2</w:t>
          </w:r>
          <w:r>
            <w:fldChar w:fldCharType="end"/>
          </w:r>
          <w:r>
            <w:t xml:space="preserve"> van </w:t>
          </w:r>
          <w:r>
            <w:fldChar w:fldCharType="begin"/>
          </w:r>
          <w:r>
            <w:instrText>NUMPAGES</w:instrText>
          </w:r>
          <w:r>
            <w:fldChar w:fldCharType="separate"/>
          </w:r>
          <w:r w:rsidR="00612127">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5774ED20" w:rsidR="00D858E5" w:rsidRDefault="000062A6" w:rsidP="00CF78D1">
          <w:pPr>
            <w:widowControl w:val="0"/>
            <w:rPr>
              <w:sz w:val="13"/>
            </w:rPr>
          </w:pPr>
          <w:r>
            <w:rPr>
              <w:rStyle w:val="Huisstijl-Koptekst"/>
            </w:rPr>
            <w:t>Formulier</w:t>
          </w:r>
          <w:r w:rsidR="002856AB">
            <w:rPr>
              <w:rStyle w:val="Huisstijl-Koptekst"/>
            </w:rPr>
            <w:t xml:space="preserve"> </w:t>
          </w:r>
          <w:r w:rsidR="005A1A31" w:rsidRPr="00CF78D1">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CF78D1">
            <w:rPr>
              <w:rStyle w:val="Huisstijl-Koptekst"/>
            </w:rPr>
            <w:t>Legionella spoelen</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5713F"/>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048C"/>
    <w:rsid w:val="002E2E83"/>
    <w:rsid w:val="002E43F4"/>
    <w:rsid w:val="002F0C8E"/>
    <w:rsid w:val="002F3DCA"/>
    <w:rsid w:val="002F3E07"/>
    <w:rsid w:val="002F5228"/>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4F40F4"/>
    <w:rsid w:val="005108B5"/>
    <w:rsid w:val="005141BF"/>
    <w:rsid w:val="005250D6"/>
    <w:rsid w:val="00525965"/>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12127"/>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0B86"/>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05082"/>
    <w:rsid w:val="00B23B40"/>
    <w:rsid w:val="00B2731D"/>
    <w:rsid w:val="00B27ADA"/>
    <w:rsid w:val="00B3186E"/>
    <w:rsid w:val="00B46235"/>
    <w:rsid w:val="00B64A36"/>
    <w:rsid w:val="00B70001"/>
    <w:rsid w:val="00B71492"/>
    <w:rsid w:val="00B87CAA"/>
    <w:rsid w:val="00B91658"/>
    <w:rsid w:val="00B92B22"/>
    <w:rsid w:val="00BA0AAE"/>
    <w:rsid w:val="00BA7EBC"/>
    <w:rsid w:val="00BB03BD"/>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B439F"/>
    <w:rsid w:val="00CC1310"/>
    <w:rsid w:val="00CC3898"/>
    <w:rsid w:val="00CD060C"/>
    <w:rsid w:val="00CD47E3"/>
    <w:rsid w:val="00CE09C6"/>
    <w:rsid w:val="00CF78D1"/>
    <w:rsid w:val="00D001EE"/>
    <w:rsid w:val="00D17945"/>
    <w:rsid w:val="00D24463"/>
    <w:rsid w:val="00D27B38"/>
    <w:rsid w:val="00D305AB"/>
    <w:rsid w:val="00D40213"/>
    <w:rsid w:val="00D442DA"/>
    <w:rsid w:val="00D5308C"/>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C77D9"/>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064-0AA3-41D3-9807-31354773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1855</Words>
  <Characters>10204</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Goede, de, Frank</cp:lastModifiedBy>
  <cp:revision>15</cp:revision>
  <cp:lastPrinted>2022-01-28T09:54:00Z</cp:lastPrinted>
  <dcterms:created xsi:type="dcterms:W3CDTF">2024-09-04T08:07:00Z</dcterms:created>
  <dcterms:modified xsi:type="dcterms:W3CDTF">2025-08-20T12:00:00Z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