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16sdtdh w16sdtfl w16du wp14">
  <w:body>
    <w:p w:rsidR="008F2960" w:rsidP="00146BED" w:rsidRDefault="008F2960" w14:paraId="1AB543F5" w14:textId="117AB4DB">
      <w:pPr>
        <w:tabs>
          <w:tab w:val="left" w:pos="2098"/>
        </w:tabs>
      </w:pPr>
    </w:p>
    <w:tbl>
      <w:tblPr>
        <w:tblpPr w:leftFromText="141" w:rightFromText="141" w:vertAnchor="page" w:horzAnchor="margin" w:tblpY="11671"/>
        <w:tblW w:w="0" w:type="auto"/>
        <w:tblLayout w:type="fixed"/>
        <w:tblCellMar>
          <w:left w:w="0" w:type="dxa"/>
          <w:right w:w="0" w:type="dxa"/>
        </w:tblCellMar>
        <w:tblLook w:val="0000" w:firstRow="0" w:lastRow="0" w:firstColumn="0" w:lastColumn="0" w:noHBand="0" w:noVBand="0"/>
      </w:tblPr>
      <w:tblGrid>
        <w:gridCol w:w="2098"/>
        <w:gridCol w:w="6107"/>
      </w:tblGrid>
      <w:tr w:rsidR="0079442A" w:rsidTr="0079442A" w14:paraId="19E4F9DE" w14:textId="77777777">
        <w:tc>
          <w:tcPr>
            <w:tcW w:w="8205" w:type="dxa"/>
            <w:gridSpan w:val="2"/>
          </w:tcPr>
          <w:p w:rsidR="0079442A" w:rsidP="0079442A" w:rsidRDefault="0079442A" w14:paraId="36FCC381" w14:textId="77777777">
            <w:r w:rsidRPr="00083757">
              <w:rPr>
                <w:b/>
              </w:rPr>
              <w:t>Colofon</w:t>
            </w:r>
          </w:p>
        </w:tc>
      </w:tr>
      <w:tr w:rsidR="0079442A" w:rsidTr="0079442A" w14:paraId="5E5D7814" w14:textId="77777777">
        <w:tc>
          <w:tcPr>
            <w:tcW w:w="2098" w:type="dxa"/>
          </w:tcPr>
          <w:p w:rsidR="0079442A" w:rsidP="0079442A" w:rsidRDefault="0079442A" w14:paraId="00527080" w14:textId="77777777">
            <w:r>
              <w:t>Kenmerk:</w:t>
            </w:r>
          </w:p>
        </w:tc>
        <w:tc>
          <w:tcPr>
            <w:tcW w:w="6107" w:type="dxa"/>
          </w:tcPr>
          <w:p w:rsidRPr="00FC7240" w:rsidR="0079442A" w:rsidP="0079442A" w:rsidRDefault="00FC7240" w14:paraId="75B29079" w14:textId="6753C42D">
            <w:r w:rsidRPr="00FC7240">
              <w:t>NIPV2025-</w:t>
            </w:r>
            <w:r w:rsidR="00C346A9">
              <w:t>EA-</w:t>
            </w:r>
            <w:r w:rsidRPr="00FC7240">
              <w:t>04107</w:t>
            </w:r>
          </w:p>
        </w:tc>
      </w:tr>
      <w:tr w:rsidR="0079442A" w:rsidTr="0079442A" w14:paraId="2AC5CD5D" w14:textId="77777777">
        <w:tc>
          <w:tcPr>
            <w:tcW w:w="2098" w:type="dxa"/>
          </w:tcPr>
          <w:p w:rsidRPr="00BE2DA7" w:rsidR="0079442A" w:rsidP="0079442A" w:rsidRDefault="0079442A" w14:paraId="42D484BC" w14:textId="77777777">
            <w:r w:rsidRPr="00BE2DA7">
              <w:t>Status:</w:t>
            </w:r>
          </w:p>
          <w:p w:rsidRPr="00BE2DA7" w:rsidR="0079442A" w:rsidP="0079442A" w:rsidRDefault="0079442A" w14:paraId="6DF50898" w14:textId="77777777">
            <w:r w:rsidRPr="00BE2DA7">
              <w:t>Uitgevoerd door:</w:t>
            </w:r>
          </w:p>
        </w:tc>
        <w:tc>
          <w:tcPr>
            <w:tcW w:w="6107" w:type="dxa"/>
          </w:tcPr>
          <w:p w:rsidRPr="00BE2DA7" w:rsidR="0079442A" w:rsidP="0079442A" w:rsidRDefault="00FC7240" w14:paraId="6C57A96D" w14:textId="6EEE3DF0">
            <w:r>
              <w:t>Definitief</w:t>
            </w:r>
          </w:p>
          <w:p w:rsidRPr="00BE2DA7" w:rsidR="0079442A" w:rsidP="0079442A" w:rsidRDefault="00FC7240" w14:paraId="7A0B9E53" w14:textId="1399DE3F">
            <w:r>
              <w:t>Yvonne van de Geer</w:t>
            </w:r>
          </w:p>
        </w:tc>
      </w:tr>
      <w:tr w:rsidR="0079442A" w:rsidTr="0079442A" w14:paraId="53E4348E" w14:textId="77777777">
        <w:tc>
          <w:tcPr>
            <w:tcW w:w="2098" w:type="dxa"/>
          </w:tcPr>
          <w:p w:rsidRPr="00B36553" w:rsidR="0079442A" w:rsidP="0079442A" w:rsidRDefault="0079442A" w14:paraId="0DDE5388" w14:textId="77777777">
            <w:r w:rsidRPr="00B36553">
              <w:t>Datum:</w:t>
            </w:r>
          </w:p>
        </w:tc>
        <w:tc>
          <w:tcPr>
            <w:tcW w:w="6107" w:type="dxa"/>
          </w:tcPr>
          <w:p w:rsidRPr="00B36553" w:rsidR="0079442A" w:rsidP="0079442A" w:rsidRDefault="00B36553" w14:paraId="253741CE" w14:textId="73F40B45">
            <w:r w:rsidRPr="00B36553">
              <w:t>11 augustus</w:t>
            </w:r>
            <w:r w:rsidRPr="00B36553" w:rsidR="00FC7240">
              <w:t xml:space="preserve"> 20</w:t>
            </w:r>
            <w:r w:rsidRPr="00B36553" w:rsidR="00C346A9">
              <w:t>2</w:t>
            </w:r>
            <w:r w:rsidRPr="00B36553" w:rsidR="00FC7240">
              <w:t>5</w:t>
            </w:r>
          </w:p>
        </w:tc>
      </w:tr>
      <w:tr w:rsidR="0079442A" w:rsidTr="0079442A" w14:paraId="43158213" w14:textId="77777777">
        <w:tc>
          <w:tcPr>
            <w:tcW w:w="2098" w:type="dxa"/>
          </w:tcPr>
          <w:p w:rsidRPr="00BE2DA7" w:rsidR="0079442A" w:rsidP="0079442A" w:rsidRDefault="0079442A" w14:paraId="4EA5E2B6" w14:textId="77777777">
            <w:r w:rsidRPr="00BE2DA7">
              <w:t>Versie:</w:t>
            </w:r>
          </w:p>
        </w:tc>
        <w:tc>
          <w:tcPr>
            <w:tcW w:w="6107" w:type="dxa"/>
          </w:tcPr>
          <w:p w:rsidRPr="00BE2DA7" w:rsidR="0079442A" w:rsidP="0079442A" w:rsidRDefault="00FC7240" w14:paraId="4CF73768" w14:textId="587FD7A6">
            <w:r>
              <w:t>1.0</w:t>
            </w:r>
          </w:p>
        </w:tc>
      </w:tr>
      <w:tr w:rsidR="0079442A" w:rsidTr="0079442A" w14:paraId="3E3F982C" w14:textId="77777777">
        <w:tc>
          <w:tcPr>
            <w:tcW w:w="2098" w:type="dxa"/>
          </w:tcPr>
          <w:p w:rsidRPr="001363B1" w:rsidR="0079442A" w:rsidP="0079442A" w:rsidRDefault="0079442A" w14:paraId="2B2BDEF5" w14:textId="77777777">
            <w:pPr>
              <w:rPr>
                <w:highlight w:val="cyan"/>
              </w:rPr>
            </w:pPr>
          </w:p>
        </w:tc>
        <w:tc>
          <w:tcPr>
            <w:tcW w:w="6107" w:type="dxa"/>
          </w:tcPr>
          <w:p w:rsidRPr="001363B1" w:rsidR="0079442A" w:rsidP="0079442A" w:rsidRDefault="0079442A" w14:paraId="4D151E7E" w14:textId="77777777">
            <w:pPr>
              <w:rPr>
                <w:highlight w:val="cyan"/>
              </w:rPr>
            </w:pPr>
          </w:p>
        </w:tc>
      </w:tr>
    </w:tbl>
    <w:p w:rsidR="0079442A" w:rsidP="0079442A" w:rsidRDefault="0079442A" w14:paraId="28BDA601" w14:textId="77777777">
      <w:pPr>
        <w:pStyle w:val="Huisstijl-Adres"/>
      </w:pPr>
    </w:p>
    <w:p w:rsidR="0079442A" w:rsidP="0079442A" w:rsidRDefault="0079442A" w14:paraId="0E963BEC" w14:textId="77777777">
      <w:pPr>
        <w:pStyle w:val="Huisstijl-Adres"/>
      </w:pPr>
    </w:p>
    <w:p w:rsidR="0079442A" w:rsidP="0079442A" w:rsidRDefault="0079442A" w14:paraId="3485921E" w14:textId="77777777">
      <w:pPr>
        <w:pStyle w:val="Huisstijl-Adres"/>
      </w:pPr>
      <w:r>
        <w:t>Nederlands Instituut Publieke Veiligheid</w:t>
      </w:r>
    </w:p>
    <w:p w:rsidR="0079442A" w:rsidP="0079442A" w:rsidRDefault="0079442A" w14:paraId="03436A62" w14:textId="77777777">
      <w:pPr>
        <w:pStyle w:val="Huisstijl-Adres"/>
      </w:pPr>
      <w:r>
        <w:t>Postbus 7112</w:t>
      </w:r>
    </w:p>
    <w:p w:rsidR="0079442A" w:rsidP="0079442A" w:rsidRDefault="0079442A" w14:paraId="4C54F124" w14:textId="77777777">
      <w:pPr>
        <w:pStyle w:val="Huisstijl-Adres"/>
      </w:pPr>
      <w:r>
        <w:t>2701 AC  Zoetermeer</w:t>
      </w:r>
    </w:p>
    <w:p w:rsidR="00083757" w:rsidRDefault="00083757" w14:paraId="71B3CD1E" w14:textId="77777777">
      <w:r>
        <w:br w:type="page"/>
      </w:r>
    </w:p>
    <w:p w:rsidR="00680D74" w:rsidRDefault="00680D74" w14:paraId="19D0DCFB" w14:textId="77777777"/>
    <w:sdt>
      <w:sdtPr>
        <w:rPr>
          <w:rFonts w:eastAsia="Times New Roman" w:cs="Times New Roman"/>
          <w:color w:val="auto"/>
          <w:sz w:val="20"/>
          <w:szCs w:val="20"/>
        </w:rPr>
        <w:id w:val="215705690"/>
        <w:docPartObj>
          <w:docPartGallery w:val="Table of Contents"/>
          <w:docPartUnique/>
        </w:docPartObj>
      </w:sdtPr>
      <w:sdtEndPr>
        <w:rPr>
          <w:rFonts w:eastAsia="Times New Roman" w:cs="Times New Roman"/>
          <w:b w:val="1"/>
          <w:bCs w:val="1"/>
          <w:color w:val="auto"/>
          <w:sz w:val="20"/>
          <w:szCs w:val="20"/>
        </w:rPr>
      </w:sdtEndPr>
      <w:sdtContent>
        <w:p w:rsidR="004F5307" w:rsidRDefault="004F5307" w14:paraId="7CBA3E01" w14:textId="77777777">
          <w:pPr>
            <w:pStyle w:val="Kopvaninhoudsopgave"/>
          </w:pPr>
          <w:r>
            <w:t>Inhoud</w:t>
          </w:r>
        </w:p>
        <w:p w:rsidR="003B5F2E" w:rsidRDefault="004F5307" w14:paraId="7D7B3D6E" w14:textId="76FC3765">
          <w:pPr>
            <w:pStyle w:val="Inhopg1"/>
            <w:tabs>
              <w:tab w:val="right" w:pos="8211"/>
            </w:tabs>
            <w:rPr>
              <w:rFonts w:asciiTheme="minorHAnsi" w:hAnsiTheme="minorHAnsi" w:eastAsiaTheme="minorEastAsia" w:cstheme="minorBidi"/>
              <w:b w:val="0"/>
              <w:kern w:val="2"/>
              <w:sz w:val="24"/>
              <w:szCs w:val="24"/>
              <w14:ligatures w14:val="standardContextual"/>
            </w:rPr>
          </w:pPr>
          <w:r>
            <w:fldChar w:fldCharType="begin"/>
          </w:r>
          <w:r>
            <w:instrText xml:space="preserve"> TOC \h \z \t "Kop 1;1;Kop 2;2;Kop 1 zonder nummer;4;Kop Bijlage;4;Kop onder Bijlage;4" </w:instrText>
          </w:r>
          <w:r>
            <w:fldChar w:fldCharType="separate"/>
          </w:r>
          <w:hyperlink w:history="1" w:anchor="_Toc205383304">
            <w:r w:rsidRPr="005E1C4C" w:rsidR="003B5F2E">
              <w:rPr>
                <w:rStyle w:val="Hyperlink"/>
              </w:rPr>
              <w:t>1</w:t>
            </w:r>
            <w:r w:rsidR="003B5F2E">
              <w:rPr>
                <w:rFonts w:asciiTheme="minorHAnsi" w:hAnsiTheme="minorHAnsi" w:eastAsiaTheme="minorEastAsia" w:cstheme="minorBidi"/>
                <w:b w:val="0"/>
                <w:kern w:val="2"/>
                <w:sz w:val="24"/>
                <w:szCs w:val="24"/>
                <w14:ligatures w14:val="standardContextual"/>
              </w:rPr>
              <w:tab/>
            </w:r>
            <w:r w:rsidRPr="005E1C4C" w:rsidR="003B5F2E">
              <w:rPr>
                <w:rStyle w:val="Hyperlink"/>
              </w:rPr>
              <w:t>Begrippenlijst</w:t>
            </w:r>
            <w:r w:rsidR="003B5F2E">
              <w:rPr>
                <w:webHidden/>
              </w:rPr>
              <w:tab/>
            </w:r>
            <w:r w:rsidR="003B5F2E">
              <w:rPr>
                <w:webHidden/>
              </w:rPr>
              <w:fldChar w:fldCharType="begin"/>
            </w:r>
            <w:r w:rsidR="003B5F2E">
              <w:rPr>
                <w:webHidden/>
              </w:rPr>
              <w:instrText xml:space="preserve"> PAGEREF _Toc205383304 \h </w:instrText>
            </w:r>
            <w:r w:rsidR="003B5F2E">
              <w:rPr>
                <w:webHidden/>
              </w:rPr>
            </w:r>
            <w:r w:rsidR="003B5F2E">
              <w:rPr>
                <w:webHidden/>
              </w:rPr>
              <w:fldChar w:fldCharType="separate"/>
            </w:r>
            <w:r w:rsidR="003B5F2E">
              <w:rPr>
                <w:webHidden/>
              </w:rPr>
              <w:t>4</w:t>
            </w:r>
            <w:r w:rsidR="003B5F2E">
              <w:rPr>
                <w:webHidden/>
              </w:rPr>
              <w:fldChar w:fldCharType="end"/>
            </w:r>
          </w:hyperlink>
        </w:p>
        <w:p w:rsidR="003B5F2E" w:rsidRDefault="003B5F2E" w14:paraId="7BF093C7" w14:textId="4BE4A2A0">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05">
            <w:r w:rsidRPr="005E1C4C">
              <w:rPr>
                <w:rStyle w:val="Hyperlink"/>
              </w:rPr>
              <w:t>2</w:t>
            </w:r>
            <w:r>
              <w:rPr>
                <w:rFonts w:asciiTheme="minorHAnsi" w:hAnsiTheme="minorHAnsi" w:eastAsiaTheme="minorEastAsia" w:cstheme="minorBidi"/>
                <w:b w:val="0"/>
                <w:kern w:val="2"/>
                <w:sz w:val="24"/>
                <w:szCs w:val="24"/>
                <w14:ligatures w14:val="standardContextual"/>
              </w:rPr>
              <w:tab/>
            </w:r>
            <w:r w:rsidRPr="005E1C4C">
              <w:rPr>
                <w:rStyle w:val="Hyperlink"/>
              </w:rPr>
              <w:t>Aanbestedende Dienst</w:t>
            </w:r>
            <w:r>
              <w:rPr>
                <w:webHidden/>
              </w:rPr>
              <w:tab/>
            </w:r>
            <w:r>
              <w:rPr>
                <w:webHidden/>
              </w:rPr>
              <w:fldChar w:fldCharType="begin"/>
            </w:r>
            <w:r>
              <w:rPr>
                <w:webHidden/>
              </w:rPr>
              <w:instrText xml:space="preserve"> PAGEREF _Toc205383305 \h </w:instrText>
            </w:r>
            <w:r>
              <w:rPr>
                <w:webHidden/>
              </w:rPr>
            </w:r>
            <w:r>
              <w:rPr>
                <w:webHidden/>
              </w:rPr>
              <w:fldChar w:fldCharType="separate"/>
            </w:r>
            <w:r>
              <w:rPr>
                <w:webHidden/>
              </w:rPr>
              <w:t>7</w:t>
            </w:r>
            <w:r>
              <w:rPr>
                <w:webHidden/>
              </w:rPr>
              <w:fldChar w:fldCharType="end"/>
            </w:r>
          </w:hyperlink>
        </w:p>
        <w:p w:rsidR="003B5F2E" w:rsidRDefault="003B5F2E" w14:paraId="57622C02" w14:textId="3182B190">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06">
            <w:r w:rsidRPr="005E1C4C">
              <w:rPr>
                <w:rStyle w:val="Hyperlink"/>
              </w:rPr>
              <w:t>2.1</w:t>
            </w:r>
            <w:r>
              <w:rPr>
                <w:rFonts w:asciiTheme="minorHAnsi" w:hAnsiTheme="minorHAnsi" w:eastAsiaTheme="minorEastAsia" w:cstheme="minorBidi"/>
                <w:kern w:val="2"/>
                <w:sz w:val="24"/>
                <w:szCs w:val="24"/>
                <w14:ligatures w14:val="standardContextual"/>
              </w:rPr>
              <w:tab/>
            </w:r>
            <w:r w:rsidRPr="005E1C4C">
              <w:rPr>
                <w:rStyle w:val="Hyperlink"/>
              </w:rPr>
              <w:t>Aanbestedende Dienst</w:t>
            </w:r>
            <w:r>
              <w:rPr>
                <w:webHidden/>
              </w:rPr>
              <w:tab/>
            </w:r>
            <w:r>
              <w:rPr>
                <w:webHidden/>
              </w:rPr>
              <w:fldChar w:fldCharType="begin"/>
            </w:r>
            <w:r>
              <w:rPr>
                <w:webHidden/>
              </w:rPr>
              <w:instrText xml:space="preserve"> PAGEREF _Toc205383306 \h </w:instrText>
            </w:r>
            <w:r>
              <w:rPr>
                <w:webHidden/>
              </w:rPr>
            </w:r>
            <w:r>
              <w:rPr>
                <w:webHidden/>
              </w:rPr>
              <w:fldChar w:fldCharType="separate"/>
            </w:r>
            <w:r>
              <w:rPr>
                <w:webHidden/>
              </w:rPr>
              <w:t>7</w:t>
            </w:r>
            <w:r>
              <w:rPr>
                <w:webHidden/>
              </w:rPr>
              <w:fldChar w:fldCharType="end"/>
            </w:r>
          </w:hyperlink>
        </w:p>
        <w:p w:rsidR="003B5F2E" w:rsidRDefault="003B5F2E" w14:paraId="6C3F2629" w14:textId="7E6376A3">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07">
            <w:r w:rsidRPr="005E1C4C">
              <w:rPr>
                <w:rStyle w:val="Hyperlink"/>
              </w:rPr>
              <w:t>2.2</w:t>
            </w:r>
            <w:r>
              <w:rPr>
                <w:rFonts w:asciiTheme="minorHAnsi" w:hAnsiTheme="minorHAnsi" w:eastAsiaTheme="minorEastAsia" w:cstheme="minorBidi"/>
                <w:kern w:val="2"/>
                <w:sz w:val="24"/>
                <w:szCs w:val="24"/>
                <w14:ligatures w14:val="standardContextual"/>
              </w:rPr>
              <w:tab/>
            </w:r>
            <w:r w:rsidRPr="005E1C4C">
              <w:rPr>
                <w:rStyle w:val="Hyperlink"/>
              </w:rPr>
              <w:t>Nederlands Instituut Publieke Veiligheid</w:t>
            </w:r>
            <w:r>
              <w:rPr>
                <w:webHidden/>
              </w:rPr>
              <w:tab/>
            </w:r>
            <w:r>
              <w:rPr>
                <w:webHidden/>
              </w:rPr>
              <w:fldChar w:fldCharType="begin"/>
            </w:r>
            <w:r>
              <w:rPr>
                <w:webHidden/>
              </w:rPr>
              <w:instrText xml:space="preserve"> PAGEREF _Toc205383307 \h </w:instrText>
            </w:r>
            <w:r>
              <w:rPr>
                <w:webHidden/>
              </w:rPr>
            </w:r>
            <w:r>
              <w:rPr>
                <w:webHidden/>
              </w:rPr>
              <w:fldChar w:fldCharType="separate"/>
            </w:r>
            <w:r>
              <w:rPr>
                <w:webHidden/>
              </w:rPr>
              <w:t>7</w:t>
            </w:r>
            <w:r>
              <w:rPr>
                <w:webHidden/>
              </w:rPr>
              <w:fldChar w:fldCharType="end"/>
            </w:r>
          </w:hyperlink>
        </w:p>
        <w:p w:rsidR="003B5F2E" w:rsidRDefault="003B5F2E" w14:paraId="4DA7E024" w14:textId="3B0A8EC1">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08">
            <w:r w:rsidRPr="005E1C4C">
              <w:rPr>
                <w:rStyle w:val="Hyperlink"/>
              </w:rPr>
              <w:t>2.3</w:t>
            </w:r>
            <w:r>
              <w:rPr>
                <w:rFonts w:asciiTheme="minorHAnsi" w:hAnsiTheme="minorHAnsi" w:eastAsiaTheme="minorEastAsia" w:cstheme="minorBidi"/>
                <w:kern w:val="2"/>
                <w:sz w:val="24"/>
                <w:szCs w:val="24"/>
                <w14:ligatures w14:val="standardContextual"/>
              </w:rPr>
              <w:tab/>
            </w:r>
            <w:r w:rsidRPr="005E1C4C">
              <w:rPr>
                <w:rStyle w:val="Hyperlink"/>
              </w:rPr>
              <w:t>Het team datateam Informatie- en Dataservices</w:t>
            </w:r>
            <w:r>
              <w:rPr>
                <w:webHidden/>
              </w:rPr>
              <w:tab/>
            </w:r>
            <w:r>
              <w:rPr>
                <w:webHidden/>
              </w:rPr>
              <w:fldChar w:fldCharType="begin"/>
            </w:r>
            <w:r>
              <w:rPr>
                <w:webHidden/>
              </w:rPr>
              <w:instrText xml:space="preserve"> PAGEREF _Toc205383308 \h </w:instrText>
            </w:r>
            <w:r>
              <w:rPr>
                <w:webHidden/>
              </w:rPr>
            </w:r>
            <w:r>
              <w:rPr>
                <w:webHidden/>
              </w:rPr>
              <w:fldChar w:fldCharType="separate"/>
            </w:r>
            <w:r>
              <w:rPr>
                <w:webHidden/>
              </w:rPr>
              <w:t>7</w:t>
            </w:r>
            <w:r>
              <w:rPr>
                <w:webHidden/>
              </w:rPr>
              <w:fldChar w:fldCharType="end"/>
            </w:r>
          </w:hyperlink>
        </w:p>
        <w:p w:rsidR="003B5F2E" w:rsidRDefault="003B5F2E" w14:paraId="3C4E98A0" w14:textId="4593079D">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09">
            <w:r w:rsidRPr="005E1C4C">
              <w:rPr>
                <w:rStyle w:val="Hyperlink"/>
              </w:rPr>
              <w:t>3</w:t>
            </w:r>
            <w:r>
              <w:rPr>
                <w:rFonts w:asciiTheme="minorHAnsi" w:hAnsiTheme="minorHAnsi" w:eastAsiaTheme="minorEastAsia" w:cstheme="minorBidi"/>
                <w:b w:val="0"/>
                <w:kern w:val="2"/>
                <w:sz w:val="24"/>
                <w:szCs w:val="24"/>
                <w14:ligatures w14:val="standardContextual"/>
              </w:rPr>
              <w:tab/>
            </w:r>
            <w:r w:rsidRPr="005E1C4C">
              <w:rPr>
                <w:rStyle w:val="Hyperlink"/>
              </w:rPr>
              <w:t>Omschrijving van de Opdracht</w:t>
            </w:r>
            <w:r>
              <w:rPr>
                <w:webHidden/>
              </w:rPr>
              <w:tab/>
            </w:r>
            <w:r>
              <w:rPr>
                <w:webHidden/>
              </w:rPr>
              <w:fldChar w:fldCharType="begin"/>
            </w:r>
            <w:r>
              <w:rPr>
                <w:webHidden/>
              </w:rPr>
              <w:instrText xml:space="preserve"> PAGEREF _Toc205383309 \h </w:instrText>
            </w:r>
            <w:r>
              <w:rPr>
                <w:webHidden/>
              </w:rPr>
            </w:r>
            <w:r>
              <w:rPr>
                <w:webHidden/>
              </w:rPr>
              <w:fldChar w:fldCharType="separate"/>
            </w:r>
            <w:r>
              <w:rPr>
                <w:webHidden/>
              </w:rPr>
              <w:t>8</w:t>
            </w:r>
            <w:r>
              <w:rPr>
                <w:webHidden/>
              </w:rPr>
              <w:fldChar w:fldCharType="end"/>
            </w:r>
          </w:hyperlink>
        </w:p>
        <w:p w:rsidR="003B5F2E" w:rsidRDefault="003B5F2E" w14:paraId="2E41F9E8" w14:textId="42DC2693">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0">
            <w:r w:rsidRPr="005E1C4C">
              <w:rPr>
                <w:rStyle w:val="Hyperlink"/>
              </w:rPr>
              <w:t>3.1</w:t>
            </w:r>
            <w:r>
              <w:rPr>
                <w:rFonts w:asciiTheme="minorHAnsi" w:hAnsiTheme="minorHAnsi" w:eastAsiaTheme="minorEastAsia" w:cstheme="minorBidi"/>
                <w:kern w:val="2"/>
                <w:sz w:val="24"/>
                <w:szCs w:val="24"/>
                <w14:ligatures w14:val="standardContextual"/>
              </w:rPr>
              <w:tab/>
            </w:r>
            <w:r w:rsidRPr="005E1C4C">
              <w:rPr>
                <w:rStyle w:val="Hyperlink"/>
              </w:rPr>
              <w:t>Voorwerp van de Opdracht (scope)</w:t>
            </w:r>
            <w:r>
              <w:rPr>
                <w:webHidden/>
              </w:rPr>
              <w:tab/>
            </w:r>
            <w:r>
              <w:rPr>
                <w:webHidden/>
              </w:rPr>
              <w:fldChar w:fldCharType="begin"/>
            </w:r>
            <w:r>
              <w:rPr>
                <w:webHidden/>
              </w:rPr>
              <w:instrText xml:space="preserve"> PAGEREF _Toc205383310 \h </w:instrText>
            </w:r>
            <w:r>
              <w:rPr>
                <w:webHidden/>
              </w:rPr>
            </w:r>
            <w:r>
              <w:rPr>
                <w:webHidden/>
              </w:rPr>
              <w:fldChar w:fldCharType="separate"/>
            </w:r>
            <w:r>
              <w:rPr>
                <w:webHidden/>
              </w:rPr>
              <w:t>8</w:t>
            </w:r>
            <w:r>
              <w:rPr>
                <w:webHidden/>
              </w:rPr>
              <w:fldChar w:fldCharType="end"/>
            </w:r>
          </w:hyperlink>
        </w:p>
        <w:p w:rsidR="003B5F2E" w:rsidRDefault="003B5F2E" w14:paraId="341D1392" w14:textId="039CDFE2">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1">
            <w:r w:rsidRPr="005E1C4C">
              <w:rPr>
                <w:rStyle w:val="Hyperlink"/>
              </w:rPr>
              <w:t>3.2</w:t>
            </w:r>
            <w:r>
              <w:rPr>
                <w:rFonts w:asciiTheme="minorHAnsi" w:hAnsiTheme="minorHAnsi" w:eastAsiaTheme="minorEastAsia" w:cstheme="minorBidi"/>
                <w:kern w:val="2"/>
                <w:sz w:val="24"/>
                <w:szCs w:val="24"/>
                <w14:ligatures w14:val="standardContextual"/>
              </w:rPr>
              <w:tab/>
            </w:r>
            <w:r w:rsidRPr="005E1C4C">
              <w:rPr>
                <w:rStyle w:val="Hyperlink"/>
              </w:rPr>
              <w:t>Doel aanbestedingsprocedure, gewenste situatie</w:t>
            </w:r>
            <w:r>
              <w:rPr>
                <w:webHidden/>
              </w:rPr>
              <w:tab/>
            </w:r>
            <w:r>
              <w:rPr>
                <w:webHidden/>
              </w:rPr>
              <w:fldChar w:fldCharType="begin"/>
            </w:r>
            <w:r>
              <w:rPr>
                <w:webHidden/>
              </w:rPr>
              <w:instrText xml:space="preserve"> PAGEREF _Toc205383311 \h </w:instrText>
            </w:r>
            <w:r>
              <w:rPr>
                <w:webHidden/>
              </w:rPr>
            </w:r>
            <w:r>
              <w:rPr>
                <w:webHidden/>
              </w:rPr>
              <w:fldChar w:fldCharType="separate"/>
            </w:r>
            <w:r>
              <w:rPr>
                <w:webHidden/>
              </w:rPr>
              <w:t>14</w:t>
            </w:r>
            <w:r>
              <w:rPr>
                <w:webHidden/>
              </w:rPr>
              <w:fldChar w:fldCharType="end"/>
            </w:r>
          </w:hyperlink>
        </w:p>
        <w:p w:rsidR="003B5F2E" w:rsidRDefault="003B5F2E" w14:paraId="5A849D28" w14:textId="6B7EADA7">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2">
            <w:r w:rsidRPr="005E1C4C">
              <w:rPr>
                <w:rStyle w:val="Hyperlink"/>
              </w:rPr>
              <w:t>3.3</w:t>
            </w:r>
            <w:r>
              <w:rPr>
                <w:rFonts w:asciiTheme="minorHAnsi" w:hAnsiTheme="minorHAnsi" w:eastAsiaTheme="minorEastAsia" w:cstheme="minorBidi"/>
                <w:kern w:val="2"/>
                <w:sz w:val="24"/>
                <w:szCs w:val="24"/>
                <w14:ligatures w14:val="standardContextual"/>
              </w:rPr>
              <w:tab/>
            </w:r>
            <w:r w:rsidRPr="005E1C4C">
              <w:rPr>
                <w:rStyle w:val="Hyperlink"/>
              </w:rPr>
              <w:t>Looptijd, omvang en verlenging van de Overeenkomst</w:t>
            </w:r>
            <w:r>
              <w:rPr>
                <w:webHidden/>
              </w:rPr>
              <w:tab/>
            </w:r>
            <w:r>
              <w:rPr>
                <w:webHidden/>
              </w:rPr>
              <w:fldChar w:fldCharType="begin"/>
            </w:r>
            <w:r>
              <w:rPr>
                <w:webHidden/>
              </w:rPr>
              <w:instrText xml:space="preserve"> PAGEREF _Toc205383312 \h </w:instrText>
            </w:r>
            <w:r>
              <w:rPr>
                <w:webHidden/>
              </w:rPr>
            </w:r>
            <w:r>
              <w:rPr>
                <w:webHidden/>
              </w:rPr>
              <w:fldChar w:fldCharType="separate"/>
            </w:r>
            <w:r>
              <w:rPr>
                <w:webHidden/>
              </w:rPr>
              <w:t>14</w:t>
            </w:r>
            <w:r>
              <w:rPr>
                <w:webHidden/>
              </w:rPr>
              <w:fldChar w:fldCharType="end"/>
            </w:r>
          </w:hyperlink>
        </w:p>
        <w:p w:rsidR="003B5F2E" w:rsidRDefault="003B5F2E" w14:paraId="2C8DEE8F" w14:textId="190C02A0">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3">
            <w:r w:rsidRPr="005E1C4C">
              <w:rPr>
                <w:rStyle w:val="Hyperlink"/>
              </w:rPr>
              <w:t>3.4</w:t>
            </w:r>
            <w:r>
              <w:rPr>
                <w:rFonts w:asciiTheme="minorHAnsi" w:hAnsiTheme="minorHAnsi" w:eastAsiaTheme="minorEastAsia" w:cstheme="minorBidi"/>
                <w:kern w:val="2"/>
                <w:sz w:val="24"/>
                <w:szCs w:val="24"/>
                <w14:ligatures w14:val="standardContextual"/>
              </w:rPr>
              <w:tab/>
            </w:r>
            <w:r w:rsidRPr="005E1C4C">
              <w:rPr>
                <w:rStyle w:val="Hyperlink"/>
              </w:rPr>
              <w:t>Buiten scope</w:t>
            </w:r>
            <w:r>
              <w:rPr>
                <w:webHidden/>
              </w:rPr>
              <w:tab/>
            </w:r>
            <w:r>
              <w:rPr>
                <w:webHidden/>
              </w:rPr>
              <w:fldChar w:fldCharType="begin"/>
            </w:r>
            <w:r>
              <w:rPr>
                <w:webHidden/>
              </w:rPr>
              <w:instrText xml:space="preserve"> PAGEREF _Toc205383313 \h </w:instrText>
            </w:r>
            <w:r>
              <w:rPr>
                <w:webHidden/>
              </w:rPr>
            </w:r>
            <w:r>
              <w:rPr>
                <w:webHidden/>
              </w:rPr>
              <w:fldChar w:fldCharType="separate"/>
            </w:r>
            <w:r>
              <w:rPr>
                <w:webHidden/>
              </w:rPr>
              <w:t>14</w:t>
            </w:r>
            <w:r>
              <w:rPr>
                <w:webHidden/>
              </w:rPr>
              <w:fldChar w:fldCharType="end"/>
            </w:r>
          </w:hyperlink>
        </w:p>
        <w:p w:rsidR="003B5F2E" w:rsidRDefault="003B5F2E" w14:paraId="5C05B46C" w14:textId="707C4010">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4">
            <w:r w:rsidRPr="005E1C4C">
              <w:rPr>
                <w:rStyle w:val="Hyperlink"/>
              </w:rPr>
              <w:t>3.5</w:t>
            </w:r>
            <w:r>
              <w:rPr>
                <w:rFonts w:asciiTheme="minorHAnsi" w:hAnsiTheme="minorHAnsi" w:eastAsiaTheme="minorEastAsia" w:cstheme="minorBidi"/>
                <w:kern w:val="2"/>
                <w:sz w:val="24"/>
                <w:szCs w:val="24"/>
                <w14:ligatures w14:val="standardContextual"/>
              </w:rPr>
              <w:tab/>
            </w:r>
            <w:r w:rsidRPr="005E1C4C">
              <w:rPr>
                <w:rStyle w:val="Hyperlink"/>
              </w:rPr>
              <w:t>Samenvoegen onderdelen Opdracht</w:t>
            </w:r>
            <w:r>
              <w:rPr>
                <w:webHidden/>
              </w:rPr>
              <w:tab/>
            </w:r>
            <w:r>
              <w:rPr>
                <w:webHidden/>
              </w:rPr>
              <w:fldChar w:fldCharType="begin"/>
            </w:r>
            <w:r>
              <w:rPr>
                <w:webHidden/>
              </w:rPr>
              <w:instrText xml:space="preserve"> PAGEREF _Toc205383314 \h </w:instrText>
            </w:r>
            <w:r>
              <w:rPr>
                <w:webHidden/>
              </w:rPr>
            </w:r>
            <w:r>
              <w:rPr>
                <w:webHidden/>
              </w:rPr>
              <w:fldChar w:fldCharType="separate"/>
            </w:r>
            <w:r>
              <w:rPr>
                <w:webHidden/>
              </w:rPr>
              <w:t>15</w:t>
            </w:r>
            <w:r>
              <w:rPr>
                <w:webHidden/>
              </w:rPr>
              <w:fldChar w:fldCharType="end"/>
            </w:r>
          </w:hyperlink>
        </w:p>
        <w:p w:rsidR="003B5F2E" w:rsidRDefault="003B5F2E" w14:paraId="61E77038" w14:textId="013C6B62">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5">
            <w:r w:rsidRPr="005E1C4C">
              <w:rPr>
                <w:rStyle w:val="Hyperlink"/>
              </w:rPr>
              <w:t>3.6</w:t>
            </w:r>
            <w:r>
              <w:rPr>
                <w:rFonts w:asciiTheme="minorHAnsi" w:hAnsiTheme="minorHAnsi" w:eastAsiaTheme="minorEastAsia" w:cstheme="minorBidi"/>
                <w:kern w:val="2"/>
                <w:sz w:val="24"/>
                <w:szCs w:val="24"/>
                <w14:ligatures w14:val="standardContextual"/>
              </w:rPr>
              <w:tab/>
            </w:r>
            <w:r w:rsidRPr="005E1C4C">
              <w:rPr>
                <w:rStyle w:val="Hyperlink"/>
              </w:rPr>
              <w:t>Percelen</w:t>
            </w:r>
            <w:r>
              <w:rPr>
                <w:webHidden/>
              </w:rPr>
              <w:tab/>
            </w:r>
            <w:r>
              <w:rPr>
                <w:webHidden/>
              </w:rPr>
              <w:fldChar w:fldCharType="begin"/>
            </w:r>
            <w:r>
              <w:rPr>
                <w:webHidden/>
              </w:rPr>
              <w:instrText xml:space="preserve"> PAGEREF _Toc205383315 \h </w:instrText>
            </w:r>
            <w:r>
              <w:rPr>
                <w:webHidden/>
              </w:rPr>
            </w:r>
            <w:r>
              <w:rPr>
                <w:webHidden/>
              </w:rPr>
              <w:fldChar w:fldCharType="separate"/>
            </w:r>
            <w:r>
              <w:rPr>
                <w:webHidden/>
              </w:rPr>
              <w:t>15</w:t>
            </w:r>
            <w:r>
              <w:rPr>
                <w:webHidden/>
              </w:rPr>
              <w:fldChar w:fldCharType="end"/>
            </w:r>
          </w:hyperlink>
        </w:p>
        <w:p w:rsidR="003B5F2E" w:rsidRDefault="003B5F2E" w14:paraId="06C8FE25" w14:textId="6C4674E5">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6">
            <w:r w:rsidRPr="005E1C4C">
              <w:rPr>
                <w:rStyle w:val="Hyperlink"/>
              </w:rPr>
              <w:t>3.7</w:t>
            </w:r>
            <w:r>
              <w:rPr>
                <w:rFonts w:asciiTheme="minorHAnsi" w:hAnsiTheme="minorHAnsi" w:eastAsiaTheme="minorEastAsia" w:cstheme="minorBidi"/>
                <w:kern w:val="2"/>
                <w:sz w:val="24"/>
                <w:szCs w:val="24"/>
                <w14:ligatures w14:val="standardContextual"/>
              </w:rPr>
              <w:tab/>
            </w:r>
            <w:r w:rsidRPr="005E1C4C">
              <w:rPr>
                <w:rStyle w:val="Hyperlink"/>
              </w:rPr>
              <w:t>Herzieningsclausule</w:t>
            </w:r>
            <w:r>
              <w:rPr>
                <w:webHidden/>
              </w:rPr>
              <w:tab/>
            </w:r>
            <w:r>
              <w:rPr>
                <w:webHidden/>
              </w:rPr>
              <w:fldChar w:fldCharType="begin"/>
            </w:r>
            <w:r>
              <w:rPr>
                <w:webHidden/>
              </w:rPr>
              <w:instrText xml:space="preserve"> PAGEREF _Toc205383316 \h </w:instrText>
            </w:r>
            <w:r>
              <w:rPr>
                <w:webHidden/>
              </w:rPr>
            </w:r>
            <w:r>
              <w:rPr>
                <w:webHidden/>
              </w:rPr>
              <w:fldChar w:fldCharType="separate"/>
            </w:r>
            <w:r>
              <w:rPr>
                <w:webHidden/>
              </w:rPr>
              <w:t>15</w:t>
            </w:r>
            <w:r>
              <w:rPr>
                <w:webHidden/>
              </w:rPr>
              <w:fldChar w:fldCharType="end"/>
            </w:r>
          </w:hyperlink>
        </w:p>
        <w:p w:rsidR="003B5F2E" w:rsidRDefault="003B5F2E" w14:paraId="67CA9733" w14:textId="11BF1490">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7">
            <w:r w:rsidRPr="005E1C4C">
              <w:rPr>
                <w:rStyle w:val="Hyperlink"/>
              </w:rPr>
              <w:t>3.8</w:t>
            </w:r>
            <w:r>
              <w:rPr>
                <w:rFonts w:asciiTheme="minorHAnsi" w:hAnsiTheme="minorHAnsi" w:eastAsiaTheme="minorEastAsia" w:cstheme="minorBidi"/>
                <w:kern w:val="2"/>
                <w:sz w:val="24"/>
                <w:szCs w:val="24"/>
                <w14:ligatures w14:val="standardContextual"/>
              </w:rPr>
              <w:tab/>
            </w:r>
            <w:r w:rsidRPr="005E1C4C">
              <w:rPr>
                <w:rStyle w:val="Hyperlink"/>
              </w:rPr>
              <w:t>Informatiebeveiliging binnen de Aanbestedende Dienst</w:t>
            </w:r>
            <w:r>
              <w:rPr>
                <w:webHidden/>
              </w:rPr>
              <w:tab/>
            </w:r>
            <w:r>
              <w:rPr>
                <w:webHidden/>
              </w:rPr>
              <w:fldChar w:fldCharType="begin"/>
            </w:r>
            <w:r>
              <w:rPr>
                <w:webHidden/>
              </w:rPr>
              <w:instrText xml:space="preserve"> PAGEREF _Toc205383317 \h </w:instrText>
            </w:r>
            <w:r>
              <w:rPr>
                <w:webHidden/>
              </w:rPr>
            </w:r>
            <w:r>
              <w:rPr>
                <w:webHidden/>
              </w:rPr>
              <w:fldChar w:fldCharType="separate"/>
            </w:r>
            <w:r>
              <w:rPr>
                <w:webHidden/>
              </w:rPr>
              <w:t>16</w:t>
            </w:r>
            <w:r>
              <w:rPr>
                <w:webHidden/>
              </w:rPr>
              <w:fldChar w:fldCharType="end"/>
            </w:r>
          </w:hyperlink>
        </w:p>
        <w:p w:rsidR="003B5F2E" w:rsidRDefault="003B5F2E" w14:paraId="62175D7C" w14:textId="78A904ED">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18">
            <w:r w:rsidRPr="005E1C4C">
              <w:rPr>
                <w:rStyle w:val="Hyperlink"/>
              </w:rPr>
              <w:t>3.9</w:t>
            </w:r>
            <w:r>
              <w:rPr>
                <w:rFonts w:asciiTheme="minorHAnsi" w:hAnsiTheme="minorHAnsi" w:eastAsiaTheme="minorEastAsia" w:cstheme="minorBidi"/>
                <w:kern w:val="2"/>
                <w:sz w:val="24"/>
                <w:szCs w:val="24"/>
                <w14:ligatures w14:val="standardContextual"/>
              </w:rPr>
              <w:tab/>
            </w:r>
            <w:r w:rsidRPr="005E1C4C">
              <w:rPr>
                <w:rStyle w:val="Hyperlink"/>
              </w:rPr>
              <w:t>Bewaren</w:t>
            </w:r>
            <w:r>
              <w:rPr>
                <w:webHidden/>
              </w:rPr>
              <w:tab/>
            </w:r>
            <w:r>
              <w:rPr>
                <w:webHidden/>
              </w:rPr>
              <w:fldChar w:fldCharType="begin"/>
            </w:r>
            <w:r>
              <w:rPr>
                <w:webHidden/>
              </w:rPr>
              <w:instrText xml:space="preserve"> PAGEREF _Toc205383318 \h </w:instrText>
            </w:r>
            <w:r>
              <w:rPr>
                <w:webHidden/>
              </w:rPr>
            </w:r>
            <w:r>
              <w:rPr>
                <w:webHidden/>
              </w:rPr>
              <w:fldChar w:fldCharType="separate"/>
            </w:r>
            <w:r>
              <w:rPr>
                <w:webHidden/>
              </w:rPr>
              <w:t>16</w:t>
            </w:r>
            <w:r>
              <w:rPr>
                <w:webHidden/>
              </w:rPr>
              <w:fldChar w:fldCharType="end"/>
            </w:r>
          </w:hyperlink>
        </w:p>
        <w:p w:rsidR="003B5F2E" w:rsidRDefault="003B5F2E" w14:paraId="356A55B5" w14:textId="2C2FBF61">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19">
            <w:r w:rsidRPr="005E1C4C">
              <w:rPr>
                <w:rStyle w:val="Hyperlink"/>
              </w:rPr>
              <w:t>4</w:t>
            </w:r>
            <w:r>
              <w:rPr>
                <w:rFonts w:asciiTheme="minorHAnsi" w:hAnsiTheme="minorHAnsi" w:eastAsiaTheme="minorEastAsia" w:cstheme="minorBidi"/>
                <w:b w:val="0"/>
                <w:kern w:val="2"/>
                <w:sz w:val="24"/>
                <w:szCs w:val="24"/>
                <w14:ligatures w14:val="standardContextual"/>
              </w:rPr>
              <w:tab/>
            </w:r>
            <w:r w:rsidRPr="005E1C4C">
              <w:rPr>
                <w:rStyle w:val="Hyperlink"/>
              </w:rPr>
              <w:t>Aanbestedingsprocedure</w:t>
            </w:r>
            <w:r>
              <w:rPr>
                <w:webHidden/>
              </w:rPr>
              <w:tab/>
            </w:r>
            <w:r>
              <w:rPr>
                <w:webHidden/>
              </w:rPr>
              <w:fldChar w:fldCharType="begin"/>
            </w:r>
            <w:r>
              <w:rPr>
                <w:webHidden/>
              </w:rPr>
              <w:instrText xml:space="preserve"> PAGEREF _Toc205383319 \h </w:instrText>
            </w:r>
            <w:r>
              <w:rPr>
                <w:webHidden/>
              </w:rPr>
            </w:r>
            <w:r>
              <w:rPr>
                <w:webHidden/>
              </w:rPr>
              <w:fldChar w:fldCharType="separate"/>
            </w:r>
            <w:r>
              <w:rPr>
                <w:webHidden/>
              </w:rPr>
              <w:t>17</w:t>
            </w:r>
            <w:r>
              <w:rPr>
                <w:webHidden/>
              </w:rPr>
              <w:fldChar w:fldCharType="end"/>
            </w:r>
          </w:hyperlink>
        </w:p>
        <w:p w:rsidR="003B5F2E" w:rsidRDefault="003B5F2E" w14:paraId="4B66DDAA" w14:textId="74A27C8D">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0">
            <w:r w:rsidRPr="005E1C4C">
              <w:rPr>
                <w:rStyle w:val="Hyperlink"/>
              </w:rPr>
              <w:t>4.1</w:t>
            </w:r>
            <w:r>
              <w:rPr>
                <w:rFonts w:asciiTheme="minorHAnsi" w:hAnsiTheme="minorHAnsi" w:eastAsiaTheme="minorEastAsia" w:cstheme="minorBidi"/>
                <w:kern w:val="2"/>
                <w:sz w:val="24"/>
                <w:szCs w:val="24"/>
                <w14:ligatures w14:val="standardContextual"/>
              </w:rPr>
              <w:tab/>
            </w:r>
            <w:r w:rsidRPr="005E1C4C">
              <w:rPr>
                <w:rStyle w:val="Hyperlink"/>
              </w:rPr>
              <w:t>Europese openbare aanbestedingsprocedure</w:t>
            </w:r>
            <w:r>
              <w:rPr>
                <w:webHidden/>
              </w:rPr>
              <w:tab/>
            </w:r>
            <w:r>
              <w:rPr>
                <w:webHidden/>
              </w:rPr>
              <w:fldChar w:fldCharType="begin"/>
            </w:r>
            <w:r>
              <w:rPr>
                <w:webHidden/>
              </w:rPr>
              <w:instrText xml:space="preserve"> PAGEREF _Toc205383320 \h </w:instrText>
            </w:r>
            <w:r>
              <w:rPr>
                <w:webHidden/>
              </w:rPr>
            </w:r>
            <w:r>
              <w:rPr>
                <w:webHidden/>
              </w:rPr>
              <w:fldChar w:fldCharType="separate"/>
            </w:r>
            <w:r>
              <w:rPr>
                <w:webHidden/>
              </w:rPr>
              <w:t>17</w:t>
            </w:r>
            <w:r>
              <w:rPr>
                <w:webHidden/>
              </w:rPr>
              <w:fldChar w:fldCharType="end"/>
            </w:r>
          </w:hyperlink>
        </w:p>
        <w:p w:rsidR="003B5F2E" w:rsidRDefault="003B5F2E" w14:paraId="4452A597" w14:textId="1229FB8F">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1">
            <w:r w:rsidRPr="005E1C4C">
              <w:rPr>
                <w:rStyle w:val="Hyperlink"/>
              </w:rPr>
              <w:t>4.2</w:t>
            </w:r>
            <w:r>
              <w:rPr>
                <w:rFonts w:asciiTheme="minorHAnsi" w:hAnsiTheme="minorHAnsi" w:eastAsiaTheme="minorEastAsia" w:cstheme="minorBidi"/>
                <w:kern w:val="2"/>
                <w:sz w:val="24"/>
                <w:szCs w:val="24"/>
                <w14:ligatures w14:val="standardContextual"/>
              </w:rPr>
              <w:tab/>
            </w:r>
            <w:r w:rsidRPr="005E1C4C">
              <w:rPr>
                <w:rStyle w:val="Hyperlink"/>
              </w:rPr>
              <w:t>Contactpersoon</w:t>
            </w:r>
            <w:r>
              <w:rPr>
                <w:webHidden/>
              </w:rPr>
              <w:tab/>
            </w:r>
            <w:r>
              <w:rPr>
                <w:webHidden/>
              </w:rPr>
              <w:fldChar w:fldCharType="begin"/>
            </w:r>
            <w:r>
              <w:rPr>
                <w:webHidden/>
              </w:rPr>
              <w:instrText xml:space="preserve"> PAGEREF _Toc205383321 \h </w:instrText>
            </w:r>
            <w:r>
              <w:rPr>
                <w:webHidden/>
              </w:rPr>
            </w:r>
            <w:r>
              <w:rPr>
                <w:webHidden/>
              </w:rPr>
              <w:fldChar w:fldCharType="separate"/>
            </w:r>
            <w:r>
              <w:rPr>
                <w:webHidden/>
              </w:rPr>
              <w:t>17</w:t>
            </w:r>
            <w:r>
              <w:rPr>
                <w:webHidden/>
              </w:rPr>
              <w:fldChar w:fldCharType="end"/>
            </w:r>
          </w:hyperlink>
        </w:p>
        <w:p w:rsidR="003B5F2E" w:rsidRDefault="003B5F2E" w14:paraId="31A75BBC" w14:textId="11712BF3">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2">
            <w:r w:rsidRPr="005E1C4C">
              <w:rPr>
                <w:rStyle w:val="Hyperlink"/>
              </w:rPr>
              <w:t>4.3</w:t>
            </w:r>
            <w:r>
              <w:rPr>
                <w:rFonts w:asciiTheme="minorHAnsi" w:hAnsiTheme="minorHAnsi" w:eastAsiaTheme="minorEastAsia" w:cstheme="minorBidi"/>
                <w:kern w:val="2"/>
                <w:sz w:val="24"/>
                <w:szCs w:val="24"/>
                <w14:ligatures w14:val="standardContextual"/>
              </w:rPr>
              <w:tab/>
            </w:r>
            <w:r w:rsidRPr="005E1C4C">
              <w:rPr>
                <w:rStyle w:val="Hyperlink"/>
              </w:rPr>
              <w:t>Beoogde planning</w:t>
            </w:r>
            <w:r>
              <w:rPr>
                <w:webHidden/>
              </w:rPr>
              <w:tab/>
            </w:r>
            <w:r>
              <w:rPr>
                <w:webHidden/>
              </w:rPr>
              <w:fldChar w:fldCharType="begin"/>
            </w:r>
            <w:r>
              <w:rPr>
                <w:webHidden/>
              </w:rPr>
              <w:instrText xml:space="preserve"> PAGEREF _Toc205383322 \h </w:instrText>
            </w:r>
            <w:r>
              <w:rPr>
                <w:webHidden/>
              </w:rPr>
            </w:r>
            <w:r>
              <w:rPr>
                <w:webHidden/>
              </w:rPr>
              <w:fldChar w:fldCharType="separate"/>
            </w:r>
            <w:r>
              <w:rPr>
                <w:webHidden/>
              </w:rPr>
              <w:t>18</w:t>
            </w:r>
            <w:r>
              <w:rPr>
                <w:webHidden/>
              </w:rPr>
              <w:fldChar w:fldCharType="end"/>
            </w:r>
          </w:hyperlink>
        </w:p>
        <w:p w:rsidR="003B5F2E" w:rsidRDefault="003B5F2E" w14:paraId="7C7718E1" w14:textId="19EEC987">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3">
            <w:r w:rsidRPr="005E1C4C">
              <w:rPr>
                <w:rStyle w:val="Hyperlink"/>
              </w:rPr>
              <w:t>4.4</w:t>
            </w:r>
            <w:r>
              <w:rPr>
                <w:rFonts w:asciiTheme="minorHAnsi" w:hAnsiTheme="minorHAnsi" w:eastAsiaTheme="minorEastAsia" w:cstheme="minorBidi"/>
                <w:kern w:val="2"/>
                <w:sz w:val="24"/>
                <w:szCs w:val="24"/>
                <w14:ligatures w14:val="standardContextual"/>
              </w:rPr>
              <w:tab/>
            </w:r>
            <w:r w:rsidRPr="005E1C4C">
              <w:rPr>
                <w:rStyle w:val="Hyperlink"/>
              </w:rPr>
              <w:t>TenderNed</w:t>
            </w:r>
            <w:r>
              <w:rPr>
                <w:webHidden/>
              </w:rPr>
              <w:tab/>
            </w:r>
            <w:r>
              <w:rPr>
                <w:webHidden/>
              </w:rPr>
              <w:fldChar w:fldCharType="begin"/>
            </w:r>
            <w:r>
              <w:rPr>
                <w:webHidden/>
              </w:rPr>
              <w:instrText xml:space="preserve"> PAGEREF _Toc205383323 \h </w:instrText>
            </w:r>
            <w:r>
              <w:rPr>
                <w:webHidden/>
              </w:rPr>
            </w:r>
            <w:r>
              <w:rPr>
                <w:webHidden/>
              </w:rPr>
              <w:fldChar w:fldCharType="separate"/>
            </w:r>
            <w:r>
              <w:rPr>
                <w:webHidden/>
              </w:rPr>
              <w:t>19</w:t>
            </w:r>
            <w:r>
              <w:rPr>
                <w:webHidden/>
              </w:rPr>
              <w:fldChar w:fldCharType="end"/>
            </w:r>
          </w:hyperlink>
        </w:p>
        <w:p w:rsidR="003B5F2E" w:rsidRDefault="003B5F2E" w14:paraId="00026AED" w14:textId="7BBE53C6">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4">
            <w:r w:rsidRPr="005E1C4C">
              <w:rPr>
                <w:rStyle w:val="Hyperlink"/>
              </w:rPr>
              <w:t>4.5</w:t>
            </w:r>
            <w:r>
              <w:rPr>
                <w:rFonts w:asciiTheme="minorHAnsi" w:hAnsiTheme="minorHAnsi" w:eastAsiaTheme="minorEastAsia" w:cstheme="minorBidi"/>
                <w:kern w:val="2"/>
                <w:sz w:val="24"/>
                <w:szCs w:val="24"/>
                <w14:ligatures w14:val="standardContextual"/>
              </w:rPr>
              <w:tab/>
            </w:r>
            <w:r w:rsidRPr="005E1C4C">
              <w:rPr>
                <w:rStyle w:val="Hyperlink"/>
              </w:rPr>
              <w:t>Verificatietest</w:t>
            </w:r>
            <w:r>
              <w:rPr>
                <w:webHidden/>
              </w:rPr>
              <w:tab/>
            </w:r>
            <w:r>
              <w:rPr>
                <w:webHidden/>
              </w:rPr>
              <w:fldChar w:fldCharType="begin"/>
            </w:r>
            <w:r>
              <w:rPr>
                <w:webHidden/>
              </w:rPr>
              <w:instrText xml:space="preserve"> PAGEREF _Toc205383324 \h </w:instrText>
            </w:r>
            <w:r>
              <w:rPr>
                <w:webHidden/>
              </w:rPr>
            </w:r>
            <w:r>
              <w:rPr>
                <w:webHidden/>
              </w:rPr>
              <w:fldChar w:fldCharType="separate"/>
            </w:r>
            <w:r>
              <w:rPr>
                <w:webHidden/>
              </w:rPr>
              <w:t>19</w:t>
            </w:r>
            <w:r>
              <w:rPr>
                <w:webHidden/>
              </w:rPr>
              <w:fldChar w:fldCharType="end"/>
            </w:r>
          </w:hyperlink>
        </w:p>
        <w:p w:rsidR="003B5F2E" w:rsidRDefault="003B5F2E" w14:paraId="77CCAAE2" w14:textId="64ABB54F">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5">
            <w:r w:rsidRPr="005E1C4C">
              <w:rPr>
                <w:rStyle w:val="Hyperlink"/>
              </w:rPr>
              <w:t>4.6</w:t>
            </w:r>
            <w:r>
              <w:rPr>
                <w:rFonts w:asciiTheme="minorHAnsi" w:hAnsiTheme="minorHAnsi" w:eastAsiaTheme="minorEastAsia" w:cstheme="minorBidi"/>
                <w:kern w:val="2"/>
                <w:sz w:val="24"/>
                <w:szCs w:val="24"/>
                <w14:ligatures w14:val="standardContextual"/>
              </w:rPr>
              <w:tab/>
            </w:r>
            <w:r w:rsidRPr="005E1C4C">
              <w:rPr>
                <w:rStyle w:val="Hyperlink"/>
              </w:rPr>
              <w:t>Nota van Inlichtingen</w:t>
            </w:r>
            <w:r>
              <w:rPr>
                <w:webHidden/>
              </w:rPr>
              <w:tab/>
            </w:r>
            <w:r>
              <w:rPr>
                <w:webHidden/>
              </w:rPr>
              <w:fldChar w:fldCharType="begin"/>
            </w:r>
            <w:r>
              <w:rPr>
                <w:webHidden/>
              </w:rPr>
              <w:instrText xml:space="preserve"> PAGEREF _Toc205383325 \h </w:instrText>
            </w:r>
            <w:r>
              <w:rPr>
                <w:webHidden/>
              </w:rPr>
            </w:r>
            <w:r>
              <w:rPr>
                <w:webHidden/>
              </w:rPr>
              <w:fldChar w:fldCharType="separate"/>
            </w:r>
            <w:r>
              <w:rPr>
                <w:webHidden/>
              </w:rPr>
              <w:t>19</w:t>
            </w:r>
            <w:r>
              <w:rPr>
                <w:webHidden/>
              </w:rPr>
              <w:fldChar w:fldCharType="end"/>
            </w:r>
          </w:hyperlink>
        </w:p>
        <w:p w:rsidR="003B5F2E" w:rsidRDefault="003B5F2E" w14:paraId="01C4A76D" w14:textId="79189C61">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6">
            <w:r w:rsidRPr="005E1C4C">
              <w:rPr>
                <w:rStyle w:val="Hyperlink"/>
              </w:rPr>
              <w:t>4.7</w:t>
            </w:r>
            <w:r>
              <w:rPr>
                <w:rFonts w:asciiTheme="minorHAnsi" w:hAnsiTheme="minorHAnsi" w:eastAsiaTheme="minorEastAsia" w:cstheme="minorBidi"/>
                <w:kern w:val="2"/>
                <w:sz w:val="24"/>
                <w:szCs w:val="24"/>
                <w14:ligatures w14:val="standardContextual"/>
              </w:rPr>
              <w:tab/>
            </w:r>
            <w:r w:rsidRPr="005E1C4C">
              <w:rPr>
                <w:rStyle w:val="Hyperlink"/>
              </w:rPr>
              <w:t>Indienen Inschrijving</w:t>
            </w:r>
            <w:r>
              <w:rPr>
                <w:webHidden/>
              </w:rPr>
              <w:tab/>
            </w:r>
            <w:r>
              <w:rPr>
                <w:webHidden/>
              </w:rPr>
              <w:fldChar w:fldCharType="begin"/>
            </w:r>
            <w:r>
              <w:rPr>
                <w:webHidden/>
              </w:rPr>
              <w:instrText xml:space="preserve"> PAGEREF _Toc205383326 \h </w:instrText>
            </w:r>
            <w:r>
              <w:rPr>
                <w:webHidden/>
              </w:rPr>
            </w:r>
            <w:r>
              <w:rPr>
                <w:webHidden/>
              </w:rPr>
              <w:fldChar w:fldCharType="separate"/>
            </w:r>
            <w:r>
              <w:rPr>
                <w:webHidden/>
              </w:rPr>
              <w:t>20</w:t>
            </w:r>
            <w:r>
              <w:rPr>
                <w:webHidden/>
              </w:rPr>
              <w:fldChar w:fldCharType="end"/>
            </w:r>
          </w:hyperlink>
        </w:p>
        <w:p w:rsidR="003B5F2E" w:rsidRDefault="003B5F2E" w14:paraId="7057C3A8" w14:textId="2A300D0C">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7">
            <w:r w:rsidRPr="005E1C4C">
              <w:rPr>
                <w:rStyle w:val="Hyperlink"/>
              </w:rPr>
              <w:t>4.8</w:t>
            </w:r>
            <w:r>
              <w:rPr>
                <w:rFonts w:asciiTheme="minorHAnsi" w:hAnsiTheme="minorHAnsi" w:eastAsiaTheme="minorEastAsia" w:cstheme="minorBidi"/>
                <w:kern w:val="2"/>
                <w:sz w:val="24"/>
                <w:szCs w:val="24"/>
                <w14:ligatures w14:val="standardContextual"/>
              </w:rPr>
              <w:tab/>
            </w:r>
            <w:r w:rsidRPr="005E1C4C">
              <w:rPr>
                <w:rStyle w:val="Hyperlink"/>
              </w:rPr>
              <w:t>Inhoud Inschrijving</w:t>
            </w:r>
            <w:r>
              <w:rPr>
                <w:webHidden/>
              </w:rPr>
              <w:tab/>
            </w:r>
            <w:r>
              <w:rPr>
                <w:webHidden/>
              </w:rPr>
              <w:fldChar w:fldCharType="begin"/>
            </w:r>
            <w:r>
              <w:rPr>
                <w:webHidden/>
              </w:rPr>
              <w:instrText xml:space="preserve"> PAGEREF _Toc205383327 \h </w:instrText>
            </w:r>
            <w:r>
              <w:rPr>
                <w:webHidden/>
              </w:rPr>
            </w:r>
            <w:r>
              <w:rPr>
                <w:webHidden/>
              </w:rPr>
              <w:fldChar w:fldCharType="separate"/>
            </w:r>
            <w:r>
              <w:rPr>
                <w:webHidden/>
              </w:rPr>
              <w:t>21</w:t>
            </w:r>
            <w:r>
              <w:rPr>
                <w:webHidden/>
              </w:rPr>
              <w:fldChar w:fldCharType="end"/>
            </w:r>
          </w:hyperlink>
        </w:p>
        <w:p w:rsidR="003B5F2E" w:rsidRDefault="003B5F2E" w14:paraId="71F9F3AD" w14:textId="68389AE1">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8">
            <w:r w:rsidRPr="005E1C4C">
              <w:rPr>
                <w:rStyle w:val="Hyperlink"/>
              </w:rPr>
              <w:t>4.9</w:t>
            </w:r>
            <w:r>
              <w:rPr>
                <w:rFonts w:asciiTheme="minorHAnsi" w:hAnsiTheme="minorHAnsi" w:eastAsiaTheme="minorEastAsia" w:cstheme="minorBidi"/>
                <w:kern w:val="2"/>
                <w:sz w:val="24"/>
                <w:szCs w:val="24"/>
                <w14:ligatures w14:val="standardContextual"/>
              </w:rPr>
              <w:tab/>
            </w:r>
            <w:r w:rsidRPr="005E1C4C">
              <w:rPr>
                <w:rStyle w:val="Hyperlink"/>
              </w:rPr>
              <w:t>Proces beoordeling Inschrijvingen</w:t>
            </w:r>
            <w:r>
              <w:rPr>
                <w:webHidden/>
              </w:rPr>
              <w:tab/>
            </w:r>
            <w:r>
              <w:rPr>
                <w:webHidden/>
              </w:rPr>
              <w:fldChar w:fldCharType="begin"/>
            </w:r>
            <w:r>
              <w:rPr>
                <w:webHidden/>
              </w:rPr>
              <w:instrText xml:space="preserve"> PAGEREF _Toc205383328 \h </w:instrText>
            </w:r>
            <w:r>
              <w:rPr>
                <w:webHidden/>
              </w:rPr>
            </w:r>
            <w:r>
              <w:rPr>
                <w:webHidden/>
              </w:rPr>
              <w:fldChar w:fldCharType="separate"/>
            </w:r>
            <w:r>
              <w:rPr>
                <w:webHidden/>
              </w:rPr>
              <w:t>22</w:t>
            </w:r>
            <w:r>
              <w:rPr>
                <w:webHidden/>
              </w:rPr>
              <w:fldChar w:fldCharType="end"/>
            </w:r>
          </w:hyperlink>
        </w:p>
        <w:p w:rsidR="003B5F2E" w:rsidRDefault="003B5F2E" w14:paraId="1D061721" w14:textId="6AECDCF5">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29">
            <w:r w:rsidRPr="005E1C4C">
              <w:rPr>
                <w:rStyle w:val="Hyperlink"/>
              </w:rPr>
              <w:t>4.10</w:t>
            </w:r>
            <w:r>
              <w:rPr>
                <w:rFonts w:asciiTheme="minorHAnsi" w:hAnsiTheme="minorHAnsi" w:eastAsiaTheme="minorEastAsia" w:cstheme="minorBidi"/>
                <w:kern w:val="2"/>
                <w:sz w:val="24"/>
                <w:szCs w:val="24"/>
                <w14:ligatures w14:val="standardContextual"/>
              </w:rPr>
              <w:tab/>
            </w:r>
            <w:r w:rsidRPr="005E1C4C">
              <w:rPr>
                <w:rStyle w:val="Hyperlink"/>
              </w:rPr>
              <w:t>Percelen</w:t>
            </w:r>
            <w:r>
              <w:rPr>
                <w:webHidden/>
              </w:rPr>
              <w:tab/>
            </w:r>
            <w:r>
              <w:rPr>
                <w:webHidden/>
              </w:rPr>
              <w:fldChar w:fldCharType="begin"/>
            </w:r>
            <w:r>
              <w:rPr>
                <w:webHidden/>
              </w:rPr>
              <w:instrText xml:space="preserve"> PAGEREF _Toc205383329 \h </w:instrText>
            </w:r>
            <w:r>
              <w:rPr>
                <w:webHidden/>
              </w:rPr>
            </w:r>
            <w:r>
              <w:rPr>
                <w:webHidden/>
              </w:rPr>
              <w:fldChar w:fldCharType="separate"/>
            </w:r>
            <w:r>
              <w:rPr>
                <w:webHidden/>
              </w:rPr>
              <w:t>24</w:t>
            </w:r>
            <w:r>
              <w:rPr>
                <w:webHidden/>
              </w:rPr>
              <w:fldChar w:fldCharType="end"/>
            </w:r>
          </w:hyperlink>
        </w:p>
        <w:p w:rsidR="003B5F2E" w:rsidRDefault="003B5F2E" w14:paraId="0DB21A65" w14:textId="52B32596">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0">
            <w:r w:rsidRPr="005E1C4C">
              <w:rPr>
                <w:rStyle w:val="Hyperlink"/>
              </w:rPr>
              <w:t>4.11</w:t>
            </w:r>
            <w:r>
              <w:rPr>
                <w:rFonts w:asciiTheme="minorHAnsi" w:hAnsiTheme="minorHAnsi" w:eastAsiaTheme="minorEastAsia" w:cstheme="minorBidi"/>
                <w:kern w:val="2"/>
                <w:sz w:val="24"/>
                <w:szCs w:val="24"/>
                <w14:ligatures w14:val="standardContextual"/>
              </w:rPr>
              <w:tab/>
            </w:r>
            <w:r w:rsidRPr="005E1C4C">
              <w:rPr>
                <w:rStyle w:val="Hyperlink"/>
              </w:rPr>
              <w:t>Varianten</w:t>
            </w:r>
            <w:r>
              <w:rPr>
                <w:webHidden/>
              </w:rPr>
              <w:tab/>
            </w:r>
            <w:r>
              <w:rPr>
                <w:webHidden/>
              </w:rPr>
              <w:fldChar w:fldCharType="begin"/>
            </w:r>
            <w:r>
              <w:rPr>
                <w:webHidden/>
              </w:rPr>
              <w:instrText xml:space="preserve"> PAGEREF _Toc205383330 \h </w:instrText>
            </w:r>
            <w:r>
              <w:rPr>
                <w:webHidden/>
              </w:rPr>
            </w:r>
            <w:r>
              <w:rPr>
                <w:webHidden/>
              </w:rPr>
              <w:fldChar w:fldCharType="separate"/>
            </w:r>
            <w:r>
              <w:rPr>
                <w:webHidden/>
              </w:rPr>
              <w:t>24</w:t>
            </w:r>
            <w:r>
              <w:rPr>
                <w:webHidden/>
              </w:rPr>
              <w:fldChar w:fldCharType="end"/>
            </w:r>
          </w:hyperlink>
        </w:p>
        <w:p w:rsidR="003B5F2E" w:rsidRDefault="003B5F2E" w14:paraId="04AB3A29" w14:textId="00DEC560">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1">
            <w:r w:rsidRPr="005E1C4C">
              <w:rPr>
                <w:rStyle w:val="Hyperlink"/>
              </w:rPr>
              <w:t>4.12</w:t>
            </w:r>
            <w:r>
              <w:rPr>
                <w:rFonts w:asciiTheme="minorHAnsi" w:hAnsiTheme="minorHAnsi" w:eastAsiaTheme="minorEastAsia" w:cstheme="minorBidi"/>
                <w:kern w:val="2"/>
                <w:sz w:val="24"/>
                <w:szCs w:val="24"/>
                <w14:ligatures w14:val="standardContextual"/>
              </w:rPr>
              <w:tab/>
            </w:r>
            <w:r w:rsidRPr="005E1C4C">
              <w:rPr>
                <w:rStyle w:val="Hyperlink"/>
              </w:rPr>
              <w:t>Voorwaarden</w:t>
            </w:r>
            <w:r>
              <w:rPr>
                <w:webHidden/>
              </w:rPr>
              <w:tab/>
            </w:r>
            <w:r>
              <w:rPr>
                <w:webHidden/>
              </w:rPr>
              <w:fldChar w:fldCharType="begin"/>
            </w:r>
            <w:r>
              <w:rPr>
                <w:webHidden/>
              </w:rPr>
              <w:instrText xml:space="preserve"> PAGEREF _Toc205383331 \h </w:instrText>
            </w:r>
            <w:r>
              <w:rPr>
                <w:webHidden/>
              </w:rPr>
            </w:r>
            <w:r>
              <w:rPr>
                <w:webHidden/>
              </w:rPr>
              <w:fldChar w:fldCharType="separate"/>
            </w:r>
            <w:r>
              <w:rPr>
                <w:webHidden/>
              </w:rPr>
              <w:t>24</w:t>
            </w:r>
            <w:r>
              <w:rPr>
                <w:webHidden/>
              </w:rPr>
              <w:fldChar w:fldCharType="end"/>
            </w:r>
          </w:hyperlink>
        </w:p>
        <w:p w:rsidR="003B5F2E" w:rsidRDefault="003B5F2E" w14:paraId="37E2E37A" w14:textId="19896524">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2">
            <w:r w:rsidRPr="005E1C4C">
              <w:rPr>
                <w:rStyle w:val="Hyperlink"/>
              </w:rPr>
              <w:t>4.13</w:t>
            </w:r>
            <w:r>
              <w:rPr>
                <w:rFonts w:asciiTheme="minorHAnsi" w:hAnsiTheme="minorHAnsi" w:eastAsiaTheme="minorEastAsia" w:cstheme="minorBidi"/>
                <w:kern w:val="2"/>
                <w:sz w:val="24"/>
                <w:szCs w:val="24"/>
                <w14:ligatures w14:val="standardContextual"/>
              </w:rPr>
              <w:tab/>
            </w:r>
            <w:r w:rsidRPr="005E1C4C">
              <w:rPr>
                <w:rStyle w:val="Hyperlink"/>
              </w:rPr>
              <w:t>Rechtsgeldige ondertekening</w:t>
            </w:r>
            <w:r>
              <w:rPr>
                <w:webHidden/>
              </w:rPr>
              <w:tab/>
            </w:r>
            <w:r>
              <w:rPr>
                <w:webHidden/>
              </w:rPr>
              <w:fldChar w:fldCharType="begin"/>
            </w:r>
            <w:r>
              <w:rPr>
                <w:webHidden/>
              </w:rPr>
              <w:instrText xml:space="preserve"> PAGEREF _Toc205383332 \h </w:instrText>
            </w:r>
            <w:r>
              <w:rPr>
                <w:webHidden/>
              </w:rPr>
            </w:r>
            <w:r>
              <w:rPr>
                <w:webHidden/>
              </w:rPr>
              <w:fldChar w:fldCharType="separate"/>
            </w:r>
            <w:r>
              <w:rPr>
                <w:webHidden/>
              </w:rPr>
              <w:t>25</w:t>
            </w:r>
            <w:r>
              <w:rPr>
                <w:webHidden/>
              </w:rPr>
              <w:fldChar w:fldCharType="end"/>
            </w:r>
          </w:hyperlink>
        </w:p>
        <w:p w:rsidR="003B5F2E" w:rsidRDefault="003B5F2E" w14:paraId="163D9C16" w14:textId="7817D9DC">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3">
            <w:r w:rsidRPr="005E1C4C">
              <w:rPr>
                <w:rStyle w:val="Hyperlink"/>
              </w:rPr>
              <w:t>4.14</w:t>
            </w:r>
            <w:r>
              <w:rPr>
                <w:rFonts w:asciiTheme="minorHAnsi" w:hAnsiTheme="minorHAnsi" w:eastAsiaTheme="minorEastAsia" w:cstheme="minorBidi"/>
                <w:kern w:val="2"/>
                <w:sz w:val="24"/>
                <w:szCs w:val="24"/>
                <w14:ligatures w14:val="standardContextual"/>
              </w:rPr>
              <w:tab/>
            </w:r>
            <w:r w:rsidRPr="005E1C4C">
              <w:rPr>
                <w:rStyle w:val="Hyperlink"/>
              </w:rPr>
              <w:t>Toepasselijk recht en geschillenbeslechting</w:t>
            </w:r>
            <w:r>
              <w:rPr>
                <w:webHidden/>
              </w:rPr>
              <w:tab/>
            </w:r>
            <w:r>
              <w:rPr>
                <w:webHidden/>
              </w:rPr>
              <w:fldChar w:fldCharType="begin"/>
            </w:r>
            <w:r>
              <w:rPr>
                <w:webHidden/>
              </w:rPr>
              <w:instrText xml:space="preserve"> PAGEREF _Toc205383333 \h </w:instrText>
            </w:r>
            <w:r>
              <w:rPr>
                <w:webHidden/>
              </w:rPr>
            </w:r>
            <w:r>
              <w:rPr>
                <w:webHidden/>
              </w:rPr>
              <w:fldChar w:fldCharType="separate"/>
            </w:r>
            <w:r>
              <w:rPr>
                <w:webHidden/>
              </w:rPr>
              <w:t>25</w:t>
            </w:r>
            <w:r>
              <w:rPr>
                <w:webHidden/>
              </w:rPr>
              <w:fldChar w:fldCharType="end"/>
            </w:r>
          </w:hyperlink>
        </w:p>
        <w:p w:rsidR="003B5F2E" w:rsidRDefault="003B5F2E" w14:paraId="5499A686" w14:textId="16B1C258">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4">
            <w:r w:rsidRPr="005E1C4C">
              <w:rPr>
                <w:rStyle w:val="Hyperlink"/>
              </w:rPr>
              <w:t>4.15</w:t>
            </w:r>
            <w:r>
              <w:rPr>
                <w:rFonts w:asciiTheme="minorHAnsi" w:hAnsiTheme="minorHAnsi" w:eastAsiaTheme="minorEastAsia" w:cstheme="minorBidi"/>
                <w:kern w:val="2"/>
                <w:sz w:val="24"/>
                <w:szCs w:val="24"/>
                <w14:ligatures w14:val="standardContextual"/>
              </w:rPr>
              <w:tab/>
            </w:r>
            <w:r w:rsidRPr="005E1C4C">
              <w:rPr>
                <w:rStyle w:val="Hyperlink"/>
              </w:rPr>
              <w:t>Rechtsbescherming</w:t>
            </w:r>
            <w:r>
              <w:rPr>
                <w:webHidden/>
              </w:rPr>
              <w:tab/>
            </w:r>
            <w:r>
              <w:rPr>
                <w:webHidden/>
              </w:rPr>
              <w:fldChar w:fldCharType="begin"/>
            </w:r>
            <w:r>
              <w:rPr>
                <w:webHidden/>
              </w:rPr>
              <w:instrText xml:space="preserve"> PAGEREF _Toc205383334 \h </w:instrText>
            </w:r>
            <w:r>
              <w:rPr>
                <w:webHidden/>
              </w:rPr>
            </w:r>
            <w:r>
              <w:rPr>
                <w:webHidden/>
              </w:rPr>
              <w:fldChar w:fldCharType="separate"/>
            </w:r>
            <w:r>
              <w:rPr>
                <w:webHidden/>
              </w:rPr>
              <w:t>25</w:t>
            </w:r>
            <w:r>
              <w:rPr>
                <w:webHidden/>
              </w:rPr>
              <w:fldChar w:fldCharType="end"/>
            </w:r>
          </w:hyperlink>
        </w:p>
        <w:p w:rsidR="003B5F2E" w:rsidRDefault="003B5F2E" w14:paraId="259634CE" w14:textId="1AFF222E">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5">
            <w:r w:rsidRPr="005E1C4C">
              <w:rPr>
                <w:rStyle w:val="Hyperlink"/>
              </w:rPr>
              <w:t>4.16</w:t>
            </w:r>
            <w:r>
              <w:rPr>
                <w:rFonts w:asciiTheme="minorHAnsi" w:hAnsiTheme="minorHAnsi" w:eastAsiaTheme="minorEastAsia" w:cstheme="minorBidi"/>
                <w:kern w:val="2"/>
                <w:sz w:val="24"/>
                <w:szCs w:val="24"/>
                <w14:ligatures w14:val="standardContextual"/>
              </w:rPr>
              <w:tab/>
            </w:r>
            <w:r w:rsidRPr="005E1C4C">
              <w:rPr>
                <w:rStyle w:val="Hyperlink"/>
              </w:rPr>
              <w:t>Taal</w:t>
            </w:r>
            <w:r>
              <w:rPr>
                <w:webHidden/>
              </w:rPr>
              <w:tab/>
            </w:r>
            <w:r>
              <w:rPr>
                <w:webHidden/>
              </w:rPr>
              <w:fldChar w:fldCharType="begin"/>
            </w:r>
            <w:r>
              <w:rPr>
                <w:webHidden/>
              </w:rPr>
              <w:instrText xml:space="preserve"> PAGEREF _Toc205383335 \h </w:instrText>
            </w:r>
            <w:r>
              <w:rPr>
                <w:webHidden/>
              </w:rPr>
            </w:r>
            <w:r>
              <w:rPr>
                <w:webHidden/>
              </w:rPr>
              <w:fldChar w:fldCharType="separate"/>
            </w:r>
            <w:r>
              <w:rPr>
                <w:webHidden/>
              </w:rPr>
              <w:t>26</w:t>
            </w:r>
            <w:r>
              <w:rPr>
                <w:webHidden/>
              </w:rPr>
              <w:fldChar w:fldCharType="end"/>
            </w:r>
          </w:hyperlink>
        </w:p>
        <w:p w:rsidR="003B5F2E" w:rsidRDefault="003B5F2E" w14:paraId="0E747950" w14:textId="455656CF">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6">
            <w:r w:rsidRPr="005E1C4C">
              <w:rPr>
                <w:rStyle w:val="Hyperlink"/>
              </w:rPr>
              <w:t>4.17</w:t>
            </w:r>
            <w:r>
              <w:rPr>
                <w:rFonts w:asciiTheme="minorHAnsi" w:hAnsiTheme="minorHAnsi" w:eastAsiaTheme="minorEastAsia" w:cstheme="minorBidi"/>
                <w:kern w:val="2"/>
                <w:sz w:val="24"/>
                <w:szCs w:val="24"/>
                <w14:ligatures w14:val="standardContextual"/>
              </w:rPr>
              <w:tab/>
            </w:r>
            <w:r w:rsidRPr="005E1C4C">
              <w:rPr>
                <w:rStyle w:val="Hyperlink"/>
              </w:rPr>
              <w:t>Termijn van gestanddoening</w:t>
            </w:r>
            <w:r>
              <w:rPr>
                <w:webHidden/>
              </w:rPr>
              <w:tab/>
            </w:r>
            <w:r>
              <w:rPr>
                <w:webHidden/>
              </w:rPr>
              <w:fldChar w:fldCharType="begin"/>
            </w:r>
            <w:r>
              <w:rPr>
                <w:webHidden/>
              </w:rPr>
              <w:instrText xml:space="preserve"> PAGEREF _Toc205383336 \h </w:instrText>
            </w:r>
            <w:r>
              <w:rPr>
                <w:webHidden/>
              </w:rPr>
            </w:r>
            <w:r>
              <w:rPr>
                <w:webHidden/>
              </w:rPr>
              <w:fldChar w:fldCharType="separate"/>
            </w:r>
            <w:r>
              <w:rPr>
                <w:webHidden/>
              </w:rPr>
              <w:t>27</w:t>
            </w:r>
            <w:r>
              <w:rPr>
                <w:webHidden/>
              </w:rPr>
              <w:fldChar w:fldCharType="end"/>
            </w:r>
          </w:hyperlink>
        </w:p>
        <w:p w:rsidR="003B5F2E" w:rsidRDefault="003B5F2E" w14:paraId="255EA790" w14:textId="55A1F754">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7">
            <w:r w:rsidRPr="005E1C4C">
              <w:rPr>
                <w:rStyle w:val="Hyperlink"/>
              </w:rPr>
              <w:t>4.18</w:t>
            </w:r>
            <w:r>
              <w:rPr>
                <w:rFonts w:asciiTheme="minorHAnsi" w:hAnsiTheme="minorHAnsi" w:eastAsiaTheme="minorEastAsia" w:cstheme="minorBidi"/>
                <w:kern w:val="2"/>
                <w:sz w:val="24"/>
                <w:szCs w:val="24"/>
                <w14:ligatures w14:val="standardContextual"/>
              </w:rPr>
              <w:tab/>
            </w:r>
            <w:r w:rsidRPr="005E1C4C">
              <w:rPr>
                <w:rStyle w:val="Hyperlink"/>
              </w:rPr>
              <w:t>Valse verklaringen</w:t>
            </w:r>
            <w:r>
              <w:rPr>
                <w:webHidden/>
              </w:rPr>
              <w:tab/>
            </w:r>
            <w:r>
              <w:rPr>
                <w:webHidden/>
              </w:rPr>
              <w:fldChar w:fldCharType="begin"/>
            </w:r>
            <w:r>
              <w:rPr>
                <w:webHidden/>
              </w:rPr>
              <w:instrText xml:space="preserve"> PAGEREF _Toc205383337 \h </w:instrText>
            </w:r>
            <w:r>
              <w:rPr>
                <w:webHidden/>
              </w:rPr>
            </w:r>
            <w:r>
              <w:rPr>
                <w:webHidden/>
              </w:rPr>
              <w:fldChar w:fldCharType="separate"/>
            </w:r>
            <w:r>
              <w:rPr>
                <w:webHidden/>
              </w:rPr>
              <w:t>27</w:t>
            </w:r>
            <w:r>
              <w:rPr>
                <w:webHidden/>
              </w:rPr>
              <w:fldChar w:fldCharType="end"/>
            </w:r>
          </w:hyperlink>
        </w:p>
        <w:p w:rsidR="003B5F2E" w:rsidRDefault="003B5F2E" w14:paraId="3B4F0D50" w14:textId="5577D175">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8">
            <w:r w:rsidRPr="005E1C4C">
              <w:rPr>
                <w:rStyle w:val="Hyperlink"/>
              </w:rPr>
              <w:t>4.19</w:t>
            </w:r>
            <w:r>
              <w:rPr>
                <w:rFonts w:asciiTheme="minorHAnsi" w:hAnsiTheme="minorHAnsi" w:eastAsiaTheme="minorEastAsia" w:cstheme="minorBidi"/>
                <w:kern w:val="2"/>
                <w:sz w:val="24"/>
                <w:szCs w:val="24"/>
                <w14:ligatures w14:val="standardContextual"/>
              </w:rPr>
              <w:tab/>
            </w:r>
            <w:r w:rsidRPr="005E1C4C">
              <w:rPr>
                <w:rStyle w:val="Hyperlink"/>
              </w:rPr>
              <w:t>Onduidelijkheden en onregelmatigheden</w:t>
            </w:r>
            <w:r>
              <w:rPr>
                <w:webHidden/>
              </w:rPr>
              <w:tab/>
            </w:r>
            <w:r>
              <w:rPr>
                <w:webHidden/>
              </w:rPr>
              <w:fldChar w:fldCharType="begin"/>
            </w:r>
            <w:r>
              <w:rPr>
                <w:webHidden/>
              </w:rPr>
              <w:instrText xml:space="preserve"> PAGEREF _Toc205383338 \h </w:instrText>
            </w:r>
            <w:r>
              <w:rPr>
                <w:webHidden/>
              </w:rPr>
            </w:r>
            <w:r>
              <w:rPr>
                <w:webHidden/>
              </w:rPr>
              <w:fldChar w:fldCharType="separate"/>
            </w:r>
            <w:r>
              <w:rPr>
                <w:webHidden/>
              </w:rPr>
              <w:t>27</w:t>
            </w:r>
            <w:r>
              <w:rPr>
                <w:webHidden/>
              </w:rPr>
              <w:fldChar w:fldCharType="end"/>
            </w:r>
          </w:hyperlink>
        </w:p>
        <w:p w:rsidR="003B5F2E" w:rsidRDefault="003B5F2E" w14:paraId="62BE9346" w14:textId="7A0F321B">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39">
            <w:r w:rsidRPr="005E1C4C">
              <w:rPr>
                <w:rStyle w:val="Hyperlink"/>
              </w:rPr>
              <w:t>4.20</w:t>
            </w:r>
            <w:r>
              <w:rPr>
                <w:rFonts w:asciiTheme="minorHAnsi" w:hAnsiTheme="minorHAnsi" w:eastAsiaTheme="minorEastAsia" w:cstheme="minorBidi"/>
                <w:kern w:val="2"/>
                <w:sz w:val="24"/>
                <w:szCs w:val="24"/>
                <w14:ligatures w14:val="standardContextual"/>
              </w:rPr>
              <w:tab/>
            </w:r>
            <w:r w:rsidRPr="005E1C4C">
              <w:rPr>
                <w:rStyle w:val="Hyperlink"/>
              </w:rPr>
              <w:t>Vertrouwelijkheid</w:t>
            </w:r>
            <w:r>
              <w:rPr>
                <w:webHidden/>
              </w:rPr>
              <w:tab/>
            </w:r>
            <w:r>
              <w:rPr>
                <w:webHidden/>
              </w:rPr>
              <w:fldChar w:fldCharType="begin"/>
            </w:r>
            <w:r>
              <w:rPr>
                <w:webHidden/>
              </w:rPr>
              <w:instrText xml:space="preserve"> PAGEREF _Toc205383339 \h </w:instrText>
            </w:r>
            <w:r>
              <w:rPr>
                <w:webHidden/>
              </w:rPr>
            </w:r>
            <w:r>
              <w:rPr>
                <w:webHidden/>
              </w:rPr>
              <w:fldChar w:fldCharType="separate"/>
            </w:r>
            <w:r>
              <w:rPr>
                <w:webHidden/>
              </w:rPr>
              <w:t>28</w:t>
            </w:r>
            <w:r>
              <w:rPr>
                <w:webHidden/>
              </w:rPr>
              <w:fldChar w:fldCharType="end"/>
            </w:r>
          </w:hyperlink>
        </w:p>
        <w:p w:rsidR="003B5F2E" w:rsidRDefault="003B5F2E" w14:paraId="4424BCC5" w14:textId="55A50E67">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0">
            <w:r w:rsidRPr="005E1C4C">
              <w:rPr>
                <w:rStyle w:val="Hyperlink"/>
              </w:rPr>
              <w:t>4.21</w:t>
            </w:r>
            <w:r>
              <w:rPr>
                <w:rFonts w:asciiTheme="minorHAnsi" w:hAnsiTheme="minorHAnsi" w:eastAsiaTheme="minorEastAsia" w:cstheme="minorBidi"/>
                <w:kern w:val="2"/>
                <w:sz w:val="24"/>
                <w:szCs w:val="24"/>
                <w14:ligatures w14:val="standardContextual"/>
              </w:rPr>
              <w:tab/>
            </w:r>
            <w:r w:rsidRPr="005E1C4C">
              <w:rPr>
                <w:rStyle w:val="Hyperlink"/>
              </w:rPr>
              <w:t>Algemene voorwaarden</w:t>
            </w:r>
            <w:r>
              <w:rPr>
                <w:webHidden/>
              </w:rPr>
              <w:tab/>
            </w:r>
            <w:r>
              <w:rPr>
                <w:webHidden/>
              </w:rPr>
              <w:fldChar w:fldCharType="begin"/>
            </w:r>
            <w:r>
              <w:rPr>
                <w:webHidden/>
              </w:rPr>
              <w:instrText xml:space="preserve"> PAGEREF _Toc205383340 \h </w:instrText>
            </w:r>
            <w:r>
              <w:rPr>
                <w:webHidden/>
              </w:rPr>
            </w:r>
            <w:r>
              <w:rPr>
                <w:webHidden/>
              </w:rPr>
              <w:fldChar w:fldCharType="separate"/>
            </w:r>
            <w:r>
              <w:rPr>
                <w:webHidden/>
              </w:rPr>
              <w:t>28</w:t>
            </w:r>
            <w:r>
              <w:rPr>
                <w:webHidden/>
              </w:rPr>
              <w:fldChar w:fldCharType="end"/>
            </w:r>
          </w:hyperlink>
        </w:p>
        <w:p w:rsidR="003B5F2E" w:rsidRDefault="003B5F2E" w14:paraId="506AB153" w14:textId="34438B96">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1">
            <w:r w:rsidRPr="005E1C4C">
              <w:rPr>
                <w:rStyle w:val="Hyperlink"/>
              </w:rPr>
              <w:t>4.22</w:t>
            </w:r>
            <w:r>
              <w:rPr>
                <w:rFonts w:asciiTheme="minorHAnsi" w:hAnsiTheme="minorHAnsi" w:eastAsiaTheme="minorEastAsia" w:cstheme="minorBidi"/>
                <w:kern w:val="2"/>
                <w:sz w:val="24"/>
                <w:szCs w:val="24"/>
                <w14:ligatures w14:val="standardContextual"/>
              </w:rPr>
              <w:tab/>
            </w:r>
            <w:r w:rsidRPr="005E1C4C">
              <w:rPr>
                <w:rStyle w:val="Hyperlink"/>
              </w:rPr>
              <w:t>Intrekken aanbestedingsprocedure</w:t>
            </w:r>
            <w:r>
              <w:rPr>
                <w:webHidden/>
              </w:rPr>
              <w:tab/>
            </w:r>
            <w:r>
              <w:rPr>
                <w:webHidden/>
              </w:rPr>
              <w:fldChar w:fldCharType="begin"/>
            </w:r>
            <w:r>
              <w:rPr>
                <w:webHidden/>
              </w:rPr>
              <w:instrText xml:space="preserve"> PAGEREF _Toc205383341 \h </w:instrText>
            </w:r>
            <w:r>
              <w:rPr>
                <w:webHidden/>
              </w:rPr>
            </w:r>
            <w:r>
              <w:rPr>
                <w:webHidden/>
              </w:rPr>
              <w:fldChar w:fldCharType="separate"/>
            </w:r>
            <w:r>
              <w:rPr>
                <w:webHidden/>
              </w:rPr>
              <w:t>28</w:t>
            </w:r>
            <w:r>
              <w:rPr>
                <w:webHidden/>
              </w:rPr>
              <w:fldChar w:fldCharType="end"/>
            </w:r>
          </w:hyperlink>
        </w:p>
        <w:p w:rsidR="003B5F2E" w:rsidRDefault="003B5F2E" w14:paraId="28219C3D" w14:textId="51DA4C5E">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2">
            <w:r w:rsidRPr="005E1C4C">
              <w:rPr>
                <w:rStyle w:val="Hyperlink"/>
              </w:rPr>
              <w:t>4.23</w:t>
            </w:r>
            <w:r>
              <w:rPr>
                <w:rFonts w:asciiTheme="minorHAnsi" w:hAnsiTheme="minorHAnsi" w:eastAsiaTheme="minorEastAsia" w:cstheme="minorBidi"/>
                <w:kern w:val="2"/>
                <w:sz w:val="24"/>
                <w:szCs w:val="24"/>
                <w14:ligatures w14:val="standardContextual"/>
              </w:rPr>
              <w:tab/>
            </w:r>
            <w:r w:rsidRPr="005E1C4C">
              <w:rPr>
                <w:rStyle w:val="Hyperlink"/>
              </w:rPr>
              <w:t>Klachtenprocedure aanbestedingen NIPV</w:t>
            </w:r>
            <w:r>
              <w:rPr>
                <w:webHidden/>
              </w:rPr>
              <w:tab/>
            </w:r>
            <w:r>
              <w:rPr>
                <w:webHidden/>
              </w:rPr>
              <w:fldChar w:fldCharType="begin"/>
            </w:r>
            <w:r>
              <w:rPr>
                <w:webHidden/>
              </w:rPr>
              <w:instrText xml:space="preserve"> PAGEREF _Toc205383342 \h </w:instrText>
            </w:r>
            <w:r>
              <w:rPr>
                <w:webHidden/>
              </w:rPr>
            </w:r>
            <w:r>
              <w:rPr>
                <w:webHidden/>
              </w:rPr>
              <w:fldChar w:fldCharType="separate"/>
            </w:r>
            <w:r>
              <w:rPr>
                <w:webHidden/>
              </w:rPr>
              <w:t>28</w:t>
            </w:r>
            <w:r>
              <w:rPr>
                <w:webHidden/>
              </w:rPr>
              <w:fldChar w:fldCharType="end"/>
            </w:r>
          </w:hyperlink>
        </w:p>
        <w:p w:rsidR="003B5F2E" w:rsidRDefault="003B5F2E" w14:paraId="2C7396E5" w14:textId="180B02A9">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43">
            <w:r w:rsidRPr="005E1C4C">
              <w:rPr>
                <w:rStyle w:val="Hyperlink"/>
              </w:rPr>
              <w:t>5</w:t>
            </w:r>
            <w:r>
              <w:rPr>
                <w:rFonts w:asciiTheme="minorHAnsi" w:hAnsiTheme="minorHAnsi" w:eastAsiaTheme="minorEastAsia" w:cstheme="minorBidi"/>
                <w:b w:val="0"/>
                <w:kern w:val="2"/>
                <w:sz w:val="24"/>
                <w:szCs w:val="24"/>
                <w14:ligatures w14:val="standardContextual"/>
              </w:rPr>
              <w:tab/>
            </w:r>
            <w:r w:rsidRPr="005E1C4C">
              <w:rPr>
                <w:rStyle w:val="Hyperlink"/>
              </w:rPr>
              <w:t>Mogelijkheden om in te schrijven</w:t>
            </w:r>
            <w:r>
              <w:rPr>
                <w:webHidden/>
              </w:rPr>
              <w:tab/>
            </w:r>
            <w:r>
              <w:rPr>
                <w:webHidden/>
              </w:rPr>
              <w:fldChar w:fldCharType="begin"/>
            </w:r>
            <w:r>
              <w:rPr>
                <w:webHidden/>
              </w:rPr>
              <w:instrText xml:space="preserve"> PAGEREF _Toc205383343 \h </w:instrText>
            </w:r>
            <w:r>
              <w:rPr>
                <w:webHidden/>
              </w:rPr>
            </w:r>
            <w:r>
              <w:rPr>
                <w:webHidden/>
              </w:rPr>
              <w:fldChar w:fldCharType="separate"/>
            </w:r>
            <w:r>
              <w:rPr>
                <w:webHidden/>
              </w:rPr>
              <w:t>30</w:t>
            </w:r>
            <w:r>
              <w:rPr>
                <w:webHidden/>
              </w:rPr>
              <w:fldChar w:fldCharType="end"/>
            </w:r>
          </w:hyperlink>
        </w:p>
        <w:p w:rsidR="003B5F2E" w:rsidRDefault="003B5F2E" w14:paraId="697094A6" w14:textId="1CAA950E">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4">
            <w:r w:rsidRPr="005E1C4C">
              <w:rPr>
                <w:rStyle w:val="Hyperlink"/>
              </w:rPr>
              <w:t>5.1</w:t>
            </w:r>
            <w:r>
              <w:rPr>
                <w:rFonts w:asciiTheme="minorHAnsi" w:hAnsiTheme="minorHAnsi" w:eastAsiaTheme="minorEastAsia" w:cstheme="minorBidi"/>
                <w:kern w:val="2"/>
                <w:sz w:val="24"/>
                <w:szCs w:val="24"/>
                <w14:ligatures w14:val="standardContextual"/>
              </w:rPr>
              <w:tab/>
            </w:r>
            <w:r w:rsidRPr="005E1C4C">
              <w:rPr>
                <w:rStyle w:val="Hyperlink"/>
              </w:rPr>
              <w:t>Inleiding</w:t>
            </w:r>
            <w:r>
              <w:rPr>
                <w:webHidden/>
              </w:rPr>
              <w:tab/>
            </w:r>
            <w:r>
              <w:rPr>
                <w:webHidden/>
              </w:rPr>
              <w:fldChar w:fldCharType="begin"/>
            </w:r>
            <w:r>
              <w:rPr>
                <w:webHidden/>
              </w:rPr>
              <w:instrText xml:space="preserve"> PAGEREF _Toc205383344 \h </w:instrText>
            </w:r>
            <w:r>
              <w:rPr>
                <w:webHidden/>
              </w:rPr>
            </w:r>
            <w:r>
              <w:rPr>
                <w:webHidden/>
              </w:rPr>
              <w:fldChar w:fldCharType="separate"/>
            </w:r>
            <w:r>
              <w:rPr>
                <w:webHidden/>
              </w:rPr>
              <w:t>30</w:t>
            </w:r>
            <w:r>
              <w:rPr>
                <w:webHidden/>
              </w:rPr>
              <w:fldChar w:fldCharType="end"/>
            </w:r>
          </w:hyperlink>
        </w:p>
        <w:p w:rsidR="003B5F2E" w:rsidRDefault="003B5F2E" w14:paraId="1F038CC2" w14:textId="427A93CA">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5">
            <w:r w:rsidRPr="005E1C4C">
              <w:rPr>
                <w:rStyle w:val="Hyperlink"/>
              </w:rPr>
              <w:t>5.2</w:t>
            </w:r>
            <w:r>
              <w:rPr>
                <w:rFonts w:asciiTheme="minorHAnsi" w:hAnsiTheme="minorHAnsi" w:eastAsiaTheme="minorEastAsia" w:cstheme="minorBidi"/>
                <w:kern w:val="2"/>
                <w:sz w:val="24"/>
                <w:szCs w:val="24"/>
                <w14:ligatures w14:val="standardContextual"/>
              </w:rPr>
              <w:tab/>
            </w:r>
            <w:r w:rsidRPr="005E1C4C">
              <w:rPr>
                <w:rStyle w:val="Hyperlink"/>
              </w:rPr>
              <w:t>Zelfstandige Inschrijver</w:t>
            </w:r>
            <w:r>
              <w:rPr>
                <w:webHidden/>
              </w:rPr>
              <w:tab/>
            </w:r>
            <w:r>
              <w:rPr>
                <w:webHidden/>
              </w:rPr>
              <w:fldChar w:fldCharType="begin"/>
            </w:r>
            <w:r>
              <w:rPr>
                <w:webHidden/>
              </w:rPr>
              <w:instrText xml:space="preserve"> PAGEREF _Toc205383345 \h </w:instrText>
            </w:r>
            <w:r>
              <w:rPr>
                <w:webHidden/>
              </w:rPr>
            </w:r>
            <w:r>
              <w:rPr>
                <w:webHidden/>
              </w:rPr>
              <w:fldChar w:fldCharType="separate"/>
            </w:r>
            <w:r>
              <w:rPr>
                <w:webHidden/>
              </w:rPr>
              <w:t>30</w:t>
            </w:r>
            <w:r>
              <w:rPr>
                <w:webHidden/>
              </w:rPr>
              <w:fldChar w:fldCharType="end"/>
            </w:r>
          </w:hyperlink>
        </w:p>
        <w:p w:rsidR="003B5F2E" w:rsidRDefault="003B5F2E" w14:paraId="663BA9E5" w14:textId="3EBF0323">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6">
            <w:r w:rsidRPr="005E1C4C">
              <w:rPr>
                <w:rStyle w:val="Hyperlink"/>
              </w:rPr>
              <w:t>5.3</w:t>
            </w:r>
            <w:r>
              <w:rPr>
                <w:rFonts w:asciiTheme="minorHAnsi" w:hAnsiTheme="minorHAnsi" w:eastAsiaTheme="minorEastAsia" w:cstheme="minorBidi"/>
                <w:kern w:val="2"/>
                <w:sz w:val="24"/>
                <w:szCs w:val="24"/>
                <w14:ligatures w14:val="standardContextual"/>
              </w:rPr>
              <w:tab/>
            </w:r>
            <w:r w:rsidRPr="005E1C4C">
              <w:rPr>
                <w:rStyle w:val="Hyperlink"/>
              </w:rPr>
              <w:t>Samenwerkingsverband</w:t>
            </w:r>
            <w:r>
              <w:rPr>
                <w:webHidden/>
              </w:rPr>
              <w:tab/>
            </w:r>
            <w:r>
              <w:rPr>
                <w:webHidden/>
              </w:rPr>
              <w:fldChar w:fldCharType="begin"/>
            </w:r>
            <w:r>
              <w:rPr>
                <w:webHidden/>
              </w:rPr>
              <w:instrText xml:space="preserve"> PAGEREF _Toc205383346 \h </w:instrText>
            </w:r>
            <w:r>
              <w:rPr>
                <w:webHidden/>
              </w:rPr>
            </w:r>
            <w:r>
              <w:rPr>
                <w:webHidden/>
              </w:rPr>
              <w:fldChar w:fldCharType="separate"/>
            </w:r>
            <w:r>
              <w:rPr>
                <w:webHidden/>
              </w:rPr>
              <w:t>30</w:t>
            </w:r>
            <w:r>
              <w:rPr>
                <w:webHidden/>
              </w:rPr>
              <w:fldChar w:fldCharType="end"/>
            </w:r>
          </w:hyperlink>
        </w:p>
        <w:p w:rsidR="003B5F2E" w:rsidRDefault="003B5F2E" w14:paraId="19F1919B" w14:textId="2652ADD0">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7">
            <w:r w:rsidRPr="005E1C4C">
              <w:rPr>
                <w:rStyle w:val="Hyperlink"/>
              </w:rPr>
              <w:t>5.4</w:t>
            </w:r>
            <w:r>
              <w:rPr>
                <w:rFonts w:asciiTheme="minorHAnsi" w:hAnsiTheme="minorHAnsi" w:eastAsiaTheme="minorEastAsia" w:cstheme="minorBidi"/>
                <w:kern w:val="2"/>
                <w:sz w:val="24"/>
                <w:szCs w:val="24"/>
                <w14:ligatures w14:val="standardContextual"/>
              </w:rPr>
              <w:tab/>
            </w:r>
            <w:r w:rsidRPr="005E1C4C">
              <w:rPr>
                <w:rStyle w:val="Hyperlink"/>
              </w:rPr>
              <w:t>Onderaanneming</w:t>
            </w:r>
            <w:r>
              <w:rPr>
                <w:webHidden/>
              </w:rPr>
              <w:tab/>
            </w:r>
            <w:r>
              <w:rPr>
                <w:webHidden/>
              </w:rPr>
              <w:fldChar w:fldCharType="begin"/>
            </w:r>
            <w:r>
              <w:rPr>
                <w:webHidden/>
              </w:rPr>
              <w:instrText xml:space="preserve"> PAGEREF _Toc205383347 \h </w:instrText>
            </w:r>
            <w:r>
              <w:rPr>
                <w:webHidden/>
              </w:rPr>
            </w:r>
            <w:r>
              <w:rPr>
                <w:webHidden/>
              </w:rPr>
              <w:fldChar w:fldCharType="separate"/>
            </w:r>
            <w:r>
              <w:rPr>
                <w:webHidden/>
              </w:rPr>
              <w:t>31</w:t>
            </w:r>
            <w:r>
              <w:rPr>
                <w:webHidden/>
              </w:rPr>
              <w:fldChar w:fldCharType="end"/>
            </w:r>
          </w:hyperlink>
        </w:p>
        <w:p w:rsidR="003B5F2E" w:rsidRDefault="003B5F2E" w14:paraId="636BB1DC" w14:textId="325356F1">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48">
            <w:r w:rsidRPr="005E1C4C">
              <w:rPr>
                <w:rStyle w:val="Hyperlink"/>
              </w:rPr>
              <w:t>5.5</w:t>
            </w:r>
            <w:r>
              <w:rPr>
                <w:rFonts w:asciiTheme="minorHAnsi" w:hAnsiTheme="minorHAnsi" w:eastAsiaTheme="minorEastAsia" w:cstheme="minorBidi"/>
                <w:kern w:val="2"/>
                <w:sz w:val="24"/>
                <w:szCs w:val="24"/>
                <w14:ligatures w14:val="standardContextual"/>
              </w:rPr>
              <w:tab/>
            </w:r>
            <w:r w:rsidRPr="005E1C4C">
              <w:rPr>
                <w:rStyle w:val="Hyperlink"/>
              </w:rPr>
              <w:t>Beroep op derden in het kader van het voldoen aan de geschiktheidseisen</w:t>
            </w:r>
            <w:r>
              <w:rPr>
                <w:webHidden/>
              </w:rPr>
              <w:tab/>
            </w:r>
            <w:r>
              <w:rPr>
                <w:webHidden/>
              </w:rPr>
              <w:fldChar w:fldCharType="begin"/>
            </w:r>
            <w:r>
              <w:rPr>
                <w:webHidden/>
              </w:rPr>
              <w:instrText xml:space="preserve"> PAGEREF _Toc205383348 \h </w:instrText>
            </w:r>
            <w:r>
              <w:rPr>
                <w:webHidden/>
              </w:rPr>
            </w:r>
            <w:r>
              <w:rPr>
                <w:webHidden/>
              </w:rPr>
              <w:fldChar w:fldCharType="separate"/>
            </w:r>
            <w:r>
              <w:rPr>
                <w:webHidden/>
              </w:rPr>
              <w:t>32</w:t>
            </w:r>
            <w:r>
              <w:rPr>
                <w:webHidden/>
              </w:rPr>
              <w:fldChar w:fldCharType="end"/>
            </w:r>
          </w:hyperlink>
        </w:p>
        <w:p w:rsidR="003B5F2E" w:rsidRDefault="003B5F2E" w14:paraId="35933ADC" w14:textId="72F52096">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49">
            <w:r w:rsidRPr="005E1C4C">
              <w:rPr>
                <w:rStyle w:val="Hyperlink"/>
              </w:rPr>
              <w:t>6</w:t>
            </w:r>
            <w:r>
              <w:rPr>
                <w:rFonts w:asciiTheme="minorHAnsi" w:hAnsiTheme="minorHAnsi" w:eastAsiaTheme="minorEastAsia" w:cstheme="minorBidi"/>
                <w:b w:val="0"/>
                <w:kern w:val="2"/>
                <w:sz w:val="24"/>
                <w:szCs w:val="24"/>
                <w14:ligatures w14:val="standardContextual"/>
              </w:rPr>
              <w:tab/>
            </w:r>
            <w:r w:rsidRPr="005E1C4C">
              <w:rPr>
                <w:rStyle w:val="Hyperlink"/>
              </w:rPr>
              <w:t>Uitsluitingsgronden</w:t>
            </w:r>
            <w:r>
              <w:rPr>
                <w:webHidden/>
              </w:rPr>
              <w:tab/>
            </w:r>
            <w:r>
              <w:rPr>
                <w:webHidden/>
              </w:rPr>
              <w:fldChar w:fldCharType="begin"/>
            </w:r>
            <w:r>
              <w:rPr>
                <w:webHidden/>
              </w:rPr>
              <w:instrText xml:space="preserve"> PAGEREF _Toc205383349 \h </w:instrText>
            </w:r>
            <w:r>
              <w:rPr>
                <w:webHidden/>
              </w:rPr>
            </w:r>
            <w:r>
              <w:rPr>
                <w:webHidden/>
              </w:rPr>
              <w:fldChar w:fldCharType="separate"/>
            </w:r>
            <w:r>
              <w:rPr>
                <w:webHidden/>
              </w:rPr>
              <w:t>35</w:t>
            </w:r>
            <w:r>
              <w:rPr>
                <w:webHidden/>
              </w:rPr>
              <w:fldChar w:fldCharType="end"/>
            </w:r>
          </w:hyperlink>
        </w:p>
        <w:p w:rsidR="003B5F2E" w:rsidRDefault="003B5F2E" w14:paraId="6C45E003" w14:textId="53ECCB0D">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0">
            <w:r w:rsidRPr="005E1C4C">
              <w:rPr>
                <w:rStyle w:val="Hyperlink"/>
              </w:rPr>
              <w:t>6.1</w:t>
            </w:r>
            <w:r>
              <w:rPr>
                <w:rFonts w:asciiTheme="minorHAnsi" w:hAnsiTheme="minorHAnsi" w:eastAsiaTheme="minorEastAsia" w:cstheme="minorBidi"/>
                <w:kern w:val="2"/>
                <w:sz w:val="24"/>
                <w:szCs w:val="24"/>
                <w14:ligatures w14:val="standardContextual"/>
              </w:rPr>
              <w:tab/>
            </w:r>
            <w:r w:rsidRPr="005E1C4C">
              <w:rPr>
                <w:rStyle w:val="Hyperlink"/>
              </w:rPr>
              <w:t>Uitsluitingsgronden</w:t>
            </w:r>
            <w:r>
              <w:rPr>
                <w:webHidden/>
              </w:rPr>
              <w:tab/>
            </w:r>
            <w:r>
              <w:rPr>
                <w:webHidden/>
              </w:rPr>
              <w:fldChar w:fldCharType="begin"/>
            </w:r>
            <w:r>
              <w:rPr>
                <w:webHidden/>
              </w:rPr>
              <w:instrText xml:space="preserve"> PAGEREF _Toc205383350 \h </w:instrText>
            </w:r>
            <w:r>
              <w:rPr>
                <w:webHidden/>
              </w:rPr>
            </w:r>
            <w:r>
              <w:rPr>
                <w:webHidden/>
              </w:rPr>
              <w:fldChar w:fldCharType="separate"/>
            </w:r>
            <w:r>
              <w:rPr>
                <w:webHidden/>
              </w:rPr>
              <w:t>35</w:t>
            </w:r>
            <w:r>
              <w:rPr>
                <w:webHidden/>
              </w:rPr>
              <w:fldChar w:fldCharType="end"/>
            </w:r>
          </w:hyperlink>
        </w:p>
        <w:p w:rsidR="003B5F2E" w:rsidRDefault="003B5F2E" w14:paraId="4FAFC7FA" w14:textId="4F4CB132">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1">
            <w:r w:rsidRPr="005E1C4C">
              <w:rPr>
                <w:rStyle w:val="Hyperlink"/>
              </w:rPr>
              <w:t>6.2</w:t>
            </w:r>
            <w:r>
              <w:rPr>
                <w:rFonts w:asciiTheme="minorHAnsi" w:hAnsiTheme="minorHAnsi" w:eastAsiaTheme="minorEastAsia" w:cstheme="minorBidi"/>
                <w:kern w:val="2"/>
                <w:sz w:val="24"/>
                <w:szCs w:val="24"/>
                <w14:ligatures w14:val="standardContextual"/>
              </w:rPr>
              <w:tab/>
            </w:r>
            <w:r w:rsidRPr="005E1C4C">
              <w:rPr>
                <w:rStyle w:val="Hyperlink"/>
              </w:rPr>
              <w:t>Bewijsmiddelen uitsluitingsgronden</w:t>
            </w:r>
            <w:r>
              <w:rPr>
                <w:webHidden/>
              </w:rPr>
              <w:tab/>
            </w:r>
            <w:r>
              <w:rPr>
                <w:webHidden/>
              </w:rPr>
              <w:fldChar w:fldCharType="begin"/>
            </w:r>
            <w:r>
              <w:rPr>
                <w:webHidden/>
              </w:rPr>
              <w:instrText xml:space="preserve"> PAGEREF _Toc205383351 \h </w:instrText>
            </w:r>
            <w:r>
              <w:rPr>
                <w:webHidden/>
              </w:rPr>
            </w:r>
            <w:r>
              <w:rPr>
                <w:webHidden/>
              </w:rPr>
              <w:fldChar w:fldCharType="separate"/>
            </w:r>
            <w:r>
              <w:rPr>
                <w:webHidden/>
              </w:rPr>
              <w:t>35</w:t>
            </w:r>
            <w:r>
              <w:rPr>
                <w:webHidden/>
              </w:rPr>
              <w:fldChar w:fldCharType="end"/>
            </w:r>
          </w:hyperlink>
        </w:p>
        <w:p w:rsidR="003B5F2E" w:rsidRDefault="003B5F2E" w14:paraId="2597A973" w14:textId="6A92646F">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52">
            <w:r w:rsidRPr="005E1C4C">
              <w:rPr>
                <w:rStyle w:val="Hyperlink"/>
              </w:rPr>
              <w:t>7</w:t>
            </w:r>
            <w:r>
              <w:rPr>
                <w:rFonts w:asciiTheme="minorHAnsi" w:hAnsiTheme="minorHAnsi" w:eastAsiaTheme="minorEastAsia" w:cstheme="minorBidi"/>
                <w:b w:val="0"/>
                <w:kern w:val="2"/>
                <w:sz w:val="24"/>
                <w:szCs w:val="24"/>
                <w14:ligatures w14:val="standardContextual"/>
              </w:rPr>
              <w:tab/>
            </w:r>
            <w:r w:rsidRPr="005E1C4C">
              <w:rPr>
                <w:rStyle w:val="Hyperlink"/>
              </w:rPr>
              <w:t>Geschiktheidseisen</w:t>
            </w:r>
            <w:r>
              <w:rPr>
                <w:webHidden/>
              </w:rPr>
              <w:tab/>
            </w:r>
            <w:r>
              <w:rPr>
                <w:webHidden/>
              </w:rPr>
              <w:fldChar w:fldCharType="begin"/>
            </w:r>
            <w:r>
              <w:rPr>
                <w:webHidden/>
              </w:rPr>
              <w:instrText xml:space="preserve"> PAGEREF _Toc205383352 \h </w:instrText>
            </w:r>
            <w:r>
              <w:rPr>
                <w:webHidden/>
              </w:rPr>
            </w:r>
            <w:r>
              <w:rPr>
                <w:webHidden/>
              </w:rPr>
              <w:fldChar w:fldCharType="separate"/>
            </w:r>
            <w:r>
              <w:rPr>
                <w:webHidden/>
              </w:rPr>
              <w:t>37</w:t>
            </w:r>
            <w:r>
              <w:rPr>
                <w:webHidden/>
              </w:rPr>
              <w:fldChar w:fldCharType="end"/>
            </w:r>
          </w:hyperlink>
        </w:p>
        <w:p w:rsidR="003B5F2E" w:rsidRDefault="003B5F2E" w14:paraId="464C5C45" w14:textId="3556E601">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3">
            <w:r w:rsidRPr="005E1C4C">
              <w:rPr>
                <w:rStyle w:val="Hyperlink"/>
              </w:rPr>
              <w:t>7.1</w:t>
            </w:r>
            <w:r>
              <w:rPr>
                <w:rFonts w:asciiTheme="minorHAnsi" w:hAnsiTheme="minorHAnsi" w:eastAsiaTheme="minorEastAsia" w:cstheme="minorBidi"/>
                <w:kern w:val="2"/>
                <w:sz w:val="24"/>
                <w:szCs w:val="24"/>
                <w14:ligatures w14:val="standardContextual"/>
              </w:rPr>
              <w:tab/>
            </w:r>
            <w:r w:rsidRPr="005E1C4C">
              <w:rPr>
                <w:rStyle w:val="Hyperlink"/>
              </w:rPr>
              <w:t>Inleiding</w:t>
            </w:r>
            <w:r>
              <w:rPr>
                <w:webHidden/>
              </w:rPr>
              <w:tab/>
            </w:r>
            <w:r>
              <w:rPr>
                <w:webHidden/>
              </w:rPr>
              <w:fldChar w:fldCharType="begin"/>
            </w:r>
            <w:r>
              <w:rPr>
                <w:webHidden/>
              </w:rPr>
              <w:instrText xml:space="preserve"> PAGEREF _Toc205383353 \h </w:instrText>
            </w:r>
            <w:r>
              <w:rPr>
                <w:webHidden/>
              </w:rPr>
            </w:r>
            <w:r>
              <w:rPr>
                <w:webHidden/>
              </w:rPr>
              <w:fldChar w:fldCharType="separate"/>
            </w:r>
            <w:r>
              <w:rPr>
                <w:webHidden/>
              </w:rPr>
              <w:t>37</w:t>
            </w:r>
            <w:r>
              <w:rPr>
                <w:webHidden/>
              </w:rPr>
              <w:fldChar w:fldCharType="end"/>
            </w:r>
          </w:hyperlink>
        </w:p>
        <w:p w:rsidR="003B5F2E" w:rsidRDefault="003B5F2E" w14:paraId="7A7CA572" w14:textId="7DD96973">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4">
            <w:r w:rsidRPr="005E1C4C">
              <w:rPr>
                <w:rStyle w:val="Hyperlink"/>
              </w:rPr>
              <w:t>7.2</w:t>
            </w:r>
            <w:r>
              <w:rPr>
                <w:rFonts w:asciiTheme="minorHAnsi" w:hAnsiTheme="minorHAnsi" w:eastAsiaTheme="minorEastAsia" w:cstheme="minorBidi"/>
                <w:kern w:val="2"/>
                <w:sz w:val="24"/>
                <w:szCs w:val="24"/>
                <w14:ligatures w14:val="standardContextual"/>
              </w:rPr>
              <w:tab/>
            </w:r>
            <w:r w:rsidRPr="005E1C4C">
              <w:rPr>
                <w:rStyle w:val="Hyperlink"/>
              </w:rPr>
              <w:t>Bevoegdheid de beroepsactiviteiten uit te voeren</w:t>
            </w:r>
            <w:r>
              <w:rPr>
                <w:webHidden/>
              </w:rPr>
              <w:tab/>
            </w:r>
            <w:r>
              <w:rPr>
                <w:webHidden/>
              </w:rPr>
              <w:fldChar w:fldCharType="begin"/>
            </w:r>
            <w:r>
              <w:rPr>
                <w:webHidden/>
              </w:rPr>
              <w:instrText xml:space="preserve"> PAGEREF _Toc205383354 \h </w:instrText>
            </w:r>
            <w:r>
              <w:rPr>
                <w:webHidden/>
              </w:rPr>
            </w:r>
            <w:r>
              <w:rPr>
                <w:webHidden/>
              </w:rPr>
              <w:fldChar w:fldCharType="separate"/>
            </w:r>
            <w:r>
              <w:rPr>
                <w:webHidden/>
              </w:rPr>
              <w:t>37</w:t>
            </w:r>
            <w:r>
              <w:rPr>
                <w:webHidden/>
              </w:rPr>
              <w:fldChar w:fldCharType="end"/>
            </w:r>
          </w:hyperlink>
        </w:p>
        <w:p w:rsidR="003B5F2E" w:rsidRDefault="003B5F2E" w14:paraId="1AE3F336" w14:textId="1B2B2EBB">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5">
            <w:r w:rsidRPr="005E1C4C">
              <w:rPr>
                <w:rStyle w:val="Hyperlink"/>
              </w:rPr>
              <w:t>7.3</w:t>
            </w:r>
            <w:r>
              <w:rPr>
                <w:rFonts w:asciiTheme="minorHAnsi" w:hAnsiTheme="minorHAnsi" w:eastAsiaTheme="minorEastAsia" w:cstheme="minorBidi"/>
                <w:kern w:val="2"/>
                <w:sz w:val="24"/>
                <w:szCs w:val="24"/>
                <w14:ligatures w14:val="standardContextual"/>
              </w:rPr>
              <w:tab/>
            </w:r>
            <w:r w:rsidRPr="005E1C4C">
              <w:rPr>
                <w:rStyle w:val="Hyperlink"/>
              </w:rPr>
              <w:t>Financiële en economische draagkracht</w:t>
            </w:r>
            <w:r>
              <w:rPr>
                <w:webHidden/>
              </w:rPr>
              <w:tab/>
            </w:r>
            <w:r>
              <w:rPr>
                <w:webHidden/>
              </w:rPr>
              <w:fldChar w:fldCharType="begin"/>
            </w:r>
            <w:r>
              <w:rPr>
                <w:webHidden/>
              </w:rPr>
              <w:instrText xml:space="preserve"> PAGEREF _Toc205383355 \h </w:instrText>
            </w:r>
            <w:r>
              <w:rPr>
                <w:webHidden/>
              </w:rPr>
            </w:r>
            <w:r>
              <w:rPr>
                <w:webHidden/>
              </w:rPr>
              <w:fldChar w:fldCharType="separate"/>
            </w:r>
            <w:r>
              <w:rPr>
                <w:webHidden/>
              </w:rPr>
              <w:t>38</w:t>
            </w:r>
            <w:r>
              <w:rPr>
                <w:webHidden/>
              </w:rPr>
              <w:fldChar w:fldCharType="end"/>
            </w:r>
          </w:hyperlink>
        </w:p>
        <w:p w:rsidR="003B5F2E" w:rsidRDefault="003B5F2E" w14:paraId="35F62E91" w14:textId="0B8B88B5">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6">
            <w:r w:rsidRPr="005E1C4C">
              <w:rPr>
                <w:rStyle w:val="Hyperlink"/>
              </w:rPr>
              <w:t>7.4</w:t>
            </w:r>
            <w:r>
              <w:rPr>
                <w:rFonts w:asciiTheme="minorHAnsi" w:hAnsiTheme="minorHAnsi" w:eastAsiaTheme="minorEastAsia" w:cstheme="minorBidi"/>
                <w:kern w:val="2"/>
                <w:sz w:val="24"/>
                <w:szCs w:val="24"/>
                <w14:ligatures w14:val="standardContextual"/>
              </w:rPr>
              <w:tab/>
            </w:r>
            <w:r w:rsidRPr="005E1C4C">
              <w:rPr>
                <w:rStyle w:val="Hyperlink"/>
              </w:rPr>
              <w:t>Technische bekwaamheid en beroepsbekwaamheid</w:t>
            </w:r>
            <w:r>
              <w:rPr>
                <w:webHidden/>
              </w:rPr>
              <w:tab/>
            </w:r>
            <w:r>
              <w:rPr>
                <w:webHidden/>
              </w:rPr>
              <w:fldChar w:fldCharType="begin"/>
            </w:r>
            <w:r>
              <w:rPr>
                <w:webHidden/>
              </w:rPr>
              <w:instrText xml:space="preserve"> PAGEREF _Toc205383356 \h </w:instrText>
            </w:r>
            <w:r>
              <w:rPr>
                <w:webHidden/>
              </w:rPr>
            </w:r>
            <w:r>
              <w:rPr>
                <w:webHidden/>
              </w:rPr>
              <w:fldChar w:fldCharType="separate"/>
            </w:r>
            <w:r>
              <w:rPr>
                <w:webHidden/>
              </w:rPr>
              <w:t>39</w:t>
            </w:r>
            <w:r>
              <w:rPr>
                <w:webHidden/>
              </w:rPr>
              <w:fldChar w:fldCharType="end"/>
            </w:r>
          </w:hyperlink>
        </w:p>
        <w:p w:rsidR="003B5F2E" w:rsidRDefault="003B5F2E" w14:paraId="4065433F" w14:textId="70F15448">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7">
            <w:r w:rsidRPr="005E1C4C">
              <w:rPr>
                <w:rStyle w:val="Hyperlink"/>
              </w:rPr>
              <w:t>7.5</w:t>
            </w:r>
            <w:r>
              <w:rPr>
                <w:rFonts w:asciiTheme="minorHAnsi" w:hAnsiTheme="minorHAnsi" w:eastAsiaTheme="minorEastAsia" w:cstheme="minorBidi"/>
                <w:kern w:val="2"/>
                <w:sz w:val="24"/>
                <w:szCs w:val="24"/>
                <w14:ligatures w14:val="standardContextual"/>
              </w:rPr>
              <w:tab/>
            </w:r>
            <w:r w:rsidRPr="005E1C4C">
              <w:rPr>
                <w:rStyle w:val="Hyperlink"/>
              </w:rPr>
              <w:t>Kwaliteitsmanagementsysteem</w:t>
            </w:r>
            <w:r>
              <w:rPr>
                <w:webHidden/>
              </w:rPr>
              <w:tab/>
            </w:r>
            <w:r>
              <w:rPr>
                <w:webHidden/>
              </w:rPr>
              <w:fldChar w:fldCharType="begin"/>
            </w:r>
            <w:r>
              <w:rPr>
                <w:webHidden/>
              </w:rPr>
              <w:instrText xml:space="preserve"> PAGEREF _Toc205383357 \h </w:instrText>
            </w:r>
            <w:r>
              <w:rPr>
                <w:webHidden/>
              </w:rPr>
            </w:r>
            <w:r>
              <w:rPr>
                <w:webHidden/>
              </w:rPr>
              <w:fldChar w:fldCharType="separate"/>
            </w:r>
            <w:r>
              <w:rPr>
                <w:webHidden/>
              </w:rPr>
              <w:t>41</w:t>
            </w:r>
            <w:r>
              <w:rPr>
                <w:webHidden/>
              </w:rPr>
              <w:fldChar w:fldCharType="end"/>
            </w:r>
          </w:hyperlink>
        </w:p>
        <w:p w:rsidR="003B5F2E" w:rsidRDefault="003B5F2E" w14:paraId="07D1A82C" w14:textId="7AD05AFE">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58">
            <w:r w:rsidRPr="005E1C4C">
              <w:rPr>
                <w:rStyle w:val="Hyperlink"/>
              </w:rPr>
              <w:t>7.6</w:t>
            </w:r>
            <w:r>
              <w:rPr>
                <w:rFonts w:asciiTheme="minorHAnsi" w:hAnsiTheme="minorHAnsi" w:eastAsiaTheme="minorEastAsia" w:cstheme="minorBidi"/>
                <w:kern w:val="2"/>
                <w:sz w:val="24"/>
                <w:szCs w:val="24"/>
                <w14:ligatures w14:val="standardContextual"/>
              </w:rPr>
              <w:tab/>
            </w:r>
            <w:r w:rsidRPr="005E1C4C">
              <w:rPr>
                <w:rStyle w:val="Hyperlink"/>
              </w:rPr>
              <w:t>Informatiebeveiliging</w:t>
            </w:r>
            <w:r>
              <w:rPr>
                <w:webHidden/>
              </w:rPr>
              <w:tab/>
            </w:r>
            <w:r>
              <w:rPr>
                <w:webHidden/>
              </w:rPr>
              <w:fldChar w:fldCharType="begin"/>
            </w:r>
            <w:r>
              <w:rPr>
                <w:webHidden/>
              </w:rPr>
              <w:instrText xml:space="preserve"> PAGEREF _Toc205383358 \h </w:instrText>
            </w:r>
            <w:r>
              <w:rPr>
                <w:webHidden/>
              </w:rPr>
            </w:r>
            <w:r>
              <w:rPr>
                <w:webHidden/>
              </w:rPr>
              <w:fldChar w:fldCharType="separate"/>
            </w:r>
            <w:r>
              <w:rPr>
                <w:webHidden/>
              </w:rPr>
              <w:t>43</w:t>
            </w:r>
            <w:r>
              <w:rPr>
                <w:webHidden/>
              </w:rPr>
              <w:fldChar w:fldCharType="end"/>
            </w:r>
          </w:hyperlink>
        </w:p>
        <w:p w:rsidR="003B5F2E" w:rsidRDefault="003B5F2E" w14:paraId="112D6320" w14:textId="77F4C9FA">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59">
            <w:r w:rsidRPr="005E1C4C">
              <w:rPr>
                <w:rStyle w:val="Hyperlink"/>
              </w:rPr>
              <w:t>8</w:t>
            </w:r>
            <w:r>
              <w:rPr>
                <w:rFonts w:asciiTheme="minorHAnsi" w:hAnsiTheme="minorHAnsi" w:eastAsiaTheme="minorEastAsia" w:cstheme="minorBidi"/>
                <w:b w:val="0"/>
                <w:kern w:val="2"/>
                <w:sz w:val="24"/>
                <w:szCs w:val="24"/>
                <w14:ligatures w14:val="standardContextual"/>
              </w:rPr>
              <w:tab/>
            </w:r>
            <w:r w:rsidRPr="005E1C4C">
              <w:rPr>
                <w:rStyle w:val="Hyperlink"/>
              </w:rPr>
              <w:t>Minimumeisen</w:t>
            </w:r>
            <w:r>
              <w:rPr>
                <w:webHidden/>
              </w:rPr>
              <w:tab/>
            </w:r>
            <w:r>
              <w:rPr>
                <w:webHidden/>
              </w:rPr>
              <w:fldChar w:fldCharType="begin"/>
            </w:r>
            <w:r>
              <w:rPr>
                <w:webHidden/>
              </w:rPr>
              <w:instrText xml:space="preserve"> PAGEREF _Toc205383359 \h </w:instrText>
            </w:r>
            <w:r>
              <w:rPr>
                <w:webHidden/>
              </w:rPr>
            </w:r>
            <w:r>
              <w:rPr>
                <w:webHidden/>
              </w:rPr>
              <w:fldChar w:fldCharType="separate"/>
            </w:r>
            <w:r>
              <w:rPr>
                <w:webHidden/>
              </w:rPr>
              <w:t>45</w:t>
            </w:r>
            <w:r>
              <w:rPr>
                <w:webHidden/>
              </w:rPr>
              <w:fldChar w:fldCharType="end"/>
            </w:r>
          </w:hyperlink>
        </w:p>
        <w:p w:rsidR="003B5F2E" w:rsidRDefault="003B5F2E" w14:paraId="15406C83" w14:textId="577031B0">
          <w:pPr>
            <w:pStyle w:val="Inhopg1"/>
            <w:tabs>
              <w:tab w:val="right" w:pos="8211"/>
            </w:tabs>
            <w:rPr>
              <w:rFonts w:asciiTheme="minorHAnsi" w:hAnsiTheme="minorHAnsi" w:eastAsiaTheme="minorEastAsia" w:cstheme="minorBidi"/>
              <w:b w:val="0"/>
              <w:kern w:val="2"/>
              <w:sz w:val="24"/>
              <w:szCs w:val="24"/>
              <w14:ligatures w14:val="standardContextual"/>
            </w:rPr>
          </w:pPr>
          <w:hyperlink w:history="1" w:anchor="_Toc205383360">
            <w:r w:rsidRPr="005E1C4C">
              <w:rPr>
                <w:rStyle w:val="Hyperlink"/>
              </w:rPr>
              <w:t>9</w:t>
            </w:r>
            <w:r>
              <w:rPr>
                <w:rFonts w:asciiTheme="minorHAnsi" w:hAnsiTheme="minorHAnsi" w:eastAsiaTheme="minorEastAsia" w:cstheme="minorBidi"/>
                <w:b w:val="0"/>
                <w:kern w:val="2"/>
                <w:sz w:val="24"/>
                <w:szCs w:val="24"/>
                <w14:ligatures w14:val="standardContextual"/>
              </w:rPr>
              <w:tab/>
            </w:r>
            <w:r w:rsidRPr="005E1C4C">
              <w:rPr>
                <w:rStyle w:val="Hyperlink"/>
              </w:rPr>
              <w:t>Gunningscriteria en beoordeling</w:t>
            </w:r>
            <w:r>
              <w:rPr>
                <w:webHidden/>
              </w:rPr>
              <w:tab/>
            </w:r>
            <w:r>
              <w:rPr>
                <w:webHidden/>
              </w:rPr>
              <w:fldChar w:fldCharType="begin"/>
            </w:r>
            <w:r>
              <w:rPr>
                <w:webHidden/>
              </w:rPr>
              <w:instrText xml:space="preserve"> PAGEREF _Toc205383360 \h </w:instrText>
            </w:r>
            <w:r>
              <w:rPr>
                <w:webHidden/>
              </w:rPr>
            </w:r>
            <w:r>
              <w:rPr>
                <w:webHidden/>
              </w:rPr>
              <w:fldChar w:fldCharType="separate"/>
            </w:r>
            <w:r>
              <w:rPr>
                <w:webHidden/>
              </w:rPr>
              <w:t>46</w:t>
            </w:r>
            <w:r>
              <w:rPr>
                <w:webHidden/>
              </w:rPr>
              <w:fldChar w:fldCharType="end"/>
            </w:r>
          </w:hyperlink>
        </w:p>
        <w:p w:rsidR="003B5F2E" w:rsidRDefault="003B5F2E" w14:paraId="638FA5AB" w14:textId="57E9D205">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61">
            <w:r w:rsidRPr="005E1C4C">
              <w:rPr>
                <w:rStyle w:val="Hyperlink"/>
              </w:rPr>
              <w:t>9.1</w:t>
            </w:r>
            <w:r>
              <w:rPr>
                <w:rFonts w:asciiTheme="minorHAnsi" w:hAnsiTheme="minorHAnsi" w:eastAsiaTheme="minorEastAsia" w:cstheme="minorBidi"/>
                <w:kern w:val="2"/>
                <w:sz w:val="24"/>
                <w:szCs w:val="24"/>
                <w14:ligatures w14:val="standardContextual"/>
              </w:rPr>
              <w:tab/>
            </w:r>
            <w:r w:rsidRPr="005E1C4C">
              <w:rPr>
                <w:rStyle w:val="Hyperlink"/>
              </w:rPr>
              <w:t>Gunningscriterium</w:t>
            </w:r>
            <w:r>
              <w:rPr>
                <w:webHidden/>
              </w:rPr>
              <w:tab/>
            </w:r>
            <w:r>
              <w:rPr>
                <w:webHidden/>
              </w:rPr>
              <w:fldChar w:fldCharType="begin"/>
            </w:r>
            <w:r>
              <w:rPr>
                <w:webHidden/>
              </w:rPr>
              <w:instrText xml:space="preserve"> PAGEREF _Toc205383361 \h </w:instrText>
            </w:r>
            <w:r>
              <w:rPr>
                <w:webHidden/>
              </w:rPr>
            </w:r>
            <w:r>
              <w:rPr>
                <w:webHidden/>
              </w:rPr>
              <w:fldChar w:fldCharType="separate"/>
            </w:r>
            <w:r>
              <w:rPr>
                <w:webHidden/>
              </w:rPr>
              <w:t>46</w:t>
            </w:r>
            <w:r>
              <w:rPr>
                <w:webHidden/>
              </w:rPr>
              <w:fldChar w:fldCharType="end"/>
            </w:r>
          </w:hyperlink>
        </w:p>
        <w:p w:rsidR="003B5F2E" w:rsidRDefault="003B5F2E" w14:paraId="18D38749" w14:textId="4B0A3792">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62">
            <w:r w:rsidRPr="005E1C4C">
              <w:rPr>
                <w:rStyle w:val="Hyperlink"/>
              </w:rPr>
              <w:t>9.2</w:t>
            </w:r>
            <w:r>
              <w:rPr>
                <w:rFonts w:asciiTheme="minorHAnsi" w:hAnsiTheme="minorHAnsi" w:eastAsiaTheme="minorEastAsia" w:cstheme="minorBidi"/>
                <w:kern w:val="2"/>
                <w:sz w:val="24"/>
                <w:szCs w:val="24"/>
                <w14:ligatures w14:val="standardContextual"/>
              </w:rPr>
              <w:tab/>
            </w:r>
            <w:r w:rsidRPr="005E1C4C">
              <w:rPr>
                <w:rStyle w:val="Hyperlink"/>
              </w:rPr>
              <w:t>Gunningscriteria</w:t>
            </w:r>
            <w:r>
              <w:rPr>
                <w:webHidden/>
              </w:rPr>
              <w:tab/>
            </w:r>
            <w:r>
              <w:rPr>
                <w:webHidden/>
              </w:rPr>
              <w:fldChar w:fldCharType="begin"/>
            </w:r>
            <w:r>
              <w:rPr>
                <w:webHidden/>
              </w:rPr>
              <w:instrText xml:space="preserve"> PAGEREF _Toc205383362 \h </w:instrText>
            </w:r>
            <w:r>
              <w:rPr>
                <w:webHidden/>
              </w:rPr>
            </w:r>
            <w:r>
              <w:rPr>
                <w:webHidden/>
              </w:rPr>
              <w:fldChar w:fldCharType="separate"/>
            </w:r>
            <w:r>
              <w:rPr>
                <w:webHidden/>
              </w:rPr>
              <w:t>47</w:t>
            </w:r>
            <w:r>
              <w:rPr>
                <w:webHidden/>
              </w:rPr>
              <w:fldChar w:fldCharType="end"/>
            </w:r>
          </w:hyperlink>
        </w:p>
        <w:p w:rsidR="003B5F2E" w:rsidRDefault="003B5F2E" w14:paraId="05F9C028" w14:textId="1CCBED21">
          <w:pPr>
            <w:pStyle w:val="Inhopg2"/>
            <w:tabs>
              <w:tab w:val="right" w:pos="8211"/>
            </w:tabs>
            <w:rPr>
              <w:rFonts w:asciiTheme="minorHAnsi" w:hAnsiTheme="minorHAnsi" w:eastAsiaTheme="minorEastAsia" w:cstheme="minorBidi"/>
              <w:kern w:val="2"/>
              <w:sz w:val="24"/>
              <w:szCs w:val="24"/>
              <w14:ligatures w14:val="standardContextual"/>
            </w:rPr>
          </w:pPr>
          <w:hyperlink w:history="1" w:anchor="_Toc205383363">
            <w:r w:rsidRPr="005E1C4C">
              <w:rPr>
                <w:rStyle w:val="Hyperlink"/>
              </w:rPr>
              <w:t>9.3</w:t>
            </w:r>
            <w:r>
              <w:rPr>
                <w:rFonts w:asciiTheme="minorHAnsi" w:hAnsiTheme="minorHAnsi" w:eastAsiaTheme="minorEastAsia" w:cstheme="minorBidi"/>
                <w:kern w:val="2"/>
                <w:sz w:val="24"/>
                <w:szCs w:val="24"/>
                <w14:ligatures w14:val="standardContextual"/>
              </w:rPr>
              <w:tab/>
            </w:r>
            <w:r w:rsidRPr="005E1C4C">
              <w:rPr>
                <w:rStyle w:val="Hyperlink"/>
              </w:rPr>
              <w:t>Beoordelingskader- en proces</w:t>
            </w:r>
            <w:r>
              <w:rPr>
                <w:webHidden/>
              </w:rPr>
              <w:tab/>
            </w:r>
            <w:r>
              <w:rPr>
                <w:webHidden/>
              </w:rPr>
              <w:fldChar w:fldCharType="begin"/>
            </w:r>
            <w:r>
              <w:rPr>
                <w:webHidden/>
              </w:rPr>
              <w:instrText xml:space="preserve"> PAGEREF _Toc205383363 \h </w:instrText>
            </w:r>
            <w:r>
              <w:rPr>
                <w:webHidden/>
              </w:rPr>
            </w:r>
            <w:r>
              <w:rPr>
                <w:webHidden/>
              </w:rPr>
              <w:fldChar w:fldCharType="separate"/>
            </w:r>
            <w:r>
              <w:rPr>
                <w:webHidden/>
              </w:rPr>
              <w:t>52</w:t>
            </w:r>
            <w:r>
              <w:rPr>
                <w:webHidden/>
              </w:rPr>
              <w:fldChar w:fldCharType="end"/>
            </w:r>
          </w:hyperlink>
        </w:p>
        <w:p w:rsidR="003B5F2E" w:rsidRDefault="003B5F2E" w14:paraId="594D80B1" w14:textId="0D82FCBD">
          <w:pPr>
            <w:pStyle w:val="Inhopg4"/>
            <w:rPr>
              <w:rFonts w:asciiTheme="minorHAnsi" w:hAnsiTheme="minorHAnsi" w:eastAsiaTheme="minorEastAsia" w:cstheme="minorBidi"/>
              <w:b w:val="0"/>
              <w:kern w:val="2"/>
              <w:sz w:val="24"/>
              <w:szCs w:val="24"/>
              <w14:ligatures w14:val="standardContextual"/>
            </w:rPr>
          </w:pPr>
          <w:hyperlink w:history="1" w:anchor="_Toc205383364">
            <w:r w:rsidRPr="005E1C4C">
              <w:rPr>
                <w:rStyle w:val="Hyperlink"/>
              </w:rPr>
              <w:t>Bijlage 1 Overzicht bijlagen</w:t>
            </w:r>
            <w:r>
              <w:rPr>
                <w:webHidden/>
              </w:rPr>
              <w:tab/>
            </w:r>
            <w:r>
              <w:rPr>
                <w:webHidden/>
              </w:rPr>
              <w:fldChar w:fldCharType="begin"/>
            </w:r>
            <w:r>
              <w:rPr>
                <w:webHidden/>
              </w:rPr>
              <w:instrText xml:space="preserve"> PAGEREF _Toc205383364 \h </w:instrText>
            </w:r>
            <w:r>
              <w:rPr>
                <w:webHidden/>
              </w:rPr>
            </w:r>
            <w:r>
              <w:rPr>
                <w:webHidden/>
              </w:rPr>
              <w:fldChar w:fldCharType="separate"/>
            </w:r>
            <w:r>
              <w:rPr>
                <w:webHidden/>
              </w:rPr>
              <w:t>56</w:t>
            </w:r>
            <w:r>
              <w:rPr>
                <w:webHidden/>
              </w:rPr>
              <w:fldChar w:fldCharType="end"/>
            </w:r>
          </w:hyperlink>
        </w:p>
        <w:p w:rsidR="004F5307" w:rsidRDefault="004F5307" w14:paraId="7606826B" w14:textId="0D4EEF0E">
          <w:r>
            <w:rPr>
              <w:b/>
              <w:noProof/>
            </w:rPr>
            <w:fldChar w:fldCharType="end"/>
          </w:r>
        </w:p>
      </w:sdtContent>
    </w:sdt>
    <w:p w:rsidRPr="00440375" w:rsidR="006D49B1" w:rsidRDefault="006D49B1" w14:paraId="72C63CB4" w14:textId="77777777">
      <w:r w:rsidRPr="00440375">
        <w:br w:type="page"/>
      </w:r>
    </w:p>
    <w:p w:rsidR="007E1137" w:rsidP="007E1137" w:rsidRDefault="001B6203" w14:paraId="3A13ACB8" w14:textId="77777777">
      <w:pPr>
        <w:pStyle w:val="Kop1"/>
      </w:pPr>
      <w:bookmarkStart w:name="_Toc205383304" w:id="0"/>
      <w:r>
        <w:t>Begrippenlijst</w:t>
      </w:r>
      <w:bookmarkEnd w:id="0"/>
    </w:p>
    <w:p w:rsidRPr="00555C9B" w:rsidR="001B6203" w:rsidP="001B6203" w:rsidRDefault="001B6203" w14:paraId="1FD5D4E7" w14:textId="77777777">
      <w:pPr>
        <w:suppressAutoHyphens/>
      </w:pPr>
      <w:r w:rsidRPr="00555C9B">
        <w:t>Termen die in dit Beschrijvend Document met een hoofdletter beginnen, hebben de hiernavolgende betekenis. Termen die niet in deze begrippenlijst zijn vermeld, maar wel zijn gedefinieerd in de Aanbestedingswet hebben de betekenis conform de Aanbestedingswet.</w:t>
      </w:r>
    </w:p>
    <w:p w:rsidRPr="00555C9B" w:rsidR="001B6203" w:rsidP="001B6203" w:rsidRDefault="001B6203" w14:paraId="69557563" w14:textId="77777777">
      <w:pPr>
        <w:suppressAutoHyphens/>
        <w:rPr>
          <w:u w:val="single"/>
        </w:rPr>
      </w:pPr>
    </w:p>
    <w:p w:rsidRPr="00555C9B" w:rsidR="001B6203" w:rsidP="001B6203" w:rsidRDefault="001B6203" w14:paraId="0E853E25" w14:textId="77777777">
      <w:pPr>
        <w:suppressAutoHyphens/>
        <w:rPr>
          <w:b/>
          <w:bCs/>
        </w:rPr>
      </w:pPr>
      <w:r w:rsidRPr="00555C9B">
        <w:rPr>
          <w:b/>
          <w:bCs/>
        </w:rPr>
        <w:t>Aanbestedingsstukken</w:t>
      </w:r>
    </w:p>
    <w:p w:rsidRPr="00555C9B" w:rsidR="001B6203" w:rsidP="001B6203" w:rsidRDefault="001B6203" w14:paraId="28ADC97D" w14:textId="77777777">
      <w:pPr>
        <w:suppressAutoHyphens/>
      </w:pPr>
      <w:r w:rsidRPr="00555C9B">
        <w:t xml:space="preserve">Alle stukken die door de Aanbestedende Dienst in de aanbestedingsprocedure zijn gebracht, waaronder tevens de aankondiging van de </w:t>
      </w:r>
      <w:r>
        <w:t>O</w:t>
      </w:r>
      <w:r w:rsidRPr="00555C9B">
        <w:t>pdracht en de Nota’s van Inlichtingen.</w:t>
      </w:r>
    </w:p>
    <w:p w:rsidRPr="00555C9B" w:rsidR="001B6203" w:rsidP="001B6203" w:rsidRDefault="001B6203" w14:paraId="2E179528" w14:textId="77777777">
      <w:pPr>
        <w:suppressAutoHyphens/>
        <w:rPr>
          <w:u w:val="single"/>
        </w:rPr>
      </w:pPr>
    </w:p>
    <w:p w:rsidRPr="00555C9B" w:rsidR="001B6203" w:rsidP="001B6203" w:rsidRDefault="001B6203" w14:paraId="59C1E3B7" w14:textId="77777777">
      <w:pPr>
        <w:suppressAutoHyphens/>
        <w:rPr>
          <w:b/>
        </w:rPr>
      </w:pPr>
      <w:bookmarkStart w:name="_Hlk535838951" w:id="1"/>
      <w:r w:rsidRPr="00555C9B">
        <w:rPr>
          <w:b/>
        </w:rPr>
        <w:t>Aanbestedingswet</w:t>
      </w:r>
    </w:p>
    <w:p w:rsidRPr="00555C9B" w:rsidR="001B6203" w:rsidP="001B6203" w:rsidRDefault="001B6203" w14:paraId="7E49C88E" w14:textId="77777777">
      <w:pPr>
        <w:suppressAutoHyphens/>
        <w:rPr>
          <w:u w:val="single"/>
        </w:rPr>
      </w:pPr>
      <w:r w:rsidRPr="00555C9B">
        <w:t xml:space="preserve">Aanbestedingswet 2012. </w:t>
      </w:r>
      <w:r w:rsidRPr="00555C9B">
        <w:rPr>
          <w:rFonts w:cs="Arial,Bold"/>
          <w:bCs/>
        </w:rPr>
        <w:t xml:space="preserve">De Aanbestedingswet kan worden geraadpleegd op </w:t>
      </w:r>
      <w:hyperlink w:history="1" r:id="rId11">
        <w:r w:rsidRPr="00555C9B">
          <w:rPr>
            <w:rStyle w:val="Hyperlink"/>
            <w:rFonts w:cs="Arial,Bold"/>
            <w:bCs/>
          </w:rPr>
          <w:t>wetten.overheid.nl</w:t>
        </w:r>
      </w:hyperlink>
      <w:r w:rsidRPr="00555C9B">
        <w:rPr>
          <w:rFonts w:cs="Arial,Bold"/>
          <w:bCs/>
        </w:rPr>
        <w:t>.</w:t>
      </w:r>
    </w:p>
    <w:bookmarkEnd w:id="1"/>
    <w:p w:rsidRPr="00555C9B" w:rsidR="001B6203" w:rsidP="001B6203" w:rsidRDefault="001B6203" w14:paraId="6F9FF10F" w14:textId="77777777">
      <w:pPr>
        <w:suppressAutoHyphens/>
        <w:rPr>
          <w:b/>
        </w:rPr>
      </w:pPr>
    </w:p>
    <w:p w:rsidRPr="00555C9B" w:rsidR="001B6203" w:rsidP="001B6203" w:rsidRDefault="001B6203" w14:paraId="65EFC7DB" w14:textId="77777777">
      <w:pPr>
        <w:suppressAutoHyphens/>
        <w:rPr>
          <w:b/>
        </w:rPr>
      </w:pPr>
      <w:r w:rsidRPr="00555C9B">
        <w:rPr>
          <w:b/>
        </w:rPr>
        <w:t>Aanbestedende Dienst</w:t>
      </w:r>
    </w:p>
    <w:p w:rsidR="001B6203" w:rsidP="001B6203" w:rsidRDefault="001B6203" w14:paraId="3AD2FCB1" w14:textId="09E79C1C">
      <w:pPr>
        <w:suppressAutoHyphens/>
      </w:pPr>
      <w:r w:rsidRPr="00555C9B">
        <w:t xml:space="preserve">Het </w:t>
      </w:r>
      <w:r>
        <w:t>Nederlands Instituut Publieke Veiligheid (NIPV)</w:t>
      </w:r>
      <w:r w:rsidR="00003F4F">
        <w:t>.</w:t>
      </w:r>
    </w:p>
    <w:p w:rsidR="007A494A" w:rsidP="001B6203" w:rsidRDefault="007A494A" w14:paraId="777251D3" w14:textId="77777777">
      <w:pPr>
        <w:suppressAutoHyphens/>
      </w:pPr>
    </w:p>
    <w:p w:rsidRPr="00B630A7" w:rsidR="007A494A" w:rsidP="007A494A" w:rsidRDefault="007A494A" w14:paraId="2BD297B9" w14:textId="77777777">
      <w:pPr>
        <w:suppressAutoHyphens/>
        <w:rPr>
          <w:b/>
          <w:bCs/>
        </w:rPr>
      </w:pPr>
      <w:r>
        <w:rPr>
          <w:b/>
          <w:bCs/>
        </w:rPr>
        <w:t>Bescheiden</w:t>
      </w:r>
    </w:p>
    <w:p w:rsidRPr="00AB01EA" w:rsidR="007A494A" w:rsidP="007A494A" w:rsidRDefault="007A494A" w14:paraId="49136AAD" w14:textId="77777777">
      <w:pPr>
        <w:suppressAutoHyphens/>
      </w:pPr>
      <w:r w:rsidRPr="00AB01EA">
        <w:t xml:space="preserve">De Inschrijving (waaronder het Prijzenblad), het Beschrijvend Document (inclusief bijlagen), de Nota‘s van Inlichtingen, het Verslag Verificatiebespreking en alle andere Bijlagen en documenten die in het kader van deze aanbesteding zijn opgesteld.  </w:t>
      </w:r>
    </w:p>
    <w:p w:rsidRPr="00555C9B" w:rsidR="001B6203" w:rsidP="001B6203" w:rsidRDefault="001B6203" w14:paraId="4B34EDDD" w14:textId="77777777">
      <w:pPr>
        <w:suppressAutoHyphens/>
        <w:rPr>
          <w:u w:val="single"/>
        </w:rPr>
      </w:pPr>
    </w:p>
    <w:p w:rsidRPr="00555C9B" w:rsidR="001B6203" w:rsidP="001B6203" w:rsidRDefault="001B6203" w14:paraId="48960FC6" w14:textId="77777777">
      <w:pPr>
        <w:suppressAutoHyphens/>
        <w:rPr>
          <w:b/>
        </w:rPr>
      </w:pPr>
      <w:r w:rsidRPr="00555C9B">
        <w:rPr>
          <w:b/>
        </w:rPr>
        <w:t>Beschrijvend Document</w:t>
      </w:r>
    </w:p>
    <w:p w:rsidRPr="00555C9B" w:rsidR="001B6203" w:rsidP="001B6203" w:rsidRDefault="001B6203" w14:paraId="3FE80CA0" w14:textId="77777777">
      <w:pPr>
        <w:suppressAutoHyphens/>
      </w:pPr>
      <w:r w:rsidRPr="00555C9B">
        <w:t>Het onderhavige document met inbegrip van de bijlagen.</w:t>
      </w:r>
    </w:p>
    <w:p w:rsidRPr="00555C9B" w:rsidR="001B6203" w:rsidP="001B6203" w:rsidRDefault="001B6203" w14:paraId="44392CF8" w14:textId="77777777">
      <w:pPr>
        <w:suppressAutoHyphens/>
      </w:pPr>
    </w:p>
    <w:p w:rsidRPr="00D226ED" w:rsidR="00845995" w:rsidP="001B6203" w:rsidRDefault="00D226ED" w14:paraId="433CBD55" w14:textId="5385C5D8">
      <w:pPr>
        <w:suppressAutoHyphens/>
        <w:rPr>
          <w:b/>
        </w:rPr>
      </w:pPr>
      <w:r w:rsidRPr="00D226ED">
        <w:rPr>
          <w:b/>
        </w:rPr>
        <w:t>Bewezen dataplatform</w:t>
      </w:r>
    </w:p>
    <w:p w:rsidR="00D226ED" w:rsidP="001B6203" w:rsidRDefault="00A47B7E" w14:paraId="04E98F5F" w14:textId="46A4F33E">
      <w:pPr>
        <w:suppressAutoHyphens/>
      </w:pPr>
      <w:r w:rsidRPr="00A47B7E">
        <w:t xml:space="preserve">Een </w:t>
      </w:r>
      <w:r>
        <w:t>dataplatform dat</w:t>
      </w:r>
      <w:r w:rsidRPr="00A47B7E">
        <w:t xml:space="preserve"> al door meerdere organisaties succesvol gebruikt wordt in de praktijk. </w:t>
      </w:r>
    </w:p>
    <w:p w:rsidRPr="00555C9B" w:rsidR="00845995" w:rsidP="001B6203" w:rsidRDefault="00845995" w14:paraId="6236C6F1" w14:textId="77777777">
      <w:pPr>
        <w:suppressAutoHyphens/>
      </w:pPr>
    </w:p>
    <w:p w:rsidRPr="007A7A77" w:rsidR="007A7A77" w:rsidP="001B6203" w:rsidRDefault="007A7A77" w14:paraId="16D28BA7" w14:textId="31359A85">
      <w:pPr>
        <w:suppressAutoHyphens/>
        <w:rPr>
          <w:b/>
          <w:bCs/>
        </w:rPr>
      </w:pPr>
      <w:r w:rsidRPr="007A7A77">
        <w:rPr>
          <w:b/>
          <w:bCs/>
        </w:rPr>
        <w:t>Cloud-based oplossing</w:t>
      </w:r>
    </w:p>
    <w:p w:rsidR="007A7A77" w:rsidP="001B6203" w:rsidRDefault="001C6BB0" w14:paraId="6B5471AA" w14:textId="013EA060">
      <w:pPr>
        <w:suppressAutoHyphens/>
      </w:pPr>
      <w:r w:rsidRPr="001C6BB0">
        <w:t>Cloud-based oplossingen bestaan uit componenten die niet per se voor de cloud zijn ontwikkeld, maar wel in een cloud-omgeving worden geïnstalleerd.</w:t>
      </w:r>
    </w:p>
    <w:p w:rsidR="007A7A77" w:rsidP="001B6203" w:rsidRDefault="007A7A77" w14:paraId="7C886509" w14:textId="77777777">
      <w:pPr>
        <w:suppressAutoHyphens/>
      </w:pPr>
    </w:p>
    <w:p w:rsidRPr="007A7A77" w:rsidR="007A7A77" w:rsidP="001B6203" w:rsidRDefault="007A7A77" w14:paraId="635C2AE9" w14:textId="0FE3073C">
      <w:pPr>
        <w:suppressAutoHyphens/>
        <w:rPr>
          <w:b/>
          <w:bCs/>
        </w:rPr>
      </w:pPr>
      <w:r w:rsidRPr="007A7A77">
        <w:rPr>
          <w:b/>
          <w:bCs/>
        </w:rPr>
        <w:t>Cloud-native oplossing</w:t>
      </w:r>
    </w:p>
    <w:p w:rsidR="007A7A77" w:rsidP="001B6203" w:rsidRDefault="00E551C6" w14:paraId="22B2CDB8" w14:textId="75603537">
      <w:pPr>
        <w:suppressAutoHyphens/>
      </w:pPr>
      <w:r w:rsidRPr="00E551C6">
        <w:t>Cloud-native oplossingen zijn ontworpen en gebouwd om optimaal te profiteren van de schaal, rekbaarheid, veerkracht en flexibiliteit die de cloud biedt. Deze oplossingen zijn specifiek voor gebruik in de cloud ontwikkeld.</w:t>
      </w:r>
    </w:p>
    <w:p w:rsidRPr="00555C9B" w:rsidR="007A7A77" w:rsidP="001B6203" w:rsidRDefault="007A7A77" w14:paraId="269C49C9" w14:textId="77777777">
      <w:pPr>
        <w:suppressAutoHyphens/>
      </w:pPr>
    </w:p>
    <w:p w:rsidRPr="00DD4F70" w:rsidR="00A414D4" w:rsidP="001B6203" w:rsidRDefault="00A414D4" w14:paraId="7424B919" w14:textId="0C982F70">
      <w:pPr>
        <w:suppressAutoHyphens/>
        <w:rPr>
          <w:b/>
          <w:bCs/>
        </w:rPr>
      </w:pPr>
      <w:r w:rsidRPr="00DD4F70">
        <w:rPr>
          <w:b/>
          <w:bCs/>
        </w:rPr>
        <w:t>Data4OOV</w:t>
      </w:r>
    </w:p>
    <w:p w:rsidR="00A414D4" w:rsidP="001B6203" w:rsidRDefault="00DD4F70" w14:paraId="27D947F8" w14:textId="1DE42AB5">
      <w:pPr>
        <w:suppressAutoHyphens/>
      </w:pPr>
      <w:r w:rsidRPr="00DD4F70">
        <w:t>DATA4OOV is de landelijke datavoorziening voor de veiligheidsregio’s. De voorziening biedt GEO-informatie en business intelligence-data. Deze gegevens vormen input voor datagedreven werken, onderzoek en analyse. Ze ondersteunen de (operationele) werkprocessen van brandweerzorg en crisisbeheersing.</w:t>
      </w:r>
    </w:p>
    <w:p w:rsidR="00A414D4" w:rsidP="001B6203" w:rsidRDefault="00A414D4" w14:paraId="40F16644" w14:textId="77777777">
      <w:pPr>
        <w:suppressAutoHyphens/>
      </w:pPr>
    </w:p>
    <w:p w:rsidRPr="00555C9B" w:rsidR="001B6203" w:rsidP="001B6203" w:rsidRDefault="001B6203" w14:paraId="607EED93" w14:textId="77777777">
      <w:pPr>
        <w:suppressAutoHyphens/>
        <w:rPr>
          <w:b/>
        </w:rPr>
      </w:pPr>
      <w:bookmarkStart w:name="_Hlk47101881" w:id="2"/>
      <w:r w:rsidRPr="00555C9B">
        <w:rPr>
          <w:b/>
        </w:rPr>
        <w:t>Inkoopvoorwaarden</w:t>
      </w:r>
    </w:p>
    <w:p w:rsidRPr="00555C9B" w:rsidR="001B6203" w:rsidP="001B6203" w:rsidRDefault="001B6203" w14:paraId="68CCDDC4" w14:textId="77777777">
      <w:pPr>
        <w:suppressAutoHyphens/>
        <w:ind w:right="-426"/>
      </w:pPr>
      <w:r w:rsidRPr="00555C9B">
        <w:t>De Algemene Rijksinkoopvoorwaarden bij IT-overeenkomsten 20</w:t>
      </w:r>
      <w:r w:rsidR="00DE39DE">
        <w:t>22</w:t>
      </w:r>
      <w:r w:rsidRPr="00555C9B">
        <w:t xml:space="preserve"> (ARBIT-20</w:t>
      </w:r>
      <w:r w:rsidR="00DE39DE">
        <w:t>22</w:t>
      </w:r>
      <w:r w:rsidRPr="00555C9B">
        <w:t xml:space="preserve">) (bijlage 4). </w:t>
      </w:r>
    </w:p>
    <w:bookmarkEnd w:id="2"/>
    <w:p w:rsidRPr="00555C9B" w:rsidR="001B6203" w:rsidP="001B6203" w:rsidRDefault="001B6203" w14:paraId="16648D36" w14:textId="77777777">
      <w:pPr>
        <w:suppressAutoHyphens/>
        <w:rPr>
          <w:u w:val="single"/>
        </w:rPr>
      </w:pPr>
    </w:p>
    <w:p w:rsidRPr="00555C9B" w:rsidR="001B6203" w:rsidP="001B6203" w:rsidRDefault="001B6203" w14:paraId="2A89FE66" w14:textId="77777777">
      <w:pPr>
        <w:suppressAutoHyphens/>
        <w:rPr>
          <w:b/>
        </w:rPr>
      </w:pPr>
      <w:bookmarkStart w:name="_Hlk535839280" w:id="3"/>
      <w:r w:rsidRPr="00555C9B">
        <w:rPr>
          <w:b/>
        </w:rPr>
        <w:t>Inschrijver</w:t>
      </w:r>
    </w:p>
    <w:bookmarkEnd w:id="3"/>
    <w:p w:rsidR="001B6203" w:rsidP="001B6203" w:rsidRDefault="001E7A50" w14:paraId="0AF16839" w14:textId="77777777">
      <w:pPr>
        <w:suppressAutoHyphens/>
      </w:pPr>
      <w:r>
        <w:t>E</w:t>
      </w:r>
      <w:r w:rsidRPr="001E7A50">
        <w:t xml:space="preserve">en ondernemer die een </w:t>
      </w:r>
      <w:r>
        <w:t>I</w:t>
      </w:r>
      <w:r w:rsidRPr="001E7A50">
        <w:t>nschrijving heeft ingediend</w:t>
      </w:r>
      <w:r>
        <w:t>.</w:t>
      </w:r>
    </w:p>
    <w:p w:rsidRPr="00555C9B" w:rsidR="001E7A50" w:rsidP="001B6203" w:rsidRDefault="001E7A50" w14:paraId="6A380C06" w14:textId="77777777">
      <w:pPr>
        <w:suppressAutoHyphens/>
        <w:rPr>
          <w:u w:val="single"/>
        </w:rPr>
      </w:pPr>
    </w:p>
    <w:p w:rsidRPr="00555C9B" w:rsidR="001B6203" w:rsidP="001B6203" w:rsidRDefault="001B6203" w14:paraId="033240AA" w14:textId="09D7F577">
      <w:pPr>
        <w:suppressAutoHyphens/>
        <w:rPr>
          <w:u w:val="single"/>
        </w:rPr>
      </w:pPr>
      <w:bookmarkStart w:name="_Hlk535839354" w:id="4"/>
      <w:r w:rsidRPr="00555C9B">
        <w:rPr>
          <w:b/>
        </w:rPr>
        <w:t>Inschrijving</w:t>
      </w:r>
    </w:p>
    <w:p w:rsidRPr="00555C9B" w:rsidR="001B6203" w:rsidP="001B6203" w:rsidRDefault="001B6203" w14:paraId="39E75E40" w14:textId="77777777">
      <w:pPr>
        <w:suppressAutoHyphens/>
        <w:rPr>
          <w:u w:val="single"/>
        </w:rPr>
      </w:pPr>
      <w:r w:rsidRPr="00555C9B">
        <w:t xml:space="preserve">De </w:t>
      </w:r>
      <w:r w:rsidR="00537530">
        <w:t>inschrijving</w:t>
      </w:r>
      <w:r w:rsidRPr="00555C9B">
        <w:t xml:space="preserve"> die is ingediend door een Inschrijver in het kader van de onderhavige aanbestedingsprocedure.</w:t>
      </w:r>
    </w:p>
    <w:p w:rsidR="001B6203" w:rsidP="001B6203" w:rsidRDefault="001B6203" w14:paraId="7C178255" w14:textId="77777777">
      <w:pPr>
        <w:suppressAutoHyphens/>
        <w:rPr>
          <w:b/>
        </w:rPr>
      </w:pPr>
      <w:bookmarkStart w:name="_Hlk535839451" w:id="5"/>
      <w:bookmarkEnd w:id="4"/>
    </w:p>
    <w:p w:rsidR="00201139" w:rsidP="001B6203" w:rsidRDefault="00201139" w14:paraId="6AD08236" w14:textId="2F8A77A1">
      <w:pPr>
        <w:suppressAutoHyphens/>
        <w:rPr>
          <w:b/>
        </w:rPr>
      </w:pPr>
      <w:r>
        <w:rPr>
          <w:b/>
        </w:rPr>
        <w:t>Metadata, gevalideerde metadata</w:t>
      </w:r>
    </w:p>
    <w:p w:rsidRPr="00201139" w:rsidR="00201139" w:rsidP="00201139" w:rsidRDefault="00201139" w14:paraId="7DF94980" w14:textId="77777777">
      <w:pPr>
        <w:suppressAutoHyphens/>
        <w:rPr>
          <w:bCs/>
        </w:rPr>
      </w:pPr>
      <w:r w:rsidRPr="00201139">
        <w:rPr>
          <w:bCs/>
        </w:rPr>
        <w:t xml:space="preserve">Metadata zijn gegevens die de karakteristieken van de data beschrijven. </w:t>
      </w:r>
    </w:p>
    <w:p w:rsidRPr="00201139" w:rsidR="00201139" w:rsidP="00201139" w:rsidRDefault="00201139" w14:paraId="5C8E5274" w14:textId="69293319">
      <w:pPr>
        <w:suppressAutoHyphens/>
        <w:rPr>
          <w:bCs/>
        </w:rPr>
      </w:pPr>
      <w:r w:rsidRPr="00201139">
        <w:rPr>
          <w:bCs/>
        </w:rPr>
        <w:t>Het valideren van de metadata staat garant voor een gegarandeerde en geaccepteerde kwaliteit van de metadata.</w:t>
      </w:r>
    </w:p>
    <w:p w:rsidR="00201139" w:rsidP="001B6203" w:rsidRDefault="00201139" w14:paraId="477F33FF" w14:textId="77777777">
      <w:pPr>
        <w:suppressAutoHyphens/>
        <w:rPr>
          <w:b/>
        </w:rPr>
      </w:pPr>
    </w:p>
    <w:p w:rsidRPr="00555C9B" w:rsidR="00374788" w:rsidP="00374788" w:rsidRDefault="00374788" w14:paraId="2CEFF9DB" w14:textId="22629475">
      <w:pPr>
        <w:suppressAutoHyphens/>
        <w:rPr>
          <w:b/>
        </w:rPr>
      </w:pPr>
      <w:r>
        <w:rPr>
          <w:b/>
        </w:rPr>
        <w:t>NIPV</w:t>
      </w:r>
    </w:p>
    <w:p w:rsidRPr="00555C9B" w:rsidR="00374788" w:rsidP="00374788" w:rsidRDefault="00374788" w14:paraId="0D510D85" w14:textId="77777777">
      <w:pPr>
        <w:suppressAutoHyphens/>
      </w:pPr>
      <w:r w:rsidRPr="00555C9B">
        <w:t xml:space="preserve">Het </w:t>
      </w:r>
      <w:r>
        <w:t xml:space="preserve">Nederlands </w:t>
      </w:r>
      <w:r w:rsidRPr="00555C9B">
        <w:t xml:space="preserve">Instituut </w:t>
      </w:r>
      <w:r>
        <w:t>Publ</w:t>
      </w:r>
      <w:r w:rsidRPr="00555C9B">
        <w:t>ieke Veiligheid.</w:t>
      </w:r>
    </w:p>
    <w:p w:rsidRPr="00555C9B" w:rsidR="00374788" w:rsidP="001B6203" w:rsidRDefault="00374788" w14:paraId="79805B50" w14:textId="77777777">
      <w:pPr>
        <w:suppressAutoHyphens/>
        <w:rPr>
          <w:b/>
        </w:rPr>
      </w:pPr>
    </w:p>
    <w:p w:rsidRPr="00555C9B" w:rsidR="001B6203" w:rsidP="001B6203" w:rsidRDefault="001B6203" w14:paraId="4C3C0E83" w14:textId="77777777">
      <w:pPr>
        <w:suppressAutoHyphens/>
        <w:rPr>
          <w:b/>
        </w:rPr>
      </w:pPr>
      <w:r w:rsidRPr="00555C9B">
        <w:rPr>
          <w:b/>
        </w:rPr>
        <w:t>Nota(‘s) van Inlichtingen</w:t>
      </w:r>
    </w:p>
    <w:p w:rsidRPr="00555C9B" w:rsidR="001B6203" w:rsidP="001B6203" w:rsidRDefault="001B6203" w14:paraId="37059A92" w14:textId="77777777">
      <w:pPr>
        <w:suppressAutoHyphens/>
        <w:rPr>
          <w:b/>
        </w:rPr>
      </w:pPr>
      <w:r w:rsidRPr="00555C9B">
        <w:t xml:space="preserve">Het document/de documenten met door potentiële Inschrijvers gestelde en door de Aanbestedende Dienst geanonimiseerde vragen over de aanbestedingsprocedure en de </w:t>
      </w:r>
      <w:r>
        <w:t>A</w:t>
      </w:r>
      <w:r w:rsidRPr="00555C9B">
        <w:t>anbestedingsstukken, inclusief de antwoorden van de Aanbestedende Dienst op deze vragen.</w:t>
      </w:r>
    </w:p>
    <w:p w:rsidRPr="00555C9B" w:rsidR="001B6203" w:rsidP="001B6203" w:rsidRDefault="001B6203" w14:paraId="6D07AADA" w14:textId="77777777">
      <w:pPr>
        <w:suppressAutoHyphens/>
      </w:pPr>
    </w:p>
    <w:p w:rsidRPr="00555C9B" w:rsidR="001B6203" w:rsidP="001B6203" w:rsidRDefault="001B6203" w14:paraId="5A3268E7" w14:textId="77777777">
      <w:pPr>
        <w:suppressAutoHyphens/>
        <w:rPr>
          <w:b/>
        </w:rPr>
      </w:pPr>
      <w:r w:rsidRPr="00555C9B">
        <w:rPr>
          <w:b/>
        </w:rPr>
        <w:t>Opdracht</w:t>
      </w:r>
    </w:p>
    <w:p w:rsidRPr="00555C9B" w:rsidR="001B6203" w:rsidP="001B6203" w:rsidRDefault="001B6203" w14:paraId="5AEF3B8F" w14:textId="77777777">
      <w:pPr>
        <w:suppressAutoHyphens/>
      </w:pPr>
      <w:r w:rsidRPr="00555C9B">
        <w:t>De opdracht zoals beschreven in de Aanbestedingsstukken.</w:t>
      </w:r>
    </w:p>
    <w:p w:rsidRPr="00555C9B" w:rsidR="001B6203" w:rsidP="001B6203" w:rsidRDefault="001B6203" w14:paraId="26CCCE64" w14:textId="77777777">
      <w:pPr>
        <w:suppressAutoHyphens/>
      </w:pPr>
    </w:p>
    <w:p w:rsidRPr="00555C9B" w:rsidR="001B6203" w:rsidP="001B6203" w:rsidRDefault="001B6203" w14:paraId="1A16AC52" w14:textId="77777777">
      <w:pPr>
        <w:suppressAutoHyphens/>
        <w:rPr>
          <w:b/>
        </w:rPr>
      </w:pPr>
      <w:r w:rsidRPr="00555C9B">
        <w:rPr>
          <w:b/>
        </w:rPr>
        <w:t>Opdrachtgever</w:t>
      </w:r>
    </w:p>
    <w:p w:rsidRPr="00555C9B" w:rsidR="001B6203" w:rsidP="001B6203" w:rsidRDefault="001B6203" w14:paraId="72DD7F08" w14:textId="1960D518">
      <w:pPr>
        <w:suppressAutoHyphens/>
      </w:pPr>
      <w:r w:rsidRPr="00555C9B">
        <w:t xml:space="preserve">Het </w:t>
      </w:r>
      <w:r>
        <w:t>Nederlands Instituut Publieke Veiligheid (NIPV)</w:t>
      </w:r>
      <w:r w:rsidRPr="00555C9B">
        <w:t xml:space="preserve"> en de Veiligheidsregio’s</w:t>
      </w:r>
    </w:p>
    <w:p w:rsidRPr="00555C9B" w:rsidR="001B6203" w:rsidP="001B6203" w:rsidRDefault="001B6203" w14:paraId="365F4D6B" w14:textId="77777777">
      <w:pPr>
        <w:suppressAutoHyphens/>
      </w:pPr>
    </w:p>
    <w:p w:rsidRPr="00555C9B" w:rsidR="001B6203" w:rsidP="001B6203" w:rsidRDefault="001B6203" w14:paraId="0129D0ED" w14:textId="77777777">
      <w:pPr>
        <w:suppressAutoHyphens/>
        <w:rPr>
          <w:b/>
        </w:rPr>
      </w:pPr>
      <w:r w:rsidRPr="00555C9B">
        <w:rPr>
          <w:b/>
        </w:rPr>
        <w:t>Opdrachtnemer</w:t>
      </w:r>
    </w:p>
    <w:p w:rsidRPr="00555C9B" w:rsidR="001B6203" w:rsidP="001B6203" w:rsidRDefault="001B6203" w14:paraId="3C40B96A" w14:textId="77777777">
      <w:pPr>
        <w:suppressAutoHyphens/>
        <w:rPr>
          <w:b/>
        </w:rPr>
      </w:pPr>
      <w:r w:rsidRPr="00555C9B">
        <w:t>De Inschrijver(s) aan wie de Opdracht gegund is (zijn) en met wie Opdrachtgever de Overeenkomst(en) heeft gesloten.</w:t>
      </w:r>
    </w:p>
    <w:p w:rsidRPr="00555C9B" w:rsidR="001B6203" w:rsidP="001B6203" w:rsidRDefault="001B6203" w14:paraId="68B9AB3D" w14:textId="77777777">
      <w:pPr>
        <w:suppressAutoHyphens/>
        <w:rPr>
          <w:u w:val="single"/>
        </w:rPr>
      </w:pPr>
    </w:p>
    <w:p w:rsidRPr="00555C9B" w:rsidR="001B6203" w:rsidP="001B6203" w:rsidRDefault="001B6203" w14:paraId="35EB35CD" w14:textId="77777777">
      <w:pPr>
        <w:suppressAutoHyphens/>
        <w:rPr>
          <w:b/>
        </w:rPr>
      </w:pPr>
      <w:r w:rsidRPr="00555C9B">
        <w:rPr>
          <w:b/>
        </w:rPr>
        <w:t>Programma van Eisen</w:t>
      </w:r>
    </w:p>
    <w:p w:rsidRPr="00555C9B" w:rsidR="001B6203" w:rsidP="001B6203" w:rsidRDefault="001B6203" w14:paraId="1B7BCFDE" w14:textId="2B017A15">
      <w:pPr>
        <w:suppressAutoHyphens/>
      </w:pPr>
      <w:r w:rsidRPr="00555C9B">
        <w:t>Het programma van eisen waaraan het uitgevraagde product, de uitgevraagde dienst moet voldoen (bijlage 7). Het betreffen zogenaamde uitvoeringsvoorwaarden, tenzij uitdrukkelijk anderszins weergegeven.</w:t>
      </w:r>
    </w:p>
    <w:p w:rsidRPr="00555C9B" w:rsidR="001B6203" w:rsidP="001B6203" w:rsidRDefault="001B6203" w14:paraId="77E23BAE" w14:textId="77777777">
      <w:pPr>
        <w:suppressAutoHyphens/>
      </w:pPr>
    </w:p>
    <w:p w:rsidRPr="00555C9B" w:rsidR="001B6203" w:rsidP="001B6203" w:rsidRDefault="00FC7240" w14:paraId="3D187FB7" w14:textId="0F0BB438">
      <w:pPr>
        <w:suppressAutoHyphens/>
        <w:rPr>
          <w:b/>
          <w:bCs/>
        </w:rPr>
      </w:pPr>
      <w:r>
        <w:rPr>
          <w:b/>
          <w:bCs/>
        </w:rPr>
        <w:t>O</w:t>
      </w:r>
      <w:r w:rsidRPr="00FC7240" w:rsidR="001B6203">
        <w:rPr>
          <w:b/>
          <w:bCs/>
        </w:rPr>
        <w:t>vereenkomst</w:t>
      </w:r>
    </w:p>
    <w:p w:rsidRPr="00555C9B" w:rsidR="001B6203" w:rsidP="001B6203" w:rsidRDefault="001B6203" w14:paraId="6FE872E8" w14:textId="75B1ACDE">
      <w:pPr>
        <w:suppressAutoHyphens/>
      </w:pPr>
      <w:r w:rsidRPr="00555C9B">
        <w:t>De overeenkomst met inbegrip van eventuele bijlagen, die als resultaat van deze aanbestedingsprocedure met één Opdrachtnemer zal worden gesloten voor de Opdracht.</w:t>
      </w:r>
    </w:p>
    <w:p w:rsidRPr="00555C9B" w:rsidR="001B6203" w:rsidP="001B6203" w:rsidRDefault="001B6203" w14:paraId="438D2FE8" w14:textId="77777777">
      <w:pPr>
        <w:suppressAutoHyphens/>
        <w:rPr>
          <w:b/>
        </w:rPr>
      </w:pPr>
    </w:p>
    <w:p w:rsidRPr="00555C9B" w:rsidR="001B6203" w:rsidP="001B6203" w:rsidRDefault="001B6203" w14:paraId="64C333E5" w14:textId="007931EB">
      <w:pPr>
        <w:suppressAutoHyphens/>
      </w:pPr>
      <w:bookmarkStart w:name="_Hlk535845743" w:id="6"/>
      <w:bookmarkStart w:name="_Hlk527367662" w:id="7"/>
      <w:r w:rsidRPr="00555C9B">
        <w:rPr>
          <w:b/>
        </w:rPr>
        <w:t>Samenwerkingsverband</w:t>
      </w:r>
      <w:r w:rsidR="00CE56DD">
        <w:rPr>
          <w:b/>
        </w:rPr>
        <w:t xml:space="preserve"> </w:t>
      </w:r>
      <w:r w:rsidR="00CC308F">
        <w:rPr>
          <w:b/>
        </w:rPr>
        <w:t>(Combinatie)</w:t>
      </w:r>
      <w:bookmarkStart w:name="_Hlk528656193" w:id="8"/>
      <w:r w:rsidRPr="00555C9B">
        <w:t>Twee of meer ondernemers die gezamenlijk een Inschrijving indienen.</w:t>
      </w:r>
    </w:p>
    <w:bookmarkEnd w:id="5"/>
    <w:bookmarkEnd w:id="6"/>
    <w:p w:rsidRPr="00555C9B" w:rsidR="001B6203" w:rsidP="001B6203" w:rsidRDefault="001B6203" w14:paraId="2FAACBA8" w14:textId="77777777">
      <w:pPr>
        <w:suppressAutoHyphens/>
        <w:rPr>
          <w:b/>
        </w:rPr>
      </w:pPr>
      <w:r w:rsidRPr="00555C9B">
        <w:rPr>
          <w:b/>
        </w:rPr>
        <w:t xml:space="preserve"> </w:t>
      </w:r>
      <w:r w:rsidRPr="00555C9B">
        <w:rPr>
          <w:rFonts w:cs="Arial"/>
          <w:sz w:val="17"/>
          <w:szCs w:val="17"/>
        </w:rPr>
        <w:br/>
      </w:r>
      <w:bookmarkEnd w:id="7"/>
      <w:bookmarkEnd w:id="8"/>
      <w:r w:rsidRPr="00555C9B">
        <w:rPr>
          <w:b/>
        </w:rPr>
        <w:t>TenderNed</w:t>
      </w:r>
    </w:p>
    <w:p w:rsidRPr="00555C9B" w:rsidR="001B6203" w:rsidP="001B6203" w:rsidRDefault="001B6203" w14:paraId="4653C259" w14:textId="77777777">
      <w:pPr>
        <w:suppressAutoHyphens/>
        <w:rPr>
          <w:b/>
        </w:rPr>
      </w:pPr>
      <w:r w:rsidRPr="00555C9B">
        <w:t>Het digitale online aanbestedingsplatform waarvan voor de gehele aanbestedingsprocedure gebruik wordt gemaakt.</w:t>
      </w:r>
    </w:p>
    <w:p w:rsidRPr="00555C9B" w:rsidR="001B6203" w:rsidP="001B6203" w:rsidRDefault="001B6203" w14:paraId="1653B3C4" w14:textId="77777777">
      <w:pPr>
        <w:suppressAutoHyphens/>
        <w:rPr>
          <w:u w:val="single"/>
        </w:rPr>
      </w:pPr>
    </w:p>
    <w:p w:rsidRPr="00555C9B" w:rsidR="001B6203" w:rsidP="001B6203" w:rsidRDefault="001B6203" w14:paraId="24241B1B" w14:textId="77777777">
      <w:pPr>
        <w:suppressAutoHyphens/>
        <w:rPr>
          <w:b/>
        </w:rPr>
      </w:pPr>
      <w:r w:rsidRPr="00555C9B">
        <w:rPr>
          <w:b/>
        </w:rPr>
        <w:t>UEA</w:t>
      </w:r>
    </w:p>
    <w:p w:rsidR="007E7670" w:rsidP="007E7670" w:rsidRDefault="007E7670" w14:paraId="52AA8FEE" w14:textId="77777777">
      <w:pPr>
        <w:suppressAutoHyphens/>
      </w:pPr>
      <w:r w:rsidRPr="00833390">
        <w:t xml:space="preserve">Het Uniform Europees Aanbestedingsdocument </w:t>
      </w:r>
      <w:r>
        <w:t>welke als volledig geïntegreerde wizard beschikbaar is in TenderNed.</w:t>
      </w:r>
    </w:p>
    <w:p w:rsidRPr="00555C9B" w:rsidR="001B6203" w:rsidP="001B6203" w:rsidRDefault="001B6203" w14:paraId="02D243C4" w14:textId="77777777">
      <w:pPr>
        <w:suppressAutoHyphens/>
      </w:pPr>
    </w:p>
    <w:p w:rsidRPr="00555C9B" w:rsidR="001B6203" w:rsidP="001B6203" w:rsidRDefault="001B6203" w14:paraId="27AB8122" w14:textId="77777777">
      <w:pPr>
        <w:suppressAutoHyphens/>
      </w:pPr>
    </w:p>
    <w:p w:rsidRPr="00555C9B" w:rsidR="001B6203" w:rsidP="001B6203" w:rsidRDefault="001B6203" w14:paraId="1BA430E9" w14:textId="77777777">
      <w:pPr>
        <w:suppressAutoHyphens/>
      </w:pPr>
    </w:p>
    <w:p w:rsidR="001B6203" w:rsidP="001B6203" w:rsidRDefault="001B6203" w14:paraId="04F50CA0" w14:textId="77777777">
      <w:pPr>
        <w:suppressAutoHyphens/>
      </w:pPr>
    </w:p>
    <w:p w:rsidR="001B6203" w:rsidRDefault="001B6203" w14:paraId="47F20F85" w14:textId="77777777">
      <w:r>
        <w:br w:type="page"/>
      </w:r>
    </w:p>
    <w:p w:rsidR="001B6203" w:rsidP="001B6203" w:rsidRDefault="001B6203" w14:paraId="2C4A4067" w14:textId="77777777">
      <w:pPr>
        <w:pStyle w:val="Kop1"/>
      </w:pPr>
      <w:bookmarkStart w:name="_Toc205383305" w:id="9"/>
      <w:r>
        <w:t>Aanbestedende Dienst</w:t>
      </w:r>
      <w:bookmarkEnd w:id="9"/>
    </w:p>
    <w:p w:rsidR="001B6203" w:rsidP="001B6203" w:rsidRDefault="001B6203" w14:paraId="37957627" w14:textId="77777777">
      <w:pPr>
        <w:pStyle w:val="Kop2"/>
      </w:pPr>
      <w:bookmarkStart w:name="_Toc205383306" w:id="10"/>
      <w:r>
        <w:t>Aanbestedende Dienst</w:t>
      </w:r>
      <w:bookmarkEnd w:id="10"/>
    </w:p>
    <w:p w:rsidR="001B6203" w:rsidP="001B6203" w:rsidRDefault="001B6203" w14:paraId="7BE27BA0" w14:textId="7FC8123C">
      <w:r w:rsidRPr="00555C9B">
        <w:t xml:space="preserve">De Aanbestedende Dienst is </w:t>
      </w:r>
      <w:r w:rsidR="007A494A">
        <w:t>het Nederlands Instituut voor Publieke Veiligheid (het NIPV).</w:t>
      </w:r>
    </w:p>
    <w:p w:rsidR="001B6203" w:rsidP="001B6203" w:rsidRDefault="001B6203" w14:paraId="3AAD9193" w14:textId="77777777"/>
    <w:p w:rsidR="001B6203" w:rsidP="001B6203" w:rsidRDefault="001B6203" w14:paraId="2FB69656" w14:textId="77777777">
      <w:pPr>
        <w:pStyle w:val="Kop2"/>
      </w:pPr>
      <w:bookmarkStart w:name="_Toc205383307" w:id="11"/>
      <w:r>
        <w:t>Nederlands Instituut Publieke Veiligheid</w:t>
      </w:r>
      <w:bookmarkEnd w:id="11"/>
    </w:p>
    <w:p w:rsidR="000F71E3" w:rsidP="000F71E3" w:rsidRDefault="000F71E3" w14:paraId="0038119D" w14:textId="77777777">
      <w:pPr>
        <w:rPr>
          <w:rFonts w:cs="Arial"/>
        </w:rPr>
      </w:pPr>
      <w:bookmarkStart w:name="_Hlk35515471" w:id="12"/>
      <w:r w:rsidRPr="00AB6A96">
        <w:rPr>
          <w:rFonts w:cs="Arial"/>
        </w:rPr>
        <w:t>Het Nederlands Instituut Publieke Veiligheid is het publieke kennisinstituut voor een veilig en veerkrachtig Nederland. Wij voeren onafhankelijk en integer praktijkgericht onderzoek uit op het gebied van brandweerzorg en crisisbeheersing. De kennis die daaruit voortvloeit, vertalen we in kennisintensieve dienstverlening voor en met onze partners in veiligheid. We ontwikkelen en verbinden daarbij kennis, systemen, mensen en middelen. Zo fungeert het NIPV als een daadkrachtig kennis- en expertisecentrum dat verbinding aanbrengt tussen de veiligheidsregio’s, Rijksoverheid en crisispartners onderling. We versterken deze partners in het veiligheidsdomein met onderzoek, onderwijs, ondersteuning en informatie die nodig zijn bij het uitvoeren van de opgaven waar zij voor staan.</w:t>
      </w:r>
      <w:r>
        <w:rPr>
          <w:rFonts w:cs="Arial"/>
        </w:rPr>
        <w:t xml:space="preserve"> </w:t>
      </w:r>
      <w:r w:rsidRPr="5B4E6683">
        <w:rPr>
          <w:rFonts w:cs="Arial"/>
          <w:lang w:eastAsia="en-US"/>
        </w:rPr>
        <w:t xml:space="preserve">Zie voor meer informatie over het NIPV: </w:t>
      </w:r>
      <w:hyperlink r:id="rId12">
        <w:r w:rsidRPr="5B4E6683">
          <w:rPr>
            <w:rStyle w:val="Hyperlink"/>
            <w:rFonts w:cs="Arial"/>
            <w:lang w:eastAsia="en-US"/>
          </w:rPr>
          <w:t>www.nipv.nl</w:t>
        </w:r>
      </w:hyperlink>
      <w:r w:rsidRPr="5B4E6683">
        <w:rPr>
          <w:rFonts w:cs="Arial"/>
          <w:lang w:eastAsia="en-US"/>
        </w:rPr>
        <w:t xml:space="preserve">. </w:t>
      </w:r>
    </w:p>
    <w:p w:rsidR="008D45BD" w:rsidP="008D45BD" w:rsidRDefault="008D45BD" w14:paraId="4C322ABB" w14:textId="77777777">
      <w:pPr>
        <w:rPr>
          <w:rFonts w:cs="Arial"/>
        </w:rPr>
      </w:pPr>
    </w:p>
    <w:p w:rsidRPr="007A494A" w:rsidR="008D45BD" w:rsidP="008D45BD" w:rsidRDefault="008D45BD" w14:paraId="3B9E278B" w14:textId="28DAF420">
      <w:pPr>
        <w:pStyle w:val="Kop2"/>
      </w:pPr>
      <w:bookmarkStart w:name="_Toc205383308" w:id="13"/>
      <w:r>
        <w:t xml:space="preserve">Het team </w:t>
      </w:r>
      <w:r w:rsidR="009E7220">
        <w:t>datateam Informatie- en Dataservices</w:t>
      </w:r>
      <w:bookmarkEnd w:id="13"/>
    </w:p>
    <w:p w:rsidR="001909DC" w:rsidP="4D94ACF1" w:rsidRDefault="70B2546F" w14:paraId="2F1D54F6" w14:textId="10EFDFF2">
      <w:r w:rsidRPr="4D94ACF1">
        <w:rPr>
          <w:rFonts w:eastAsia="Arial" w:cs="Arial"/>
        </w:rPr>
        <w:t xml:space="preserve">DATA4OOV is een landelijke datavoorziening voor de gehele sector Openbare Orde en </w:t>
      </w:r>
      <w:r w:rsidR="00EF6951">
        <w:rPr>
          <w:rFonts w:eastAsia="Arial" w:cs="Arial"/>
        </w:rPr>
        <w:t>V</w:t>
      </w:r>
      <w:r w:rsidRPr="4D94ACF1">
        <w:rPr>
          <w:rFonts w:eastAsia="Arial" w:cs="Arial"/>
        </w:rPr>
        <w:t xml:space="preserve">eiligheid. De voorziening levert diverse diensten, zoals: dashboarding, geo-webservices en de levering van kwalitatief hoogwaardige data, informatie en inzichten. </w:t>
      </w:r>
    </w:p>
    <w:p w:rsidR="001909DC" w:rsidP="4D94ACF1" w:rsidRDefault="70B2546F" w14:paraId="7836156B" w14:textId="2DA69C81">
      <w:r w:rsidRPr="4D94ACF1">
        <w:rPr>
          <w:rFonts w:eastAsia="Arial" w:cs="Arial"/>
        </w:rPr>
        <w:t xml:space="preserve"> </w:t>
      </w:r>
    </w:p>
    <w:p w:rsidR="001909DC" w:rsidP="4D94ACF1" w:rsidRDefault="70B2546F" w14:paraId="1EDFB3E2" w14:textId="5D6EFE36">
      <w:r w:rsidRPr="4D94ACF1">
        <w:rPr>
          <w:rFonts w:eastAsia="Arial" w:cs="Arial"/>
        </w:rPr>
        <w:t>DATA4OOV biedt landelijke, betrouwbare databronnen</w:t>
      </w:r>
      <w:r w:rsidR="00686EB3">
        <w:rPr>
          <w:rFonts w:eastAsia="Arial" w:cs="Arial"/>
        </w:rPr>
        <w:t xml:space="preserve"> t</w:t>
      </w:r>
      <w:r w:rsidRPr="4D94ACF1">
        <w:rPr>
          <w:rFonts w:eastAsia="Arial" w:cs="Arial"/>
        </w:rPr>
        <w:t>er ondersteuning van de processen in brandweerzorg en crisisbeheersing. Bij crisisbeheersing gaat het om alle fases:</w:t>
      </w:r>
    </w:p>
    <w:p w:rsidR="001909DC" w:rsidP="00B608AB" w:rsidRDefault="70B2546F" w14:paraId="53462303" w14:textId="65DCB302">
      <w:pPr>
        <w:pStyle w:val="Lijstalinea"/>
        <w:numPr>
          <w:ilvl w:val="0"/>
          <w:numId w:val="34"/>
        </w:numPr>
        <w:rPr>
          <w:rFonts w:eastAsia="Arial" w:cs="Arial"/>
        </w:rPr>
      </w:pPr>
      <w:r w:rsidRPr="4D94ACF1">
        <w:rPr>
          <w:rFonts w:eastAsia="Arial" w:cs="Arial"/>
        </w:rPr>
        <w:t>de koude fase (kwetsbaarheden),</w:t>
      </w:r>
    </w:p>
    <w:p w:rsidR="001909DC" w:rsidP="00B608AB" w:rsidRDefault="70B2546F" w14:paraId="19B2350F" w14:textId="56EA59FA">
      <w:pPr>
        <w:pStyle w:val="Lijstalinea"/>
        <w:numPr>
          <w:ilvl w:val="0"/>
          <w:numId w:val="34"/>
        </w:numPr>
        <w:rPr>
          <w:rFonts w:eastAsia="Arial" w:cs="Arial"/>
        </w:rPr>
      </w:pPr>
      <w:r w:rsidRPr="4D94ACF1">
        <w:rPr>
          <w:rFonts w:eastAsia="Arial" w:cs="Arial"/>
        </w:rPr>
        <w:t>de lauwe fase (dreigingen)</w:t>
      </w:r>
      <w:r w:rsidR="00CC6678">
        <w:rPr>
          <w:rFonts w:eastAsia="Arial" w:cs="Arial"/>
        </w:rPr>
        <w:t>,</w:t>
      </w:r>
    </w:p>
    <w:p w:rsidR="001909DC" w:rsidP="00B608AB" w:rsidRDefault="70B2546F" w14:paraId="4315D800" w14:textId="79B3F67F">
      <w:pPr>
        <w:pStyle w:val="Lijstalinea"/>
        <w:numPr>
          <w:ilvl w:val="0"/>
          <w:numId w:val="34"/>
        </w:numPr>
        <w:rPr>
          <w:rFonts w:eastAsia="Arial" w:cs="Arial"/>
        </w:rPr>
      </w:pPr>
      <w:r w:rsidRPr="4D94ACF1">
        <w:rPr>
          <w:rFonts w:eastAsia="Arial" w:cs="Arial"/>
        </w:rPr>
        <w:t>de warme fase (incidenten).</w:t>
      </w:r>
    </w:p>
    <w:p w:rsidR="001909DC" w:rsidP="4D94ACF1" w:rsidRDefault="70B2546F" w14:paraId="65A778D5" w14:textId="6DE58918">
      <w:r w:rsidRPr="4D94ACF1">
        <w:rPr>
          <w:rFonts w:eastAsia="Arial" w:cs="Arial"/>
        </w:rPr>
        <w:t xml:space="preserve"> </w:t>
      </w:r>
    </w:p>
    <w:p w:rsidR="001909DC" w:rsidP="4D94ACF1" w:rsidRDefault="70B2546F" w14:paraId="7BB5467B" w14:textId="7205BC55">
      <w:r w:rsidRPr="4D94ACF1">
        <w:rPr>
          <w:rFonts w:eastAsia="Arial" w:cs="Arial"/>
        </w:rPr>
        <w:t>Het Datateam van het NIPV is verantwoordelijk voor de opbouw, beheer en doorontwikkeling van Data4OOV.</w:t>
      </w:r>
    </w:p>
    <w:bookmarkEnd w:id="12"/>
    <w:p w:rsidR="001909DC" w:rsidRDefault="001909DC" w14:paraId="1FD418EB" w14:textId="75CBB6FD"/>
    <w:p w:rsidRPr="00555C9B" w:rsidR="001B6203" w:rsidP="001909DC" w:rsidRDefault="001909DC" w14:paraId="26CCB415" w14:textId="77777777">
      <w:pPr>
        <w:pStyle w:val="Kop1"/>
      </w:pPr>
      <w:bookmarkStart w:name="_Toc205383309" w:id="14"/>
      <w:r>
        <w:t>Omschrijving van de Opdracht</w:t>
      </w:r>
      <w:bookmarkEnd w:id="14"/>
    </w:p>
    <w:p w:rsidRPr="00C31825" w:rsidR="00184893" w:rsidP="00184893" w:rsidRDefault="001909DC" w14:paraId="0C7137CA" w14:textId="617790FD">
      <w:pPr>
        <w:pStyle w:val="Kop2"/>
      </w:pPr>
      <w:bookmarkStart w:name="_Toc205383310" w:id="15"/>
      <w:r>
        <w:t>Voorwerp van de Opdracht (scope)</w:t>
      </w:r>
      <w:bookmarkEnd w:id="15"/>
    </w:p>
    <w:p w:rsidRPr="00482600" w:rsidR="2D21BD21" w:rsidP="7CA9D359" w:rsidRDefault="2D21BD21" w14:paraId="376A221F" w14:textId="166C04B4">
      <w:pPr>
        <w:rPr>
          <w:rFonts w:eastAsia="Calibri" w:cs="Arial"/>
        </w:rPr>
      </w:pPr>
      <w:r w:rsidRPr="00482600">
        <w:rPr>
          <w:rFonts w:eastAsia="Calibri" w:cs="Arial"/>
        </w:rPr>
        <w:t xml:space="preserve">De Opdracht omvat het aanbieden van </w:t>
      </w:r>
      <w:r w:rsidRPr="00E80B3C" w:rsidR="00373A31">
        <w:rPr>
          <w:rFonts w:eastAsia="Calibri" w:cs="Arial"/>
        </w:rPr>
        <w:t xml:space="preserve">direct beschikbaar </w:t>
      </w:r>
      <w:r w:rsidRPr="00482600">
        <w:rPr>
          <w:rFonts w:eastAsia="Calibri" w:cs="Arial"/>
        </w:rPr>
        <w:t>Online managed dataplatform met verrijkte geodata en metadata. Het dataplatform betreft een bewezen oplossing met voor de OOV-sector actuele, betekenisvolle en samengestelde data. De data wordt als OGC webservices op een beveiligde manier beschikbaar gesteld vanuit één bron. De services zijn in te lezen in alle op open webservices gebaseerde GIS-tools, zoals QGIS, Mapbox GL, MapLibre, OpenLayers, Leaflet, Cesium, Power BI, moderne browsers, en (digital Twin) applicaties die daarop gebaseerd zijn.</w:t>
      </w:r>
    </w:p>
    <w:p w:rsidR="7CA9D359" w:rsidP="7CA9D359" w:rsidRDefault="7CA9D359" w14:paraId="64487AE7" w14:textId="306290ED">
      <w:pPr>
        <w:rPr>
          <w:rFonts w:ascii="Calibri" w:hAnsi="Calibri" w:eastAsia="Calibri" w:cs="Calibri"/>
          <w:sz w:val="22"/>
          <w:szCs w:val="22"/>
        </w:rPr>
      </w:pPr>
    </w:p>
    <w:p w:rsidRPr="00C31825" w:rsidR="00184893" w:rsidP="00184893" w:rsidRDefault="7DCAEA77" w14:paraId="6E760996" w14:textId="6C92A39A">
      <w:r w:rsidR="7DCAEA77">
        <w:rPr/>
        <w:t xml:space="preserve">Het dataplatform </w:t>
      </w:r>
      <w:r w:rsidR="00184893">
        <w:rPr/>
        <w:t xml:space="preserve">en de </w:t>
      </w:r>
      <w:r w:rsidR="619A0C5B">
        <w:rPr/>
        <w:t xml:space="preserve">OGC </w:t>
      </w:r>
      <w:r w:rsidR="00184893">
        <w:rPr/>
        <w:t>webservices</w:t>
      </w:r>
      <w:r w:rsidR="00184893">
        <w:rPr/>
        <w:t xml:space="preserve"> moeten direct</w:t>
      </w:r>
      <w:r w:rsidR="0061555B">
        <w:rPr/>
        <w:t xml:space="preserve"> bij de start van de </w:t>
      </w:r>
      <w:r w:rsidR="0061555B">
        <w:rPr/>
        <w:t>Overeenkomst</w:t>
      </w:r>
      <w:r w:rsidR="00184893">
        <w:rPr/>
        <w:t xml:space="preserve"> beschikbaar zijn.</w:t>
      </w:r>
      <w:r w:rsidR="0061555B">
        <w:rPr/>
        <w:t xml:space="preserve"> Het</w:t>
      </w:r>
      <w:r w:rsidR="00184893">
        <w:rPr/>
        <w:t xml:space="preserve"> NIPV wil nadrukkelijk geen ontwikkeltraject met een marktpartij ingaan.</w:t>
      </w:r>
      <w:r w:rsidR="00140B9B">
        <w:rPr/>
        <w:t xml:space="preserve"> De databehoef</w:t>
      </w:r>
      <w:r w:rsidR="00401C75">
        <w:rPr/>
        <w:t>te van de gebruikers is namelijk actueel</w:t>
      </w:r>
      <w:r w:rsidR="008A6ECD">
        <w:rPr/>
        <w:t>.</w:t>
      </w:r>
      <w:r w:rsidR="00722793">
        <w:rPr/>
        <w:t xml:space="preserve"> </w:t>
      </w:r>
      <w:r w:rsidRPr="62AF3E85" w:rsidR="22424C0D">
        <w:rPr>
          <w:rFonts w:ascii="Arial" w:hAnsi="Arial" w:eastAsia="Arial" w:cs="Arial"/>
          <w:noProof w:val="0"/>
          <w:sz w:val="20"/>
          <w:szCs w:val="20"/>
          <w:lang w:val="nl-NL"/>
        </w:rPr>
        <w:t>Het ontbreken van de datavoorziening voor een langere periode zorgt ervoor dat gebruikers hun werk niet goed kunnen uitvoeren, wat zeer ongewenst is.</w:t>
      </w:r>
    </w:p>
    <w:p w:rsidRPr="00C31825" w:rsidR="00184893" w:rsidP="00184893" w:rsidRDefault="00184893" w14:paraId="415AB977" w14:textId="77777777">
      <w:r w:rsidRPr="00C31825">
        <w:t> </w:t>
      </w:r>
    </w:p>
    <w:p w:rsidR="000B7B8B" w:rsidP="00184893" w:rsidRDefault="000B7B8B" w14:paraId="231B5258" w14:textId="3DB9A6EF">
      <w:r>
        <w:t xml:space="preserve">De Opdrachtgever zoekt een Opdrachtnemer die kan zorgen voor een betrouwbare en continue levering van </w:t>
      </w:r>
      <w:r w:rsidR="568AB642">
        <w:t xml:space="preserve">de </w:t>
      </w:r>
      <w:r>
        <w:t>diensten en data. Dit houdt in dat de Opdrachtnemer de processen voor het verzamelen en verrijken van data goed heeft ingericht en in staat is om proactief in te spelen op wijzigingen in het aanbod van openbare geodata. Daarnaast is de ICT-infrastructuur waarmee de data beschikbaar wordt gesteld robuust, schaalbaar en gekenmerkt door een hoge mate van beschikbaarheid.</w:t>
      </w:r>
    </w:p>
    <w:p w:rsidRPr="00C31825" w:rsidR="00184893" w:rsidP="00184893" w:rsidRDefault="00184893" w14:paraId="56D10342" w14:textId="77777777"/>
    <w:p w:rsidRPr="00C31825" w:rsidR="00184893" w:rsidP="00184893" w:rsidRDefault="00184893" w14:paraId="2B76EB4C" w14:textId="77777777">
      <w:pPr>
        <w:pStyle w:val="paragraph"/>
        <w:spacing w:before="0" w:beforeAutospacing="0" w:after="0" w:afterAutospacing="0"/>
        <w:textAlignment w:val="baseline"/>
        <w:rPr>
          <w:rFonts w:ascii="Arial" w:hAnsi="Arial" w:cs="Arial"/>
          <w:b/>
          <w:bCs/>
          <w:sz w:val="20"/>
          <w:szCs w:val="20"/>
        </w:rPr>
      </w:pPr>
      <w:r w:rsidRPr="00C31825">
        <w:rPr>
          <w:rStyle w:val="normaltextrun"/>
          <w:rFonts w:ascii="Arial" w:hAnsi="Arial" w:cs="Arial"/>
          <w:b/>
          <w:bCs/>
          <w:sz w:val="20"/>
          <w:szCs w:val="20"/>
        </w:rPr>
        <w:t>Cloud native oplossing</w:t>
      </w:r>
      <w:r w:rsidRPr="00C31825">
        <w:rPr>
          <w:rStyle w:val="eop"/>
          <w:rFonts w:ascii="Arial" w:hAnsi="Arial" w:eastAsia="MS Mincho" w:cs="Arial"/>
          <w:bCs/>
          <w:sz w:val="20"/>
          <w:szCs w:val="20"/>
        </w:rPr>
        <w:t> </w:t>
      </w:r>
    </w:p>
    <w:p w:rsidRPr="00C31825" w:rsidR="00184893" w:rsidP="00184893" w:rsidRDefault="00184893" w14:paraId="0C2D80CE" w14:textId="77777777">
      <w:r w:rsidRPr="00C31825">
        <w:t>Om o.a. de schaalbaarheid en beschikbaarheid te kunnen garanderen en optimaal te kunnen integreren met de ICT infrastructuur van Data4OOV, dient de geodatavoorziening niet Cloud-based te zijn, maar moet de geodatavoorziening Cloud-native ontworpen en ontwikkeld zijn. Voorbeelden van de geschiktheid van een cloud-native oplossing zijn: </w:t>
      </w:r>
    </w:p>
    <w:p w:rsidR="00184893" w:rsidP="00B608AB" w:rsidRDefault="00184893" w14:paraId="48B3092C" w14:textId="77777777">
      <w:pPr>
        <w:pStyle w:val="Lijstalinea"/>
        <w:numPr>
          <w:ilvl w:val="0"/>
          <w:numId w:val="21"/>
        </w:numPr>
        <w:rPr>
          <w:rFonts w:cs="Arial"/>
        </w:rPr>
      </w:pPr>
      <w:r w:rsidRPr="008A7624">
        <w:rPr>
          <w:rStyle w:val="normaltextrun"/>
          <w:rFonts w:cs="Arial"/>
        </w:rPr>
        <w:t>Cloudnative applicaties zijn gebouwd om het gebruik van bronnen (geheugen, schijfruimte) te optimaliseren, wat zorgt voor efficiënt gebruik en kosteneffectiviteit in de cloudomgeving;</w:t>
      </w:r>
      <w:r>
        <w:rPr>
          <w:rStyle w:val="eop"/>
          <w:rFonts w:eastAsia="MS Mincho" w:cs="Arial"/>
        </w:rPr>
        <w:t> </w:t>
      </w:r>
    </w:p>
    <w:p w:rsidR="00184893" w:rsidP="00B608AB" w:rsidRDefault="00184893" w14:paraId="1773A884" w14:textId="77777777">
      <w:pPr>
        <w:pStyle w:val="Lijstalinea"/>
        <w:numPr>
          <w:ilvl w:val="0"/>
          <w:numId w:val="21"/>
        </w:numPr>
        <w:rPr>
          <w:rFonts w:cs="Arial"/>
        </w:rPr>
      </w:pPr>
      <w:r w:rsidRPr="008A7624">
        <w:rPr>
          <w:rStyle w:val="normaltextrun"/>
          <w:rFonts w:cs="Arial"/>
        </w:rPr>
        <w:t>Bij voorkeur om kunnen gaan met bestanden die cloud-geoptimaliseerd zijn, in verband met optimalisatie van het dataverkeer;</w:t>
      </w:r>
      <w:r>
        <w:rPr>
          <w:rStyle w:val="eop"/>
          <w:rFonts w:eastAsia="MS Mincho" w:cs="Arial"/>
        </w:rPr>
        <w:t> </w:t>
      </w:r>
    </w:p>
    <w:p w:rsidR="00184893" w:rsidP="00B608AB" w:rsidRDefault="00184893" w14:paraId="4B148706" w14:textId="77777777">
      <w:pPr>
        <w:pStyle w:val="Lijstalinea"/>
        <w:numPr>
          <w:ilvl w:val="0"/>
          <w:numId w:val="21"/>
        </w:numPr>
        <w:rPr>
          <w:rFonts w:cs="Arial"/>
        </w:rPr>
      </w:pPr>
      <w:r w:rsidRPr="008A7624">
        <w:rPr>
          <w:rStyle w:val="normaltextrun"/>
          <w:rFonts w:cs="Arial"/>
        </w:rPr>
        <w:t>Snelle opstarttijd en performance;</w:t>
      </w:r>
      <w:r>
        <w:rPr>
          <w:rStyle w:val="eop"/>
          <w:rFonts w:eastAsia="MS Mincho" w:cs="Arial"/>
        </w:rPr>
        <w:t> </w:t>
      </w:r>
    </w:p>
    <w:p w:rsidR="00184893" w:rsidP="00B608AB" w:rsidRDefault="00184893" w14:paraId="6D8CDE6C" w14:textId="77777777">
      <w:pPr>
        <w:pStyle w:val="Lijstalinea"/>
        <w:numPr>
          <w:ilvl w:val="0"/>
          <w:numId w:val="21"/>
        </w:numPr>
        <w:rPr>
          <w:rFonts w:cs="Arial"/>
        </w:rPr>
      </w:pPr>
      <w:r w:rsidRPr="008A7624">
        <w:rPr>
          <w:rStyle w:val="normaltextrun"/>
          <w:rFonts w:cs="Arial"/>
        </w:rPr>
        <w:t>Duidelijke API’s;</w:t>
      </w:r>
      <w:r>
        <w:rPr>
          <w:rStyle w:val="eop"/>
          <w:rFonts w:eastAsia="MS Mincho" w:cs="Arial"/>
        </w:rPr>
        <w:t> </w:t>
      </w:r>
    </w:p>
    <w:p w:rsidR="00184893" w:rsidP="00B608AB" w:rsidRDefault="00184893" w14:paraId="503DCEFE" w14:textId="77777777">
      <w:pPr>
        <w:pStyle w:val="Lijstalinea"/>
        <w:numPr>
          <w:ilvl w:val="0"/>
          <w:numId w:val="21"/>
        </w:numPr>
        <w:rPr>
          <w:rFonts w:cs="Arial"/>
        </w:rPr>
      </w:pPr>
      <w:r w:rsidRPr="008A7624">
        <w:rPr>
          <w:rStyle w:val="normaltextrun"/>
          <w:rFonts w:cs="Arial"/>
        </w:rPr>
        <w:t>Cloudservices en -functies moeten eenvoudig “</w:t>
      </w:r>
      <w:r>
        <w:rPr>
          <w:rStyle w:val="normaltextrun"/>
          <w:rFonts w:cs="Arial"/>
        </w:rPr>
        <w:t>gecontaineriseerd” kunnen worden (dat wil zeggen in een container, zoals Docker, opgenomen kunnen worden);</w:t>
      </w:r>
      <w:r>
        <w:rPr>
          <w:rStyle w:val="eop"/>
          <w:rFonts w:eastAsia="MS Mincho" w:cs="Arial"/>
        </w:rPr>
        <w:t> </w:t>
      </w:r>
    </w:p>
    <w:p w:rsidR="00184893" w:rsidP="00B608AB" w:rsidRDefault="00184893" w14:paraId="6E3AC68E" w14:textId="77777777">
      <w:pPr>
        <w:pStyle w:val="Lijstalinea"/>
        <w:numPr>
          <w:ilvl w:val="0"/>
          <w:numId w:val="21"/>
        </w:numPr>
        <w:rPr>
          <w:rFonts w:cs="Arial"/>
        </w:rPr>
      </w:pPr>
      <w:r w:rsidRPr="008A7624">
        <w:rPr>
          <w:rStyle w:val="normaltextrun"/>
          <w:rFonts w:cs="Arial"/>
        </w:rPr>
        <w:t>Cloudservices en -functies moeten van buitenaf gemakkelijk geconfigureerd kunnen worden (via configbestanden en/of omgevingsvariabelen);</w:t>
      </w:r>
      <w:r>
        <w:rPr>
          <w:rStyle w:val="eop"/>
          <w:rFonts w:eastAsia="MS Mincho" w:cs="Arial"/>
        </w:rPr>
        <w:t> </w:t>
      </w:r>
    </w:p>
    <w:p w:rsidR="00184893" w:rsidP="00B608AB" w:rsidRDefault="00184893" w14:paraId="5FE01F15" w14:textId="77777777">
      <w:pPr>
        <w:pStyle w:val="Lijstalinea"/>
        <w:numPr>
          <w:ilvl w:val="0"/>
          <w:numId w:val="21"/>
        </w:numPr>
        <w:rPr>
          <w:rFonts w:cs="Arial"/>
        </w:rPr>
      </w:pPr>
      <w:r w:rsidRPr="008A7624">
        <w:rPr>
          <w:rStyle w:val="normaltextrun"/>
          <w:rFonts w:cs="Arial"/>
        </w:rPr>
        <w:t>Cloud native applicaties maken gebruik van een gedistribueerde microservicesarchitectuur, waardoor componenten onafhankelijk van elkaar kunnen worden op- en afgeschaald en ze beter bestand zijn tegen fouten:</w:t>
      </w:r>
      <w:r>
        <w:rPr>
          <w:rStyle w:val="eop"/>
          <w:rFonts w:eastAsia="MS Mincho" w:cs="Arial"/>
        </w:rPr>
        <w:t> </w:t>
      </w:r>
    </w:p>
    <w:p w:rsidR="00184893" w:rsidP="00B608AB" w:rsidRDefault="00184893" w14:paraId="34155F3E" w14:textId="77777777">
      <w:pPr>
        <w:pStyle w:val="Lijstalinea"/>
        <w:numPr>
          <w:ilvl w:val="0"/>
          <w:numId w:val="21"/>
        </w:numPr>
        <w:rPr>
          <w:rFonts w:cs="Arial"/>
        </w:rPr>
      </w:pPr>
      <w:r w:rsidRPr="008A7624">
        <w:rPr>
          <w:rStyle w:val="normaltextrun"/>
          <w:rFonts w:cs="Arial"/>
          <w:i/>
        </w:rPr>
        <w:t>Verticaal</w:t>
      </w:r>
      <w:r>
        <w:rPr>
          <w:rStyle w:val="normaltextrun"/>
          <w:rFonts w:cs="Arial"/>
        </w:rPr>
        <w:t>: meer geheugen of disk space, of processorkracht indien nodig,</w:t>
      </w:r>
      <w:r>
        <w:rPr>
          <w:rStyle w:val="eop"/>
          <w:rFonts w:eastAsia="MS Mincho" w:cs="Arial"/>
        </w:rPr>
        <w:t> </w:t>
      </w:r>
    </w:p>
    <w:p w:rsidR="00184893" w:rsidP="00B608AB" w:rsidRDefault="00184893" w14:paraId="32F3959B" w14:textId="77777777">
      <w:pPr>
        <w:pStyle w:val="Lijstalinea"/>
        <w:numPr>
          <w:ilvl w:val="0"/>
          <w:numId w:val="21"/>
        </w:numPr>
        <w:rPr>
          <w:rFonts w:cs="Arial"/>
        </w:rPr>
      </w:pPr>
      <w:r w:rsidRPr="008A7624">
        <w:rPr>
          <w:rStyle w:val="normaltextrun"/>
          <w:rFonts w:cs="Arial"/>
          <w:i/>
        </w:rPr>
        <w:t>Horizontaal</w:t>
      </w:r>
      <w:r>
        <w:rPr>
          <w:rStyle w:val="normaltextrun"/>
          <w:rFonts w:cs="Arial"/>
        </w:rPr>
        <w:t>: meerdere instanties naast elkaar;</w:t>
      </w:r>
      <w:r>
        <w:rPr>
          <w:rStyle w:val="eop"/>
          <w:rFonts w:eastAsia="MS Mincho" w:cs="Arial"/>
        </w:rPr>
        <w:t> </w:t>
      </w:r>
    </w:p>
    <w:p w:rsidR="00184893" w:rsidP="00B608AB" w:rsidRDefault="00184893" w14:paraId="45BF2B1B" w14:textId="77777777">
      <w:pPr>
        <w:pStyle w:val="Lijstalinea"/>
        <w:numPr>
          <w:ilvl w:val="0"/>
          <w:numId w:val="21"/>
        </w:numPr>
        <w:rPr>
          <w:rFonts w:cs="Arial"/>
        </w:rPr>
      </w:pPr>
      <w:r w:rsidRPr="008A7624">
        <w:rPr>
          <w:rStyle w:val="normaltextrun"/>
          <w:rFonts w:cs="Arial"/>
        </w:rPr>
        <w:t>Cloudservices en -functies moeten actief worden onderhouden: regelmatige updates, actieve beheerders en/of community die snel op vragen en issues kunnen reageren indien nodig;</w:t>
      </w:r>
      <w:r>
        <w:rPr>
          <w:rStyle w:val="eop"/>
          <w:rFonts w:eastAsia="MS Mincho" w:cs="Arial"/>
        </w:rPr>
        <w:t> </w:t>
      </w:r>
    </w:p>
    <w:p w:rsidR="00184893" w:rsidP="00B608AB" w:rsidRDefault="00184893" w14:paraId="51E595CE" w14:textId="77777777">
      <w:pPr>
        <w:pStyle w:val="Lijstalinea"/>
        <w:numPr>
          <w:ilvl w:val="0"/>
          <w:numId w:val="21"/>
        </w:numPr>
        <w:rPr>
          <w:rFonts w:cs="Arial"/>
        </w:rPr>
      </w:pPr>
      <w:r w:rsidRPr="008A7624">
        <w:rPr>
          <w:rStyle w:val="normaltextrun"/>
          <w:rFonts w:cs="Arial"/>
        </w:rPr>
        <w:t>Backup</w:t>
      </w:r>
      <w:r>
        <w:rPr>
          <w:rStyle w:val="normaltextrun"/>
          <w:rFonts w:cs="Arial"/>
        </w:rPr>
        <w:t xml:space="preserve"> en disaster recovery.</w:t>
      </w:r>
      <w:r>
        <w:rPr>
          <w:rStyle w:val="eop"/>
          <w:rFonts w:eastAsia="MS Mincho" w:cs="Arial"/>
        </w:rPr>
        <w:t> </w:t>
      </w:r>
    </w:p>
    <w:p w:rsidR="00184893" w:rsidP="00184893" w:rsidRDefault="00184893" w14:paraId="6FB0E85C" w14:textId="7777777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eastAsia="MS Mincho" w:cs="Arial"/>
          <w:sz w:val="20"/>
          <w:szCs w:val="20"/>
        </w:rPr>
        <w:t> </w:t>
      </w:r>
    </w:p>
    <w:p w:rsidRPr="00374285" w:rsidR="00184893" w:rsidP="00184893" w:rsidRDefault="00184893" w14:paraId="70CEFA2B" w14:textId="77777777">
      <w:pPr>
        <w:pStyle w:val="paragraph"/>
        <w:spacing w:before="0" w:beforeAutospacing="0" w:after="0" w:afterAutospacing="0"/>
        <w:textAlignment w:val="baseline"/>
        <w:rPr>
          <w:rStyle w:val="normaltextrun"/>
          <w:rFonts w:ascii="Arial" w:hAnsi="Arial" w:cs="Arial"/>
          <w:b/>
          <w:bCs/>
          <w:sz w:val="20"/>
          <w:szCs w:val="20"/>
        </w:rPr>
      </w:pPr>
      <w:r w:rsidRPr="00374285">
        <w:rPr>
          <w:rStyle w:val="normaltextrun"/>
          <w:rFonts w:ascii="Arial" w:hAnsi="Arial" w:cs="Arial"/>
          <w:b/>
          <w:bCs/>
          <w:sz w:val="20"/>
          <w:szCs w:val="20"/>
        </w:rPr>
        <w:t>Alignment</w:t>
      </w:r>
      <w:r w:rsidRPr="00374285">
        <w:rPr>
          <w:rStyle w:val="normaltextrun"/>
          <w:b/>
          <w:bCs/>
        </w:rPr>
        <w:t> </w:t>
      </w:r>
    </w:p>
    <w:p w:rsidR="00184893" w:rsidP="00184893" w:rsidRDefault="00184893" w14:paraId="4F60416D" w14:textId="77777777">
      <w:r w:rsidRPr="00374285">
        <w:t>De geodata en de metadata moeten de (operationele) werkprocessen van brandweerzorg, risico- en crisisbeheersing, en bedrijfsvoering van de veiligheidsregio’s ondersteunen. Zo moet bijvoorbeeld de relevantie van de data voor de landelijke KCR2-thema’s en het Kenmerkenschema (brandweerzorg) in de metadata inzichtelijk zijn.  </w:t>
      </w:r>
    </w:p>
    <w:p w:rsidRPr="00374285" w:rsidR="00184893" w:rsidP="00184893" w:rsidRDefault="00184893" w14:paraId="3ABACB8A" w14:textId="77777777"/>
    <w:p w:rsidR="00184893" w:rsidP="00184893" w:rsidRDefault="00184893" w14:paraId="2B1F37EA" w14:textId="7F09B3DC">
      <w:pPr>
        <w:pStyle w:val="paragraph"/>
        <w:spacing w:before="0" w:beforeAutospacing="0" w:after="0" w:afterAutospacing="0"/>
        <w:textAlignment w:val="baseline"/>
        <w:rPr>
          <w:rFonts w:ascii="Arial" w:hAnsi="Arial" w:cs="Arial"/>
          <w:sz w:val="20"/>
          <w:szCs w:val="20"/>
        </w:rPr>
      </w:pPr>
      <w:r w:rsidRPr="00374285">
        <w:rPr>
          <w:rStyle w:val="normaltextrun"/>
          <w:rFonts w:ascii="Arial" w:hAnsi="Arial" w:cs="Arial"/>
          <w:b/>
          <w:bCs/>
          <w:sz w:val="20"/>
          <w:szCs w:val="20"/>
        </w:rPr>
        <w:t>Gevraagde thema’s en gegevens</w:t>
      </w:r>
      <w:r>
        <w:rPr>
          <w:rStyle w:val="scxw123793787"/>
          <w:rFonts w:cs="Arial"/>
          <w:b/>
          <w:bCs/>
          <w:color w:val="004563"/>
          <w:szCs w:val="20"/>
        </w:rPr>
        <w:t> </w:t>
      </w:r>
      <w:r>
        <w:rPr>
          <w:rFonts w:ascii="Arial" w:hAnsi="Arial" w:cs="Arial"/>
          <w:b/>
          <w:bCs/>
          <w:color w:val="004563"/>
          <w:sz w:val="20"/>
          <w:szCs w:val="20"/>
        </w:rPr>
        <w:br/>
      </w:r>
      <w:r w:rsidRPr="00374285">
        <w:rPr>
          <w:rFonts w:ascii="Arial" w:hAnsi="Arial" w:cs="Arial"/>
          <w:sz w:val="20"/>
          <w:szCs w:val="20"/>
        </w:rPr>
        <w:t>De gevraagde thema’s en gegevens zijn</w:t>
      </w:r>
      <w:r w:rsidR="00971CFD">
        <w:rPr>
          <w:rFonts w:ascii="Arial" w:hAnsi="Arial" w:cs="Arial"/>
          <w:sz w:val="20"/>
          <w:szCs w:val="20"/>
        </w:rPr>
        <w:t xml:space="preserve"> in ieder geval</w:t>
      </w:r>
      <w:r w:rsidRPr="00374285">
        <w:rPr>
          <w:rFonts w:ascii="Arial" w:hAnsi="Arial" w:cs="Arial"/>
          <w:sz w:val="20"/>
          <w:szCs w:val="20"/>
        </w:rPr>
        <w:t xml:space="preserve"> (niet-limitatief): </w:t>
      </w:r>
    </w:p>
    <w:p w:rsidRPr="00374285" w:rsidR="00184893" w:rsidP="00184893" w:rsidRDefault="00184893" w14:paraId="67B0CA1F" w14:textId="77777777">
      <w:pPr>
        <w:pStyle w:val="paragraph"/>
        <w:spacing w:before="0" w:beforeAutospacing="0" w:after="0" w:afterAutospacing="0"/>
        <w:textAlignment w:val="baseline"/>
        <w:rPr>
          <w:rFonts w:ascii="Arial" w:hAnsi="Arial" w:cs="Arial"/>
          <w:sz w:val="20"/>
          <w:szCs w:val="20"/>
        </w:rPr>
      </w:pPr>
    </w:p>
    <w:p w:rsidRPr="002252A3" w:rsidR="00184893" w:rsidP="00184893" w:rsidRDefault="00184893" w14:paraId="0446F75C" w14:textId="77777777">
      <w:pPr>
        <w:pStyle w:val="paragraph"/>
        <w:spacing w:before="0" w:beforeAutospacing="0" w:after="0" w:afterAutospacing="0"/>
        <w:textAlignment w:val="baseline"/>
        <w:rPr>
          <w:rStyle w:val="scxw123793787"/>
          <w:rFonts w:ascii="Arial" w:hAnsi="Arial" w:cs="Arial"/>
          <w:b/>
          <w:bCs/>
          <w:sz w:val="20"/>
          <w:szCs w:val="20"/>
        </w:rPr>
      </w:pPr>
      <w:r>
        <w:rPr>
          <w:rStyle w:val="normaltextrun"/>
          <w:rFonts w:ascii="Arial" w:hAnsi="Arial" w:cs="Arial"/>
          <w:sz w:val="20"/>
          <w:szCs w:val="20"/>
          <w:u w:val="single"/>
        </w:rPr>
        <w:t>Basisregistraties</w:t>
      </w:r>
      <w:r>
        <w:rPr>
          <w:rStyle w:val="scxw123793787"/>
          <w:rFonts w:cs="Arial"/>
          <w:b/>
          <w:bCs/>
          <w:szCs w:val="20"/>
        </w:rPr>
        <w:t> </w:t>
      </w:r>
    </w:p>
    <w:p w:rsidR="00184893" w:rsidP="00B608AB" w:rsidRDefault="00184893" w14:paraId="318C2DB5" w14:textId="77777777">
      <w:pPr>
        <w:pStyle w:val="paragraph"/>
        <w:numPr>
          <w:ilvl w:val="0"/>
          <w:numId w:val="17"/>
        </w:numPr>
        <w:spacing w:before="0" w:beforeAutospacing="0" w:after="0" w:afterAutospacing="0"/>
        <w:textAlignment w:val="baseline"/>
        <w:rPr>
          <w:rFonts w:ascii="Arial" w:hAnsi="Arial" w:cs="Arial"/>
          <w:b/>
          <w:bCs/>
          <w:sz w:val="20"/>
          <w:szCs w:val="20"/>
        </w:rPr>
      </w:pPr>
      <w:r>
        <w:rPr>
          <w:rStyle w:val="normaltextrun"/>
          <w:rFonts w:ascii="Arial" w:hAnsi="Arial" w:cs="Arial"/>
          <w:sz w:val="20"/>
          <w:szCs w:val="20"/>
        </w:rPr>
        <w:t>Grootschalige (BGT) en kleinschalige (BRT) topografie</w:t>
      </w:r>
      <w:r>
        <w:rPr>
          <w:rStyle w:val="scxw123793787"/>
          <w:rFonts w:cs="Arial"/>
          <w:b/>
          <w:bCs/>
          <w:szCs w:val="20"/>
        </w:rPr>
        <w:t> </w:t>
      </w:r>
    </w:p>
    <w:p w:rsidR="00184893" w:rsidP="00B608AB" w:rsidRDefault="00184893" w14:paraId="69C255D0" w14:textId="77777777">
      <w:pPr>
        <w:pStyle w:val="paragraph"/>
        <w:numPr>
          <w:ilvl w:val="0"/>
          <w:numId w:val="17"/>
        </w:numPr>
        <w:spacing w:before="0" w:beforeAutospacing="0" w:after="0" w:afterAutospacing="0"/>
        <w:textAlignment w:val="baseline"/>
        <w:rPr>
          <w:rFonts w:ascii="Arial" w:hAnsi="Arial" w:cs="Arial"/>
          <w:b/>
          <w:bCs/>
          <w:sz w:val="20"/>
          <w:szCs w:val="20"/>
        </w:rPr>
      </w:pPr>
      <w:r>
        <w:rPr>
          <w:rStyle w:val="normaltextrun"/>
          <w:rFonts w:ascii="Arial" w:hAnsi="Arial" w:cs="Arial"/>
          <w:sz w:val="20"/>
          <w:szCs w:val="20"/>
        </w:rPr>
        <w:t>Kadastrale perceelgegevens (BRK): percelenkaart</w:t>
      </w:r>
      <w:r>
        <w:rPr>
          <w:rStyle w:val="scxw123793787"/>
          <w:rFonts w:cs="Arial"/>
          <w:b/>
          <w:bCs/>
          <w:szCs w:val="20"/>
        </w:rPr>
        <w:t> </w:t>
      </w:r>
    </w:p>
    <w:p w:rsidR="00184893" w:rsidP="00B608AB" w:rsidRDefault="00184893" w14:paraId="5F62FD54" w14:textId="77777777">
      <w:pPr>
        <w:pStyle w:val="paragraph"/>
        <w:numPr>
          <w:ilvl w:val="0"/>
          <w:numId w:val="17"/>
        </w:numPr>
        <w:spacing w:before="0" w:beforeAutospacing="0" w:after="0" w:afterAutospacing="0"/>
        <w:textAlignment w:val="baseline"/>
        <w:rPr>
          <w:rFonts w:ascii="Arial" w:hAnsi="Arial" w:cs="Arial"/>
          <w:b/>
          <w:bCs/>
          <w:sz w:val="20"/>
          <w:szCs w:val="20"/>
        </w:rPr>
      </w:pPr>
      <w:r>
        <w:rPr>
          <w:rStyle w:val="normaltextrun"/>
          <w:rFonts w:ascii="Arial" w:hAnsi="Arial" w:cs="Arial"/>
          <w:sz w:val="20"/>
          <w:szCs w:val="20"/>
        </w:rPr>
        <w:t>Gegevens Handelsregister (NHR)</w:t>
      </w:r>
      <w:r>
        <w:rPr>
          <w:rStyle w:val="scxw123793787"/>
          <w:rFonts w:cs="Arial"/>
          <w:b/>
          <w:bCs/>
          <w:szCs w:val="20"/>
        </w:rPr>
        <w:t> </w:t>
      </w:r>
    </w:p>
    <w:p w:rsidR="00184893" w:rsidP="00B608AB" w:rsidRDefault="00184893" w14:paraId="739D6783" w14:textId="77777777">
      <w:pPr>
        <w:pStyle w:val="paragraph"/>
        <w:numPr>
          <w:ilvl w:val="0"/>
          <w:numId w:val="17"/>
        </w:numPr>
        <w:spacing w:before="0" w:beforeAutospacing="0" w:after="0" w:afterAutospacing="0"/>
        <w:textAlignment w:val="baseline"/>
        <w:rPr>
          <w:rFonts w:ascii="Arial" w:hAnsi="Arial" w:cs="Arial"/>
          <w:b/>
          <w:bCs/>
          <w:sz w:val="20"/>
          <w:szCs w:val="20"/>
        </w:rPr>
      </w:pPr>
      <w:r>
        <w:rPr>
          <w:rStyle w:val="normaltextrun"/>
          <w:rFonts w:ascii="Arial" w:hAnsi="Arial" w:cs="Arial"/>
          <w:sz w:val="20"/>
          <w:szCs w:val="20"/>
        </w:rPr>
        <w:t>Basisregistratie Adressen en Gebouwen (BAG)</w:t>
      </w:r>
      <w:r>
        <w:rPr>
          <w:rStyle w:val="scxw123793787"/>
          <w:rFonts w:cs="Arial"/>
          <w:b/>
          <w:bCs/>
          <w:szCs w:val="20"/>
        </w:rPr>
        <w:t> </w:t>
      </w:r>
    </w:p>
    <w:p w:rsidR="00184893" w:rsidP="00B608AB" w:rsidRDefault="00184893" w14:paraId="78991149" w14:textId="77777777">
      <w:pPr>
        <w:pStyle w:val="paragraph"/>
        <w:numPr>
          <w:ilvl w:val="0"/>
          <w:numId w:val="17"/>
        </w:numPr>
        <w:spacing w:before="0" w:beforeAutospacing="0" w:after="0" w:afterAutospacing="0"/>
        <w:textAlignment w:val="baseline"/>
        <w:rPr>
          <w:rStyle w:val="eop"/>
          <w:rFonts w:ascii="Arial" w:hAnsi="Arial" w:eastAsia="MS Mincho" w:cs="Arial"/>
          <w:b/>
          <w:bCs/>
          <w:sz w:val="20"/>
          <w:szCs w:val="20"/>
        </w:rPr>
      </w:pPr>
      <w:r>
        <w:rPr>
          <w:rStyle w:val="normaltextrun"/>
          <w:rFonts w:ascii="Arial" w:hAnsi="Arial" w:cs="Arial"/>
          <w:sz w:val="20"/>
          <w:szCs w:val="20"/>
        </w:rPr>
        <w:t>Bestuurlijke grenzen (BRK)</w:t>
      </w:r>
      <w:r>
        <w:rPr>
          <w:rStyle w:val="eop"/>
          <w:rFonts w:ascii="Arial" w:hAnsi="Arial" w:eastAsia="MS Mincho" w:cs="Arial"/>
          <w:bCs/>
          <w:sz w:val="20"/>
          <w:szCs w:val="20"/>
        </w:rPr>
        <w:t> </w:t>
      </w:r>
    </w:p>
    <w:p w:rsidR="00184893" w:rsidP="00184893" w:rsidRDefault="00184893" w14:paraId="233911BC" w14:textId="77777777">
      <w:pPr>
        <w:pStyle w:val="paragraph"/>
        <w:spacing w:before="0" w:beforeAutospacing="0" w:after="0" w:afterAutospacing="0"/>
        <w:textAlignment w:val="baseline"/>
        <w:rPr>
          <w:rFonts w:ascii="Segoe UI" w:hAnsi="Segoe UI" w:cs="Segoe UI"/>
          <w:b/>
          <w:bCs/>
          <w:color w:val="004563"/>
          <w:sz w:val="18"/>
          <w:szCs w:val="18"/>
        </w:rPr>
      </w:pPr>
    </w:p>
    <w:p w:rsidRPr="001B5A3E" w:rsidR="00184893" w:rsidP="00184893" w:rsidRDefault="00184893" w14:paraId="5F6A28A5" w14:textId="6253594F">
      <w:r>
        <w:rPr>
          <w:rStyle w:val="normaltextrun"/>
          <w:rFonts w:cs="Arial"/>
          <w:u w:val="single"/>
        </w:rPr>
        <w:t>Gebouwen</w:t>
      </w:r>
      <w:r>
        <w:rPr>
          <w:rStyle w:val="scxw123793787"/>
          <w:rFonts w:cs="Arial"/>
        </w:rPr>
        <w:t> </w:t>
      </w:r>
      <w:r>
        <w:rPr>
          <w:rFonts w:cs="Arial"/>
        </w:rPr>
        <w:br/>
      </w:r>
      <w:r w:rsidRPr="00374285">
        <w:rPr>
          <w:rFonts w:cs="Arial"/>
        </w:rPr>
        <w:t xml:space="preserve">Er is behoefte aan samengestelde gebouwinformatie, d.w.z. een aantoonbare verrijking van gebouwinformatie ten opzichte van de standaard kenmerken in de basisregistratie BAG. Het betreft data over alle panden met pandkenmerken die </w:t>
      </w:r>
      <w:r w:rsidR="00C4217E">
        <w:rPr>
          <w:rFonts w:cs="Arial"/>
        </w:rPr>
        <w:t xml:space="preserve">ten minste </w:t>
      </w:r>
      <w:r w:rsidRPr="00374285">
        <w:rPr>
          <w:rFonts w:cs="Arial"/>
        </w:rPr>
        <w:t>maandelijks</w:t>
      </w:r>
      <w:r w:rsidR="00DD4FF4">
        <w:rPr>
          <w:rFonts w:cs="Arial"/>
        </w:rPr>
        <w:t xml:space="preserve"> worden geactualiseerd</w:t>
      </w:r>
      <w:r w:rsidR="00E41781">
        <w:rPr>
          <w:rFonts w:cs="Arial"/>
        </w:rPr>
        <w:t>, bij voorkeur</w:t>
      </w:r>
      <w:r w:rsidRPr="00374285">
        <w:rPr>
          <w:rFonts w:cs="Arial"/>
        </w:rPr>
        <w:t xml:space="preserve"> met een zo hoog mogelijke updatefrequentie</w:t>
      </w:r>
      <w:r w:rsidR="0098639D">
        <w:rPr>
          <w:rFonts w:cs="Arial"/>
        </w:rPr>
        <w:t>. Het gaat om alle panden</w:t>
      </w:r>
      <w:r w:rsidRPr="00374285">
        <w:rPr>
          <w:rFonts w:cs="Arial"/>
        </w:rPr>
        <w:t xml:space="preserve"> voor heel Nederland, in 2D en 3D (LoD1.5 of LoD2.2)</w:t>
      </w:r>
      <w:r w:rsidR="0098639D">
        <w:rPr>
          <w:rFonts w:cs="Arial"/>
        </w:rPr>
        <w:t>. De data die ten minste (niet-limitatief), naast de basisregistratie BAG, beschikbaar moet zijn is</w:t>
      </w:r>
      <w:r w:rsidRPr="00374285">
        <w:rPr>
          <w:rFonts w:cs="Arial"/>
        </w:rPr>
        <w:t>: pandgeometrie, bouwjaar, pandstatus, pandhoogte, bouwlagen bovengronds, gebruiksfuncties, BAG-adres(sen), oppervlakte, WOZ-waarde, energielabel, activiteiten, populatieschatting, pandnaam, ondernemingen, gebruiksklasse, kinderopvang, bestemmingsplannen, bouwbestemming, risico-indicatie, zelfredzaamheid, bodemdaling, kadastraal perceel, nutsvoorzieningen, monumentstatus, overstromingsdiepte, nutsvoorzieningen.</w:t>
      </w:r>
      <w:r>
        <w:rPr>
          <w:rStyle w:val="eop"/>
          <w:rFonts w:eastAsia="MS Mincho" w:cs="Arial"/>
        </w:rPr>
        <w:t> </w:t>
      </w:r>
    </w:p>
    <w:p w:rsidR="00184893" w:rsidP="00184893" w:rsidRDefault="00184893" w14:paraId="06A6297F" w14:textId="77777777">
      <w:pPr>
        <w:rPr>
          <w:rStyle w:val="normaltextrun"/>
          <w:rFonts w:cs="Arial"/>
        </w:rPr>
      </w:pPr>
    </w:p>
    <w:p w:rsidR="00184893" w:rsidP="00184893" w:rsidRDefault="004A0892" w14:paraId="2F92A1AA" w14:textId="06A276AF">
      <w:pPr>
        <w:rPr>
          <w:rFonts w:ascii="Segoe UI" w:hAnsi="Segoe UI" w:cs="Segoe UI"/>
          <w:sz w:val="18"/>
          <w:szCs w:val="18"/>
        </w:rPr>
      </w:pPr>
      <w:r>
        <w:rPr>
          <w:rStyle w:val="normaltextrun"/>
          <w:rFonts w:cs="Arial"/>
        </w:rPr>
        <w:t>Data die in ieder geval concreet inzichtelijk en te onderscheiden moet zijn, is</w:t>
      </w:r>
      <w:r w:rsidR="00184893">
        <w:rPr>
          <w:rStyle w:val="normaltextrun"/>
          <w:rFonts w:cs="Arial"/>
        </w:rPr>
        <w:t>:  </w:t>
      </w:r>
      <w:r w:rsidR="00184893">
        <w:rPr>
          <w:rStyle w:val="eop"/>
          <w:rFonts w:eastAsia="MS Mincho" w:cs="Arial"/>
        </w:rPr>
        <w:t> </w:t>
      </w:r>
    </w:p>
    <w:p w:rsidR="00184893" w:rsidP="00B608AB" w:rsidRDefault="00184893" w14:paraId="2750B6E6" w14:textId="77777777">
      <w:pPr>
        <w:pStyle w:val="Lijstalinea"/>
        <w:numPr>
          <w:ilvl w:val="0"/>
          <w:numId w:val="18"/>
        </w:numPr>
        <w:rPr>
          <w:rFonts w:cs="Arial"/>
        </w:rPr>
      </w:pPr>
      <w:r w:rsidRPr="001B5A3E">
        <w:rPr>
          <w:rStyle w:val="normaltextrun"/>
          <w:rFonts w:cs="Arial"/>
        </w:rPr>
        <w:t>Overheidslocaties: gemeentehuizen, provinciehuizen, politiebureaus, brandweerkazernes, ambulanceposten;</w:t>
      </w:r>
      <w:r>
        <w:rPr>
          <w:rStyle w:val="eop"/>
          <w:rFonts w:eastAsia="MS Mincho" w:cs="Arial"/>
        </w:rPr>
        <w:t> </w:t>
      </w:r>
    </w:p>
    <w:p w:rsidR="00184893" w:rsidP="00B608AB" w:rsidRDefault="00184893" w14:paraId="5E855B9C" w14:textId="77777777">
      <w:pPr>
        <w:pStyle w:val="Lijstalinea"/>
        <w:numPr>
          <w:ilvl w:val="0"/>
          <w:numId w:val="18"/>
        </w:numPr>
        <w:rPr>
          <w:rFonts w:cs="Arial"/>
        </w:rPr>
      </w:pPr>
      <w:r w:rsidRPr="001B5A3E">
        <w:rPr>
          <w:rStyle w:val="normaltextrun"/>
          <w:rFonts w:cs="Arial"/>
        </w:rPr>
        <w:t>Specifieke locaties: bibliotheken, bioscopen, theaters, basisscholen, buurthuizen, coffeeshops, congrescentra, dierenartsen, autodealers, juweliers, voedingswinkels, vuurwerkwinkels, hotels, horeca, kinderboerderijen, musea, voortgezet onderwijs, penitentiaire locaties, defensie, energiecentrales, rechtbanken, meldkamers, locaties veiligheidsregio’s en waterschappen, opslag gevaarlijke stoffen, buisleidingen, elektranet, tankstations, veehouderijen, vluchtelingenopvang, zwembaden, apotheken, medische zorg, geestelijke zorg, seniorencomplexen, ziekenhuizen</w:t>
      </w:r>
      <w:r>
        <w:rPr>
          <w:rStyle w:val="eop"/>
          <w:rFonts w:eastAsia="MS Mincho" w:cs="Arial"/>
        </w:rPr>
        <w:t> </w:t>
      </w:r>
    </w:p>
    <w:p w:rsidR="00184893" w:rsidP="00B608AB" w:rsidRDefault="00184893" w14:paraId="3D186981" w14:textId="77777777">
      <w:pPr>
        <w:pStyle w:val="Lijstalinea"/>
        <w:numPr>
          <w:ilvl w:val="0"/>
          <w:numId w:val="18"/>
        </w:numPr>
        <w:rPr>
          <w:rFonts w:cs="Arial"/>
        </w:rPr>
      </w:pPr>
      <w:r w:rsidRPr="001B5A3E">
        <w:rPr>
          <w:rStyle w:val="normaltextrun"/>
          <w:rFonts w:cs="Arial"/>
        </w:rPr>
        <w:t>Kinderopvanglocaties</w:t>
      </w:r>
      <w:r>
        <w:rPr>
          <w:rStyle w:val="eop"/>
          <w:rFonts w:eastAsia="MS Mincho" w:cs="Arial"/>
        </w:rPr>
        <w:t> </w:t>
      </w:r>
    </w:p>
    <w:p w:rsidR="00184893" w:rsidP="00B608AB" w:rsidRDefault="00184893" w14:paraId="6C94610A" w14:textId="77777777">
      <w:pPr>
        <w:pStyle w:val="Lijstalinea"/>
        <w:numPr>
          <w:ilvl w:val="0"/>
          <w:numId w:val="18"/>
        </w:numPr>
        <w:rPr>
          <w:rFonts w:cs="Arial"/>
        </w:rPr>
      </w:pPr>
      <w:r w:rsidRPr="001B5A3E">
        <w:rPr>
          <w:rStyle w:val="normaltextrun"/>
          <w:rFonts w:cs="Arial"/>
        </w:rPr>
        <w:t xml:space="preserve">Locaties van </w:t>
      </w:r>
      <w:r>
        <w:rPr>
          <w:rStyle w:val="normaltextrun"/>
          <w:rFonts w:cs="Arial"/>
        </w:rPr>
        <w:t>Rijksmonumenten</w:t>
      </w:r>
      <w:r>
        <w:rPr>
          <w:rStyle w:val="eop"/>
          <w:rFonts w:eastAsia="MS Mincho" w:cs="Arial"/>
        </w:rPr>
        <w:t> </w:t>
      </w:r>
    </w:p>
    <w:p w:rsidR="00184893" w:rsidP="00B608AB" w:rsidRDefault="00184893" w14:paraId="135B9B0C" w14:textId="77777777">
      <w:pPr>
        <w:pStyle w:val="Lijstalinea"/>
        <w:numPr>
          <w:ilvl w:val="0"/>
          <w:numId w:val="18"/>
        </w:numPr>
        <w:rPr>
          <w:rFonts w:cs="Arial"/>
        </w:rPr>
      </w:pPr>
      <w:r w:rsidRPr="001B5A3E">
        <w:rPr>
          <w:rStyle w:val="normaltextrun"/>
          <w:rFonts w:cs="Arial"/>
        </w:rPr>
        <w:t>Locaties van grote datacenters in Nederland</w:t>
      </w:r>
      <w:r>
        <w:rPr>
          <w:rStyle w:val="eop"/>
          <w:rFonts w:eastAsia="MS Mincho" w:cs="Arial"/>
        </w:rPr>
        <w:t> </w:t>
      </w:r>
    </w:p>
    <w:p w:rsidRPr="00BC1E60" w:rsidR="00184893" w:rsidP="00184893" w:rsidRDefault="00184893" w14:paraId="3C57C9BE" w14:textId="77777777">
      <w:pPr>
        <w:pStyle w:val="paragraph"/>
        <w:spacing w:before="0" w:beforeAutospacing="0" w:after="0" w:afterAutospacing="0"/>
        <w:textAlignment w:val="baseline"/>
        <w:rPr>
          <w:rFonts w:ascii="Arial" w:hAnsi="Arial" w:cs="Arial"/>
          <w:sz w:val="20"/>
          <w:szCs w:val="20"/>
        </w:rPr>
      </w:pPr>
    </w:p>
    <w:p w:rsidR="00184893" w:rsidP="00184893" w:rsidRDefault="00184893" w14:paraId="0EE34236" w14:textId="77777777">
      <w:pPr>
        <w:rPr>
          <w:rFonts w:ascii="Segoe UI" w:hAnsi="Segoe UI" w:cs="Segoe UI"/>
          <w:sz w:val="18"/>
          <w:szCs w:val="18"/>
        </w:rPr>
      </w:pPr>
      <w:r>
        <w:rPr>
          <w:rStyle w:val="normaltextrun"/>
          <w:rFonts w:cs="Arial"/>
          <w:u w:val="single"/>
        </w:rPr>
        <w:t>Omgevingskenmerken</w:t>
      </w:r>
      <w:r>
        <w:rPr>
          <w:rStyle w:val="eop"/>
          <w:rFonts w:eastAsia="MS Mincho" w:cs="Arial"/>
        </w:rPr>
        <w:t> </w:t>
      </w:r>
    </w:p>
    <w:p w:rsidR="00184893" w:rsidP="00184893" w:rsidRDefault="00184893" w14:paraId="3F6FD055" w14:textId="51506A6D">
      <w:r>
        <w:t>Er is behoefte aan integraal inzicht in diverse omgevingskenmerken, waaronder (niet-limitatief) wegen en overige infrastructuur, terreinen, functionele gebieden, landgebruik, bodem, bodemdaling, markeringen, grenzen, demografie, reistijden, stikstof, hittestress. </w:t>
      </w:r>
    </w:p>
    <w:p w:rsidR="000B7B8B" w:rsidP="00184893" w:rsidRDefault="000B7B8B" w14:paraId="424C62AF" w14:textId="77777777"/>
    <w:p w:rsidR="00184893" w:rsidP="00184893" w:rsidRDefault="00184893" w14:paraId="3F9827FE" w14:textId="77777777">
      <w:pPr>
        <w:rPr>
          <w:rFonts w:ascii="Segoe UI" w:hAnsi="Segoe UI" w:cs="Segoe UI"/>
          <w:sz w:val="18"/>
          <w:szCs w:val="18"/>
        </w:rPr>
      </w:pPr>
      <w:r>
        <w:rPr>
          <w:rStyle w:val="normaltextrun"/>
          <w:rFonts w:cs="Arial"/>
          <w:u w:val="single"/>
        </w:rPr>
        <w:t>Betekenisvolle en actuele buitenlanddata</w:t>
      </w:r>
      <w:r>
        <w:rPr>
          <w:rStyle w:val="eop"/>
          <w:rFonts w:eastAsia="MS Mincho" w:cs="Arial"/>
        </w:rPr>
        <w:t> </w:t>
      </w:r>
    </w:p>
    <w:p w:rsidRPr="00374285" w:rsidR="00184893" w:rsidP="00184893" w:rsidRDefault="00184893" w14:paraId="4B431051" w14:textId="77777777">
      <w:r w:rsidRPr="00374285">
        <w:t>De geodata-voorziening biedt als aanvulling op de landelijk dekkende data ook geografische buitenlanddata van onze buurlanden in een straal van 80 tot 100 km over de rijksgrens.  </w:t>
      </w:r>
    </w:p>
    <w:p w:rsidR="00184893" w:rsidP="00184893" w:rsidRDefault="00184893" w14:paraId="66D5D37B" w14:textId="77777777">
      <w:r w:rsidRPr="00374285">
        <w:t>NIPV heeft als aanvulling op de landelijk dekkende data behoefte aan betekenisvolle en actuele geografische buitenlanddata van onze buurlanden. In eerste instantie: </w:t>
      </w:r>
    </w:p>
    <w:p w:rsidR="00184893" w:rsidP="00B608AB" w:rsidRDefault="00184893" w14:paraId="341F10A4" w14:textId="77777777">
      <w:pPr>
        <w:pStyle w:val="Lijstalinea"/>
        <w:numPr>
          <w:ilvl w:val="0"/>
          <w:numId w:val="19"/>
        </w:numPr>
        <w:rPr>
          <w:rFonts w:cs="Arial"/>
        </w:rPr>
      </w:pPr>
      <w:r w:rsidRPr="001B5A3E">
        <w:rPr>
          <w:rStyle w:val="normaltextrun"/>
          <w:rFonts w:cs="Arial"/>
        </w:rPr>
        <w:t>Lokaal bevoegd gezag per gebied </w:t>
      </w:r>
      <w:r>
        <w:rPr>
          <w:rStyle w:val="eop"/>
          <w:rFonts w:eastAsia="MS Mincho" w:cs="Arial"/>
        </w:rPr>
        <w:t> </w:t>
      </w:r>
    </w:p>
    <w:p w:rsidR="00184893" w:rsidP="00B608AB" w:rsidRDefault="00184893" w14:paraId="26CE4031" w14:textId="77777777">
      <w:pPr>
        <w:pStyle w:val="Lijstalinea"/>
        <w:numPr>
          <w:ilvl w:val="0"/>
          <w:numId w:val="19"/>
        </w:numPr>
        <w:rPr>
          <w:rFonts w:cs="Arial"/>
        </w:rPr>
      </w:pPr>
      <w:r w:rsidRPr="001B5A3E">
        <w:rPr>
          <w:rStyle w:val="normaltextrun"/>
          <w:rFonts w:cs="Arial"/>
        </w:rPr>
        <w:t>Grensovergangen, per type infrastructuur </w:t>
      </w:r>
      <w:r>
        <w:rPr>
          <w:rStyle w:val="eop"/>
          <w:rFonts w:eastAsia="MS Mincho" w:cs="Arial"/>
        </w:rPr>
        <w:t> </w:t>
      </w:r>
    </w:p>
    <w:p w:rsidR="00184893" w:rsidP="00B608AB" w:rsidRDefault="00184893" w14:paraId="51815EC2" w14:textId="77777777">
      <w:pPr>
        <w:pStyle w:val="Lijstalinea"/>
        <w:numPr>
          <w:ilvl w:val="0"/>
          <w:numId w:val="19"/>
        </w:numPr>
        <w:rPr>
          <w:rFonts w:cs="Arial"/>
        </w:rPr>
      </w:pPr>
      <w:r w:rsidRPr="001B5A3E">
        <w:rPr>
          <w:rStyle w:val="normaltextrun"/>
          <w:rFonts w:cs="Arial"/>
        </w:rPr>
        <w:t>Luchthavens en vliegvelden, ook militaire </w:t>
      </w:r>
      <w:r>
        <w:rPr>
          <w:rStyle w:val="eop"/>
          <w:rFonts w:eastAsia="MS Mincho" w:cs="Arial"/>
        </w:rPr>
        <w:t> </w:t>
      </w:r>
    </w:p>
    <w:p w:rsidR="00184893" w:rsidP="00B608AB" w:rsidRDefault="00184893" w14:paraId="6B1D12D6" w14:textId="77777777">
      <w:pPr>
        <w:pStyle w:val="Lijstalinea"/>
        <w:numPr>
          <w:ilvl w:val="0"/>
          <w:numId w:val="19"/>
        </w:numPr>
        <w:rPr>
          <w:rFonts w:cs="Arial"/>
        </w:rPr>
      </w:pPr>
      <w:r w:rsidRPr="001B5A3E">
        <w:rPr>
          <w:rStyle w:val="normaltextrun"/>
          <w:rFonts w:cs="Arial"/>
        </w:rPr>
        <w:t>Militaire bases en oefenterreinen </w:t>
      </w:r>
      <w:r>
        <w:rPr>
          <w:rStyle w:val="eop"/>
          <w:rFonts w:eastAsia="MS Mincho" w:cs="Arial"/>
        </w:rPr>
        <w:t> </w:t>
      </w:r>
    </w:p>
    <w:p w:rsidR="00184893" w:rsidP="00B608AB" w:rsidRDefault="00184893" w14:paraId="55689E31" w14:textId="77777777">
      <w:pPr>
        <w:pStyle w:val="Lijstalinea"/>
        <w:numPr>
          <w:ilvl w:val="0"/>
          <w:numId w:val="19"/>
        </w:numPr>
        <w:rPr>
          <w:rFonts w:cs="Arial"/>
        </w:rPr>
      </w:pPr>
      <w:r w:rsidRPr="001B5A3E">
        <w:rPr>
          <w:rStyle w:val="normaltextrun"/>
          <w:rFonts w:cs="Arial"/>
        </w:rPr>
        <w:t>Nucleaire inrichtingen </w:t>
      </w:r>
      <w:r>
        <w:rPr>
          <w:rStyle w:val="eop"/>
          <w:rFonts w:eastAsia="MS Mincho" w:cs="Arial"/>
        </w:rPr>
        <w:t> </w:t>
      </w:r>
    </w:p>
    <w:p w:rsidR="00184893" w:rsidP="00B608AB" w:rsidRDefault="00184893" w14:paraId="2989A0C8" w14:textId="77777777">
      <w:pPr>
        <w:pStyle w:val="Lijstalinea"/>
        <w:numPr>
          <w:ilvl w:val="0"/>
          <w:numId w:val="19"/>
        </w:numPr>
        <w:rPr>
          <w:rFonts w:cs="Arial"/>
        </w:rPr>
      </w:pPr>
      <w:r w:rsidRPr="001B5A3E">
        <w:rPr>
          <w:rStyle w:val="normaltextrun"/>
          <w:rFonts w:cs="Arial"/>
        </w:rPr>
        <w:t>Tankstations wegverkeer </w:t>
      </w:r>
      <w:r>
        <w:rPr>
          <w:rStyle w:val="eop"/>
          <w:rFonts w:eastAsia="MS Mincho" w:cs="Arial"/>
        </w:rPr>
        <w:t> </w:t>
      </w:r>
    </w:p>
    <w:p w:rsidR="00184893" w:rsidP="00B608AB" w:rsidRDefault="00184893" w14:paraId="1FE9F079" w14:textId="77777777">
      <w:pPr>
        <w:pStyle w:val="Lijstalinea"/>
        <w:numPr>
          <w:ilvl w:val="0"/>
          <w:numId w:val="19"/>
        </w:numPr>
        <w:rPr>
          <w:rFonts w:cs="Arial"/>
        </w:rPr>
      </w:pPr>
      <w:r w:rsidRPr="001B5A3E">
        <w:rPr>
          <w:rStyle w:val="normaltextrun"/>
          <w:rFonts w:cs="Arial"/>
        </w:rPr>
        <w:t>Goederenvervoer per spoor </w:t>
      </w:r>
      <w:r>
        <w:rPr>
          <w:rStyle w:val="eop"/>
          <w:rFonts w:eastAsia="MS Mincho" w:cs="Arial"/>
        </w:rPr>
        <w:t> </w:t>
      </w:r>
    </w:p>
    <w:p w:rsidR="00184893" w:rsidP="00B608AB" w:rsidRDefault="00184893" w14:paraId="6CBB274C" w14:textId="77777777">
      <w:pPr>
        <w:pStyle w:val="Lijstalinea"/>
        <w:numPr>
          <w:ilvl w:val="0"/>
          <w:numId w:val="19"/>
        </w:numPr>
        <w:rPr>
          <w:rFonts w:cs="Arial"/>
        </w:rPr>
      </w:pPr>
      <w:r w:rsidRPr="001B5A3E">
        <w:rPr>
          <w:rStyle w:val="normaltextrun"/>
          <w:rFonts w:cs="Arial"/>
        </w:rPr>
        <w:t xml:space="preserve">Hoogspanningsnet </w:t>
      </w:r>
      <w:r>
        <w:rPr>
          <w:rStyle w:val="normaltextrun"/>
          <w:rFonts w:cs="Arial"/>
        </w:rPr>
        <w:t>elektriciteit </w:t>
      </w:r>
      <w:r>
        <w:rPr>
          <w:rStyle w:val="eop"/>
          <w:rFonts w:eastAsia="MS Mincho" w:cs="Arial"/>
        </w:rPr>
        <w:t> </w:t>
      </w:r>
    </w:p>
    <w:p w:rsidR="00184893" w:rsidP="00B608AB" w:rsidRDefault="00184893" w14:paraId="62DF8A8A" w14:textId="77777777">
      <w:pPr>
        <w:pStyle w:val="Lijstalinea"/>
        <w:numPr>
          <w:ilvl w:val="0"/>
          <w:numId w:val="19"/>
        </w:numPr>
        <w:rPr>
          <w:rFonts w:cs="Arial"/>
        </w:rPr>
      </w:pPr>
      <w:r w:rsidRPr="001B5A3E">
        <w:rPr>
          <w:rStyle w:val="normaltextrun"/>
          <w:rFonts w:cs="Arial"/>
        </w:rPr>
        <w:t>Grote objecten (gebouwen) met hun gebruiksfunctie voor zover beschikbaar </w:t>
      </w:r>
      <w:r>
        <w:rPr>
          <w:rStyle w:val="eop"/>
          <w:rFonts w:eastAsia="MS Mincho" w:cs="Arial"/>
        </w:rPr>
        <w:t> </w:t>
      </w:r>
    </w:p>
    <w:p w:rsidR="00184893" w:rsidP="00B608AB" w:rsidRDefault="00184893" w14:paraId="34D2BAC2" w14:textId="77777777">
      <w:pPr>
        <w:pStyle w:val="Lijstalinea"/>
        <w:numPr>
          <w:ilvl w:val="0"/>
          <w:numId w:val="19"/>
        </w:numPr>
        <w:rPr>
          <w:rFonts w:cs="Arial"/>
        </w:rPr>
      </w:pPr>
      <w:r w:rsidRPr="001B5A3E">
        <w:rPr>
          <w:rStyle w:val="normaltextrun"/>
          <w:rFonts w:cs="Arial"/>
        </w:rPr>
        <w:t>Industriële opslag gevaarlijke stoffen </w:t>
      </w:r>
      <w:r>
        <w:rPr>
          <w:rStyle w:val="eop"/>
          <w:rFonts w:eastAsia="MS Mincho" w:cs="Arial"/>
        </w:rPr>
        <w:t> </w:t>
      </w:r>
    </w:p>
    <w:p w:rsidR="00184893" w:rsidP="00B608AB" w:rsidRDefault="00184893" w14:paraId="13536A2A" w14:textId="77777777">
      <w:pPr>
        <w:pStyle w:val="Lijstalinea"/>
        <w:numPr>
          <w:ilvl w:val="0"/>
          <w:numId w:val="19"/>
        </w:numPr>
        <w:rPr>
          <w:rFonts w:cs="Arial"/>
        </w:rPr>
      </w:pPr>
      <w:r w:rsidRPr="001B5A3E">
        <w:rPr>
          <w:rStyle w:val="normaltextrun"/>
          <w:rFonts w:cs="Arial"/>
        </w:rPr>
        <w:t>Waterzuiveringsinstallaties </w:t>
      </w:r>
      <w:r>
        <w:rPr>
          <w:rStyle w:val="eop"/>
          <w:rFonts w:eastAsia="MS Mincho" w:cs="Arial"/>
        </w:rPr>
        <w:t> </w:t>
      </w:r>
    </w:p>
    <w:p w:rsidR="00184893" w:rsidP="00B608AB" w:rsidRDefault="00184893" w14:paraId="021C7DE4" w14:textId="77777777">
      <w:pPr>
        <w:pStyle w:val="Lijstalinea"/>
        <w:numPr>
          <w:ilvl w:val="0"/>
          <w:numId w:val="19"/>
        </w:numPr>
        <w:rPr>
          <w:rFonts w:cs="Arial"/>
        </w:rPr>
      </w:pPr>
      <w:r w:rsidRPr="001B5A3E">
        <w:rPr>
          <w:rStyle w:val="normaltextrun"/>
          <w:rFonts w:cs="Arial"/>
        </w:rPr>
        <w:t>Datacenters digitale infrastructuur </w:t>
      </w:r>
      <w:r>
        <w:rPr>
          <w:rStyle w:val="eop"/>
          <w:rFonts w:eastAsia="MS Mincho" w:cs="Arial"/>
        </w:rPr>
        <w:t> </w:t>
      </w:r>
    </w:p>
    <w:p w:rsidR="00184893" w:rsidP="00B608AB" w:rsidRDefault="00184893" w14:paraId="1A1642E3" w14:textId="77777777">
      <w:pPr>
        <w:pStyle w:val="Lijstalinea"/>
        <w:numPr>
          <w:ilvl w:val="0"/>
          <w:numId w:val="19"/>
        </w:numPr>
        <w:rPr>
          <w:rFonts w:cs="Arial"/>
        </w:rPr>
      </w:pPr>
      <w:r w:rsidRPr="001B5A3E">
        <w:rPr>
          <w:rStyle w:val="normaltextrun"/>
          <w:rFonts w:cs="Arial"/>
        </w:rPr>
        <w:t>Belangrijk cultureel erfgoed </w:t>
      </w:r>
      <w:r>
        <w:rPr>
          <w:rStyle w:val="eop"/>
          <w:rFonts w:eastAsia="MS Mincho" w:cs="Arial"/>
        </w:rPr>
        <w:t> </w:t>
      </w:r>
    </w:p>
    <w:p w:rsidR="00184893" w:rsidP="00B608AB" w:rsidRDefault="00184893" w14:paraId="6310B4A3" w14:textId="77777777">
      <w:pPr>
        <w:pStyle w:val="Lijstalinea"/>
        <w:numPr>
          <w:ilvl w:val="0"/>
          <w:numId w:val="19"/>
        </w:numPr>
        <w:rPr>
          <w:rFonts w:cs="Arial"/>
        </w:rPr>
      </w:pPr>
      <w:r w:rsidRPr="001B5A3E">
        <w:rPr>
          <w:rStyle w:val="normaltextrun"/>
          <w:rFonts w:cs="Arial"/>
        </w:rPr>
        <w:t xml:space="preserve">Zorglocaties </w:t>
      </w:r>
      <w:r>
        <w:rPr>
          <w:rStyle w:val="normaltextrun"/>
          <w:rFonts w:cs="Arial"/>
        </w:rPr>
        <w:t>verminderd zelfredzamen (voor zover beschikbaar) </w:t>
      </w:r>
      <w:r>
        <w:rPr>
          <w:rStyle w:val="eop"/>
          <w:rFonts w:eastAsia="MS Mincho" w:cs="Arial"/>
        </w:rPr>
        <w:t> </w:t>
      </w:r>
    </w:p>
    <w:p w:rsidR="00184893" w:rsidP="00184893" w:rsidRDefault="00184893" w14:paraId="12EECE93" w14:textId="77777777">
      <w:pPr>
        <w:autoSpaceDE w:val="0"/>
        <w:autoSpaceDN w:val="0"/>
        <w:adjustRightInd w:val="0"/>
      </w:pPr>
    </w:p>
    <w:p w:rsidRPr="00374285" w:rsidR="00184893" w:rsidP="00184893" w:rsidRDefault="00184893" w14:paraId="6E778C74" w14:textId="77777777">
      <w:pPr>
        <w:rPr>
          <w:rFonts w:cs="Arial"/>
        </w:rPr>
      </w:pPr>
      <w:r w:rsidRPr="00374285">
        <w:t>De data zijn relevant bij de ondersteuning van Duitse en Belgische buurregio’s. </w:t>
      </w:r>
    </w:p>
    <w:p w:rsidR="00184893" w:rsidP="00184893" w:rsidRDefault="00184893" w14:paraId="7B544109" w14:textId="5FE0C281">
      <w:r w:rsidRPr="00374285">
        <w:t>Mogelijkheid voor het uitbreiden van datasets, bijvoorbeeld in de nabije toekomst over het Caribisch geb</w:t>
      </w:r>
      <w:r w:rsidR="00AC3E7B">
        <w:t>ie</w:t>
      </w:r>
      <w:r w:rsidRPr="00374285">
        <w:t>d. </w:t>
      </w:r>
    </w:p>
    <w:p w:rsidR="00184893" w:rsidP="00184893" w:rsidRDefault="00184893" w14:paraId="6A50030F" w14:textId="77777777">
      <w:pPr>
        <w:autoSpaceDE w:val="0"/>
        <w:autoSpaceDN w:val="0"/>
        <w:adjustRightInd w:val="0"/>
      </w:pPr>
    </w:p>
    <w:p w:rsidRPr="00C42D06" w:rsidR="00184893" w:rsidP="00184893" w:rsidRDefault="00184893" w14:paraId="1A923BFB" w14:textId="77777777">
      <w:pPr>
        <w:autoSpaceDE w:val="0"/>
        <w:autoSpaceDN w:val="0"/>
        <w:adjustRightInd w:val="0"/>
        <w:spacing w:line="276" w:lineRule="auto"/>
        <w:rPr>
          <w:rFonts w:cs="Arial"/>
        </w:rPr>
      </w:pPr>
      <w:r w:rsidRPr="00C42D06">
        <w:rPr>
          <w:rFonts w:cs="Arial"/>
          <w:b/>
          <w:bCs/>
        </w:rPr>
        <w:t>Wat zijn verrijkte data?</w:t>
      </w:r>
      <w:r w:rsidRPr="00C42D06">
        <w:rPr>
          <w:rFonts w:cs="Arial"/>
        </w:rPr>
        <w:t> </w:t>
      </w:r>
    </w:p>
    <w:p w:rsidR="00184893" w:rsidP="00184893" w:rsidRDefault="00184893" w14:paraId="7713C460" w14:textId="77777777">
      <w:r w:rsidRPr="00C42D06">
        <w:t>Het verrijken van data (inclusief metadata) is het proces waarbij gegevens worden aangevuld, verbeterd of van context worden voorzien met extra informatie. Hierdoor krijgen de oorspronkelijke gegevens meer betekenis en meer waarde. Dit kan bijvoorbeeld door externe bronnen of analysemethoden te koppelen met de data.  </w:t>
      </w:r>
    </w:p>
    <w:p w:rsidRPr="00C42D06" w:rsidR="00184893" w:rsidP="00184893" w:rsidRDefault="00184893" w14:paraId="4C619FEB" w14:textId="77777777"/>
    <w:p w:rsidRPr="00C42D06" w:rsidR="00184893" w:rsidP="00184893" w:rsidRDefault="00184893" w14:paraId="5840DCC0" w14:textId="77777777">
      <w:r w:rsidRPr="00C42D06">
        <w:t>Enkele voorbeelden van hoe data kan worden verrijkt: </w:t>
      </w:r>
    </w:p>
    <w:p w:rsidRPr="00C42D06" w:rsidR="00184893" w:rsidP="00B608AB" w:rsidRDefault="00184893" w14:paraId="4B619E8C" w14:textId="77777777">
      <w:pPr>
        <w:pStyle w:val="Lijstalinea"/>
        <w:numPr>
          <w:ilvl w:val="0"/>
          <w:numId w:val="20"/>
        </w:numPr>
      </w:pPr>
      <w:r w:rsidRPr="001B5A3E">
        <w:rPr>
          <w:b/>
        </w:rPr>
        <w:t xml:space="preserve">Pandinformatie: </w:t>
      </w:r>
      <w:r w:rsidRPr="00C42D06">
        <w:t>Basisgegevens uit de BAG kunnen worden verrijkt met gegevens uit bijvoorbeeld het handelsregister, kadaster, bestemmingsplannen, bouwvergunningen, CBS en omgevingsregistraties, wat de informatievoorziening over een pand aanzienlijk versnelt (belangrijk in crisissituaties). </w:t>
      </w:r>
    </w:p>
    <w:p w:rsidRPr="00C42D06" w:rsidR="00184893" w:rsidP="00B608AB" w:rsidRDefault="00184893" w14:paraId="7B0C30CE" w14:textId="6746A926">
      <w:pPr>
        <w:pStyle w:val="Lijstalinea"/>
        <w:numPr>
          <w:ilvl w:val="0"/>
          <w:numId w:val="20"/>
        </w:numPr>
      </w:pPr>
      <w:r w:rsidRPr="001B5A3E">
        <w:rPr>
          <w:b/>
        </w:rPr>
        <w:t>Demografische gegevens</w:t>
      </w:r>
      <w:r w:rsidRPr="00C42D06">
        <w:t xml:space="preserve">: </w:t>
      </w:r>
      <w:r w:rsidR="00B81770">
        <w:t>G</w:t>
      </w:r>
      <w:r w:rsidRPr="00C42D06">
        <w:t>egevens zoals leeftijd of geslacht kunnen worden verrijkt met informatie over bijvoorbeeld inkomensniveaus, gezinsstructuren of gezondheidsstatistieken, wat de analyse van kwetsbare groepen in een regio vergemakkelijkt. </w:t>
      </w:r>
    </w:p>
    <w:p w:rsidRPr="00C42D06" w:rsidR="00184893" w:rsidP="00B608AB" w:rsidRDefault="00184893" w14:paraId="1DB947C6" w14:textId="77777777">
      <w:pPr>
        <w:pStyle w:val="Lijstalinea"/>
        <w:numPr>
          <w:ilvl w:val="0"/>
          <w:numId w:val="20"/>
        </w:numPr>
      </w:pPr>
      <w:r w:rsidRPr="001B5A3E">
        <w:rPr>
          <w:b/>
        </w:rPr>
        <w:t>Externe bronnen</w:t>
      </w:r>
      <w:r w:rsidRPr="00C42D06">
        <w:t xml:space="preserve">: Gegevens uit externe databanken, zoals weersomstandigheden, verkeersinformatie of sociale media, kunnen worden toegevoegd aan interne </w:t>
      </w:r>
      <w:r w:rsidRPr="00C42D06">
        <w:t>gegevens om een vollediger beeld van een situatie te krijgen. Dit kan helpen bij het voorspellen van incidenten of het plannen van interventies. </w:t>
      </w:r>
    </w:p>
    <w:p w:rsidRPr="00C42D06" w:rsidR="00184893" w:rsidP="00B608AB" w:rsidRDefault="00184893" w14:paraId="680330FF" w14:textId="77777777">
      <w:pPr>
        <w:pStyle w:val="Lijstalinea"/>
        <w:numPr>
          <w:ilvl w:val="0"/>
          <w:numId w:val="20"/>
        </w:numPr>
      </w:pPr>
      <w:r w:rsidRPr="001B5A3E">
        <w:rPr>
          <w:b/>
        </w:rPr>
        <w:t>Tijdseries en historische data</w:t>
      </w:r>
      <w:r w:rsidRPr="00C42D06">
        <w:t>: Door historische gegevens (bijvoorbeeld van incidenten of crisissituaties) toe te voegen, kan een patroon worden herkend en kan men voorspellen waar en wanneer er mogelijk nieuwe incidenten plaatsvinden. </w:t>
      </w:r>
    </w:p>
    <w:p w:rsidR="00184893" w:rsidP="00B608AB" w:rsidRDefault="00184893" w14:paraId="5D7B9E12" w14:textId="77777777">
      <w:pPr>
        <w:pStyle w:val="Lijstalinea"/>
        <w:numPr>
          <w:ilvl w:val="0"/>
          <w:numId w:val="20"/>
        </w:numPr>
      </w:pPr>
      <w:r w:rsidRPr="001B5A3E">
        <w:rPr>
          <w:b/>
        </w:rPr>
        <w:t>Het ‘waartoe’</w:t>
      </w:r>
      <w:r w:rsidRPr="00C42D06">
        <w:t>: door in de metadata het belang van de data op te nemen voor de KCR2-thema’s en voor het Kenmerkenschema vanuit brandweerzorg, sluit de data optimaal aan op de informatiebehoeften vanuit crisisbeheersing, rampenbestrijding en brandweerzorg. </w:t>
      </w:r>
    </w:p>
    <w:p w:rsidRPr="00C42D06" w:rsidR="00184893" w:rsidP="00184893" w:rsidRDefault="00184893" w14:paraId="6A6C06E8" w14:textId="77777777">
      <w:pPr>
        <w:autoSpaceDE w:val="0"/>
        <w:autoSpaceDN w:val="0"/>
        <w:adjustRightInd w:val="0"/>
        <w:spacing w:line="276" w:lineRule="auto"/>
        <w:rPr>
          <w:rFonts w:cs="Arial"/>
        </w:rPr>
      </w:pPr>
    </w:p>
    <w:p w:rsidR="001909DC" w:rsidP="001909DC" w:rsidRDefault="00184893" w14:paraId="52D10079" w14:textId="358FC012">
      <w:r w:rsidRPr="00C42D06">
        <w:t>Het verrijken van data maakt het mogelijk om inzichten te verkrijgen die anders misschien niet zichtbaar zouden zijn, en maakt de gegevens veel bruikbaarder voor diverse toepassingen. In de context van veiligheidsregio’s helpt verrijkte data bijvoorbeeld om snel de juiste middelen in te zetten bij incidenten, risico's beter in te schatten en efficiënter te reageren op noodsituaties. </w:t>
      </w:r>
    </w:p>
    <w:p w:rsidR="00F12598" w:rsidP="001909DC" w:rsidRDefault="00F12598" w14:paraId="68588B18" w14:textId="77777777"/>
    <w:p w:rsidRPr="00F12598" w:rsidR="00F12598" w:rsidP="001909DC" w:rsidRDefault="00F12598" w14:paraId="7B8D51CA" w14:textId="6128F229">
      <w:pPr>
        <w:rPr>
          <w:b/>
          <w:bCs/>
        </w:rPr>
      </w:pPr>
      <w:r>
        <w:rPr>
          <w:b/>
          <w:bCs/>
        </w:rPr>
        <w:t xml:space="preserve">Overzicht </w:t>
      </w:r>
      <w:r w:rsidR="0015152F">
        <w:rPr>
          <w:b/>
          <w:bCs/>
        </w:rPr>
        <w:t>Data4OOV gebruik</w:t>
      </w:r>
    </w:p>
    <w:p w:rsidR="00F12598" w:rsidP="001909DC" w:rsidRDefault="00F12598" w14:paraId="62E3C458" w14:textId="1D624C19">
      <w:r w:rsidRPr="00F12598">
        <w:rPr>
          <w:noProof/>
        </w:rPr>
        <w:drawing>
          <wp:inline distT="0" distB="0" distL="0" distR="0" wp14:anchorId="5F0E1BAC" wp14:editId="18834D2E">
            <wp:extent cx="5220335" cy="2445385"/>
            <wp:effectExtent l="0" t="0" r="0" b="0"/>
            <wp:docPr id="995603568" name="Afbeelding 1" descr="Afbeelding met tekst, schermopname, Lettertyp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03568" name="Afbeelding 1" descr="Afbeelding met tekst, schermopname, Lettertype, Rechthoek&#10;&#10;Door AI gegenereerde inhoud is mogelijk onjuist."/>
                    <pic:cNvPicPr/>
                  </pic:nvPicPr>
                  <pic:blipFill>
                    <a:blip r:embed="rId13"/>
                    <a:stretch>
                      <a:fillRect/>
                    </a:stretch>
                  </pic:blipFill>
                  <pic:spPr>
                    <a:xfrm>
                      <a:off x="0" y="0"/>
                      <a:ext cx="5220335" cy="2445385"/>
                    </a:xfrm>
                    <a:prstGeom prst="rect">
                      <a:avLst/>
                    </a:prstGeom>
                  </pic:spPr>
                </pic:pic>
              </a:graphicData>
            </a:graphic>
          </wp:inline>
        </w:drawing>
      </w:r>
    </w:p>
    <w:p w:rsidR="00576506" w:rsidP="001909DC" w:rsidRDefault="00576506" w14:paraId="43992AAB" w14:textId="77777777"/>
    <w:p w:rsidR="00576506" w:rsidP="001909DC" w:rsidRDefault="00576506" w14:paraId="4EEC831D" w14:textId="3379071D">
      <w:r>
        <w:t>De inhoud en scope van de opdracht zijn nader omschreven in het Programma van Eisen (</w:t>
      </w:r>
      <w:r w:rsidRPr="00766A10">
        <w:t xml:space="preserve">bijlage </w:t>
      </w:r>
      <w:r w:rsidRPr="00766A10" w:rsidR="00766A10">
        <w:t>7</w:t>
      </w:r>
      <w:r w:rsidRPr="00766A10">
        <w:t>).</w:t>
      </w:r>
    </w:p>
    <w:p w:rsidR="00864478" w:rsidP="001909DC" w:rsidRDefault="00864478" w14:paraId="55060E00" w14:textId="77777777"/>
    <w:p w:rsidR="00864478" w:rsidP="00864478" w:rsidRDefault="00864478" w14:paraId="02F9BEB9" w14:textId="2F4991A0">
      <w:pPr>
        <w:pStyle w:val="Kop3"/>
      </w:pPr>
      <w:r>
        <w:t>De dienstverlening</w:t>
      </w:r>
    </w:p>
    <w:p w:rsidR="00864478" w:rsidP="00864478" w:rsidRDefault="00864478" w14:paraId="0AF4409A" w14:textId="77777777"/>
    <w:p w:rsidRPr="00FD22EB" w:rsidR="0011607E" w:rsidP="0011607E" w:rsidRDefault="0011607E" w14:paraId="719E09CB" w14:textId="54BF38C0">
      <w:pPr>
        <w:spacing w:after="160" w:line="259" w:lineRule="auto"/>
        <w:rPr>
          <w:b/>
          <w:bCs/>
        </w:rPr>
      </w:pPr>
      <w:r w:rsidRPr="00FD22EB">
        <w:rPr>
          <w:b/>
          <w:bCs/>
        </w:rPr>
        <w:t>1. Levering van een online managed dataplatform</w:t>
      </w:r>
    </w:p>
    <w:p w:rsidRPr="00FD22EB" w:rsidR="0011607E" w:rsidP="00B608AB" w:rsidRDefault="0011607E" w14:paraId="56EAA243" w14:textId="5C3CE569">
      <w:pPr>
        <w:numPr>
          <w:ilvl w:val="0"/>
          <w:numId w:val="37"/>
        </w:numPr>
        <w:spacing w:after="160" w:line="259" w:lineRule="auto"/>
      </w:pPr>
      <w:r w:rsidRPr="00FD22EB">
        <w:t xml:space="preserve">Direct beschikbaar bij de start van de </w:t>
      </w:r>
      <w:r w:rsidR="00053958">
        <w:t>O</w:t>
      </w:r>
      <w:r w:rsidRPr="00FD22EB">
        <w:t>vereenkomst (geen ontwikkeltraject).</w:t>
      </w:r>
    </w:p>
    <w:p w:rsidRPr="00FD22EB" w:rsidR="0011607E" w:rsidP="00B608AB" w:rsidRDefault="0011607E" w14:paraId="025FC560" w14:textId="77777777">
      <w:pPr>
        <w:numPr>
          <w:ilvl w:val="0"/>
          <w:numId w:val="37"/>
        </w:numPr>
        <w:spacing w:after="160" w:line="259" w:lineRule="auto"/>
      </w:pPr>
      <w:r w:rsidRPr="00FD22EB">
        <w:t>Beschikbaarstelling van verrijkte geodata en metadata die actueel, samengesteld en betekenisvol is.</w:t>
      </w:r>
    </w:p>
    <w:p w:rsidRPr="00FD22EB" w:rsidR="0011607E" w:rsidP="00B608AB" w:rsidRDefault="0011607E" w14:paraId="2F23AFF8" w14:textId="77777777">
      <w:pPr>
        <w:numPr>
          <w:ilvl w:val="0"/>
          <w:numId w:val="37"/>
        </w:numPr>
        <w:spacing w:after="160" w:line="259" w:lineRule="auto"/>
      </w:pPr>
      <w:r w:rsidRPr="00FD22EB">
        <w:t>Geschikt voor de OOV-sector (Openbare Orde en Veiligheid).</w:t>
      </w:r>
    </w:p>
    <w:p w:rsidRPr="00FD22EB" w:rsidR="0011607E" w:rsidP="00B608AB" w:rsidRDefault="0011607E" w14:paraId="07228A80" w14:textId="77777777">
      <w:pPr>
        <w:numPr>
          <w:ilvl w:val="0"/>
          <w:numId w:val="37"/>
        </w:numPr>
        <w:spacing w:after="160" w:line="259" w:lineRule="auto"/>
      </w:pPr>
      <w:r w:rsidRPr="00FD22EB">
        <w:t>Beschikbaarheid vanuit één bron via OGC webservices (zoals WMS, WFS, WMTS).</w:t>
      </w:r>
    </w:p>
    <w:p w:rsidRPr="00FD22EB" w:rsidR="0011607E" w:rsidP="00B608AB" w:rsidRDefault="0011607E" w14:paraId="53280CF7" w14:textId="77777777">
      <w:pPr>
        <w:numPr>
          <w:ilvl w:val="0"/>
          <w:numId w:val="37"/>
        </w:numPr>
        <w:spacing w:after="160" w:line="259" w:lineRule="auto"/>
      </w:pPr>
      <w:r w:rsidRPr="00FD22EB">
        <w:t>Compatibel met open webservices gebaseerde GIS-tools zoals QGIS, Mapbox GL, MapLibre, OpenLayers, Leaflet, Cesium, Power BI, moderne browsers en (Digital Twin) applicaties.</w:t>
      </w:r>
    </w:p>
    <w:p w:rsidRPr="00FD22EB" w:rsidR="0011607E" w:rsidP="0011607E" w:rsidRDefault="0011607E" w14:paraId="42864FF9" w14:textId="77777777">
      <w:pPr>
        <w:spacing w:after="160" w:line="259" w:lineRule="auto"/>
        <w:rPr>
          <w:b/>
          <w:bCs/>
        </w:rPr>
      </w:pPr>
      <w:r w:rsidRPr="00FD22EB">
        <w:rPr>
          <w:b/>
          <w:bCs/>
        </w:rPr>
        <w:t>2. Betrouwbare en continue dienstverlening</w:t>
      </w:r>
    </w:p>
    <w:p w:rsidRPr="00FD22EB" w:rsidR="0011607E" w:rsidP="00B608AB" w:rsidRDefault="0011607E" w14:paraId="35B6E10B" w14:textId="77777777">
      <w:pPr>
        <w:numPr>
          <w:ilvl w:val="0"/>
          <w:numId w:val="38"/>
        </w:numPr>
        <w:spacing w:after="160" w:line="259" w:lineRule="auto"/>
      </w:pPr>
      <w:r w:rsidRPr="00FD22EB">
        <w:t>Ingericht proces voor het verzamelen, verrijken en actueel houden van geodata.</w:t>
      </w:r>
    </w:p>
    <w:p w:rsidRPr="00FD22EB" w:rsidR="0011607E" w:rsidP="00B608AB" w:rsidRDefault="0011607E" w14:paraId="43E437D1" w14:textId="48152DD6">
      <w:pPr>
        <w:numPr>
          <w:ilvl w:val="0"/>
          <w:numId w:val="38"/>
        </w:numPr>
        <w:spacing w:after="160" w:line="259" w:lineRule="auto"/>
      </w:pPr>
      <w:r w:rsidRPr="00FD22EB">
        <w:t xml:space="preserve">Proactief inspelen op wijzigingen </w:t>
      </w:r>
      <w:r w:rsidR="00117495">
        <w:t>(</w:t>
      </w:r>
      <w:r w:rsidRPr="00FD22EB">
        <w:t>in het aanbod</w:t>
      </w:r>
      <w:r w:rsidR="00117495">
        <w:t>)</w:t>
      </w:r>
      <w:r w:rsidRPr="00FD22EB">
        <w:t xml:space="preserve"> van openbare geodata.</w:t>
      </w:r>
    </w:p>
    <w:p w:rsidRPr="00FD22EB" w:rsidR="0011607E" w:rsidP="00B608AB" w:rsidRDefault="0011607E" w14:paraId="253E1815" w14:textId="77777777">
      <w:pPr>
        <w:numPr>
          <w:ilvl w:val="0"/>
          <w:numId w:val="38"/>
        </w:numPr>
        <w:spacing w:after="160" w:line="259" w:lineRule="auto"/>
      </w:pPr>
      <w:r w:rsidRPr="00FD22EB">
        <w:t>Robuuste, schaalbare en hoog-beschikbare ICT-infrastructuur.</w:t>
      </w:r>
    </w:p>
    <w:p w:rsidRPr="00FD22EB" w:rsidR="0011607E" w:rsidP="0011607E" w:rsidRDefault="0011607E" w14:paraId="5A2E9839" w14:textId="77777777">
      <w:pPr>
        <w:spacing w:after="160" w:line="259" w:lineRule="auto"/>
        <w:rPr>
          <w:b/>
          <w:bCs/>
        </w:rPr>
      </w:pPr>
      <w:r w:rsidRPr="00FD22EB">
        <w:rPr>
          <w:b/>
          <w:bCs/>
        </w:rPr>
        <w:t>3. Cloud-native oplossing</w:t>
      </w:r>
    </w:p>
    <w:p w:rsidRPr="00FD22EB" w:rsidR="0011607E" w:rsidP="00B608AB" w:rsidRDefault="0011607E" w14:paraId="48929E32" w14:textId="149CF7DA">
      <w:pPr>
        <w:numPr>
          <w:ilvl w:val="0"/>
          <w:numId w:val="39"/>
        </w:numPr>
        <w:spacing w:after="160" w:line="259" w:lineRule="auto"/>
      </w:pPr>
      <w:r w:rsidRPr="00FD22EB">
        <w:t>Oplossing specifiek</w:t>
      </w:r>
      <w:r w:rsidR="002348B1">
        <w:t xml:space="preserve"> cloud-native</w:t>
      </w:r>
      <w:r w:rsidRPr="00FD22EB">
        <w:t xml:space="preserve"> ontworpen en ontwikkeld, niet cloud-based.</w:t>
      </w:r>
    </w:p>
    <w:p w:rsidRPr="00FD22EB" w:rsidR="0011607E" w:rsidP="00B608AB" w:rsidRDefault="0011607E" w14:paraId="3BCBB5B0" w14:textId="77777777">
      <w:pPr>
        <w:numPr>
          <w:ilvl w:val="0"/>
          <w:numId w:val="39"/>
        </w:numPr>
        <w:spacing w:after="160" w:line="259" w:lineRule="auto"/>
      </w:pPr>
      <w:r w:rsidRPr="00FD22EB">
        <w:t>Kenmerken van cloud-native oplossing:</w:t>
      </w:r>
    </w:p>
    <w:p w:rsidRPr="00FD22EB" w:rsidR="0011607E" w:rsidP="00B608AB" w:rsidRDefault="0011607E" w14:paraId="1105EC65" w14:textId="77777777">
      <w:pPr>
        <w:numPr>
          <w:ilvl w:val="1"/>
          <w:numId w:val="39"/>
        </w:numPr>
        <w:spacing w:after="160" w:line="259" w:lineRule="auto"/>
      </w:pPr>
      <w:r w:rsidRPr="00FD22EB">
        <w:t>Efficiënt gebruik van cloudbronnen (CPU, geheugen, opslag).</w:t>
      </w:r>
    </w:p>
    <w:p w:rsidRPr="00FD22EB" w:rsidR="0011607E" w:rsidP="00B608AB" w:rsidRDefault="0011607E" w14:paraId="2B4A8ECC" w14:textId="77777777">
      <w:pPr>
        <w:numPr>
          <w:ilvl w:val="1"/>
          <w:numId w:val="39"/>
        </w:numPr>
        <w:spacing w:after="160" w:line="259" w:lineRule="auto"/>
      </w:pPr>
      <w:r w:rsidRPr="00FD22EB">
        <w:t>Cloud-geoptimaliseerde bestanden om dataverkeer te minimaliseren.</w:t>
      </w:r>
    </w:p>
    <w:p w:rsidRPr="00FD22EB" w:rsidR="0011607E" w:rsidP="00B608AB" w:rsidRDefault="0011607E" w14:paraId="6654F31C" w14:textId="77777777">
      <w:pPr>
        <w:numPr>
          <w:ilvl w:val="1"/>
          <w:numId w:val="39"/>
        </w:numPr>
        <w:spacing w:after="160" w:line="259" w:lineRule="auto"/>
      </w:pPr>
      <w:r w:rsidRPr="00FD22EB">
        <w:t>Snelle opstart en hoge performance.</w:t>
      </w:r>
    </w:p>
    <w:p w:rsidRPr="00FD22EB" w:rsidR="0011607E" w:rsidP="00B608AB" w:rsidRDefault="0011607E" w14:paraId="63FF728E" w14:textId="77777777">
      <w:pPr>
        <w:numPr>
          <w:ilvl w:val="1"/>
          <w:numId w:val="39"/>
        </w:numPr>
        <w:spacing w:after="160" w:line="259" w:lineRule="auto"/>
      </w:pPr>
      <w:r w:rsidRPr="00FD22EB">
        <w:t>Duidelijke API’s voor externe systemen.</w:t>
      </w:r>
    </w:p>
    <w:p w:rsidRPr="00FD22EB" w:rsidR="0011607E" w:rsidP="00B608AB" w:rsidRDefault="0011607E" w14:paraId="59DA9550" w14:textId="77777777">
      <w:pPr>
        <w:numPr>
          <w:ilvl w:val="1"/>
          <w:numId w:val="39"/>
        </w:numPr>
        <w:spacing w:after="160" w:line="259" w:lineRule="auto"/>
      </w:pPr>
      <w:r w:rsidRPr="00FD22EB">
        <w:t>Containerisatie (bijvoorbeeld Docker).</w:t>
      </w:r>
    </w:p>
    <w:p w:rsidRPr="00FD22EB" w:rsidR="0011607E" w:rsidP="00B608AB" w:rsidRDefault="0011607E" w14:paraId="319F1533" w14:textId="77777777">
      <w:pPr>
        <w:numPr>
          <w:ilvl w:val="1"/>
          <w:numId w:val="39"/>
        </w:numPr>
        <w:spacing w:after="160" w:line="259" w:lineRule="auto"/>
      </w:pPr>
      <w:r w:rsidRPr="00FD22EB">
        <w:t>Configuratie van buitenaf (via configbestanden/omgevingsvariabelen).</w:t>
      </w:r>
    </w:p>
    <w:p w:rsidRPr="00FD22EB" w:rsidR="0011607E" w:rsidP="00B608AB" w:rsidRDefault="0011607E" w14:paraId="3EFD1806" w14:textId="77777777">
      <w:pPr>
        <w:numPr>
          <w:ilvl w:val="1"/>
          <w:numId w:val="39"/>
        </w:numPr>
        <w:spacing w:after="160" w:line="259" w:lineRule="auto"/>
      </w:pPr>
      <w:r w:rsidRPr="00FD22EB">
        <w:t>Gedistribueerde microservicesarchitectuur met verticale en horizontale schaalbaarheid.</w:t>
      </w:r>
    </w:p>
    <w:p w:rsidRPr="00FD22EB" w:rsidR="0011607E" w:rsidP="00B608AB" w:rsidRDefault="0011607E" w14:paraId="0E8F777F" w14:textId="77777777">
      <w:pPr>
        <w:numPr>
          <w:ilvl w:val="1"/>
          <w:numId w:val="39"/>
        </w:numPr>
        <w:spacing w:after="160" w:line="259" w:lineRule="auto"/>
      </w:pPr>
      <w:r w:rsidRPr="00FD22EB">
        <w:t>Actief onderhoud, regelmatige updates en support.</w:t>
      </w:r>
    </w:p>
    <w:p w:rsidRPr="00FD22EB" w:rsidR="0011607E" w:rsidP="00B608AB" w:rsidRDefault="0011607E" w14:paraId="30E80A65" w14:textId="77777777">
      <w:pPr>
        <w:numPr>
          <w:ilvl w:val="1"/>
          <w:numId w:val="39"/>
        </w:numPr>
        <w:spacing w:after="160" w:line="259" w:lineRule="auto"/>
      </w:pPr>
      <w:r w:rsidRPr="00FD22EB">
        <w:t>Backup- en disaster recoveryfunctionaliteit.</w:t>
      </w:r>
    </w:p>
    <w:p w:rsidRPr="00FD22EB" w:rsidR="0011607E" w:rsidP="0011607E" w:rsidRDefault="0011607E" w14:paraId="50E39490" w14:textId="77777777">
      <w:pPr>
        <w:spacing w:after="160" w:line="259" w:lineRule="auto"/>
        <w:rPr>
          <w:b/>
          <w:bCs/>
        </w:rPr>
      </w:pPr>
      <w:r w:rsidRPr="00FD22EB">
        <w:rPr>
          <w:b/>
          <w:bCs/>
        </w:rPr>
        <w:t>4. Data-inhoud en thema’s</w:t>
      </w:r>
    </w:p>
    <w:p w:rsidRPr="00FD22EB" w:rsidR="0011607E" w:rsidP="0011607E" w:rsidRDefault="0011607E" w14:paraId="45C74A47" w14:textId="77777777">
      <w:pPr>
        <w:spacing w:after="160" w:line="259" w:lineRule="auto"/>
        <w:rPr>
          <w:b/>
          <w:bCs/>
        </w:rPr>
      </w:pPr>
      <w:r w:rsidRPr="00FD22EB">
        <w:rPr>
          <w:b/>
          <w:bCs/>
        </w:rPr>
        <w:t>Basisregistraties (minimaal)</w:t>
      </w:r>
    </w:p>
    <w:p w:rsidRPr="00FD22EB" w:rsidR="0011607E" w:rsidP="00B608AB" w:rsidRDefault="0011607E" w14:paraId="09796A33" w14:textId="77777777">
      <w:pPr>
        <w:numPr>
          <w:ilvl w:val="0"/>
          <w:numId w:val="40"/>
        </w:numPr>
        <w:spacing w:after="160" w:line="259" w:lineRule="auto"/>
      </w:pPr>
      <w:r w:rsidRPr="00FD22EB">
        <w:t>BGT (grootschalige topografie)</w:t>
      </w:r>
    </w:p>
    <w:p w:rsidRPr="00FD22EB" w:rsidR="0011607E" w:rsidP="00B608AB" w:rsidRDefault="0011607E" w14:paraId="11EBE94B" w14:textId="77777777">
      <w:pPr>
        <w:numPr>
          <w:ilvl w:val="0"/>
          <w:numId w:val="40"/>
        </w:numPr>
        <w:spacing w:after="160" w:line="259" w:lineRule="auto"/>
      </w:pPr>
      <w:r w:rsidRPr="00FD22EB">
        <w:t>BRT (kleinschalige topografie)</w:t>
      </w:r>
    </w:p>
    <w:p w:rsidRPr="00FD22EB" w:rsidR="0011607E" w:rsidP="00B608AB" w:rsidRDefault="0011607E" w14:paraId="22618FA8" w14:textId="77777777">
      <w:pPr>
        <w:numPr>
          <w:ilvl w:val="0"/>
          <w:numId w:val="40"/>
        </w:numPr>
        <w:spacing w:after="160" w:line="259" w:lineRule="auto"/>
      </w:pPr>
      <w:r w:rsidRPr="00FD22EB">
        <w:t>BRK (kadastrale perceelgegevens)</w:t>
      </w:r>
    </w:p>
    <w:p w:rsidRPr="00FD22EB" w:rsidR="0011607E" w:rsidP="00B608AB" w:rsidRDefault="0011607E" w14:paraId="13D0D65B" w14:textId="77777777">
      <w:pPr>
        <w:numPr>
          <w:ilvl w:val="0"/>
          <w:numId w:val="40"/>
        </w:numPr>
        <w:spacing w:after="160" w:line="259" w:lineRule="auto"/>
      </w:pPr>
      <w:r w:rsidRPr="00FD22EB">
        <w:t>NHR (Handelsregister)</w:t>
      </w:r>
    </w:p>
    <w:p w:rsidRPr="00FD22EB" w:rsidR="0011607E" w:rsidP="00B608AB" w:rsidRDefault="0011607E" w14:paraId="4DBC2EFC" w14:textId="77777777">
      <w:pPr>
        <w:numPr>
          <w:ilvl w:val="0"/>
          <w:numId w:val="40"/>
        </w:numPr>
        <w:spacing w:after="160" w:line="259" w:lineRule="auto"/>
      </w:pPr>
      <w:r w:rsidRPr="00FD22EB">
        <w:t>BAG (adressen en gebouwen)</w:t>
      </w:r>
    </w:p>
    <w:p w:rsidRPr="00FD22EB" w:rsidR="0011607E" w:rsidP="00B608AB" w:rsidRDefault="0011607E" w14:paraId="47634FCA" w14:textId="77777777">
      <w:pPr>
        <w:numPr>
          <w:ilvl w:val="0"/>
          <w:numId w:val="40"/>
        </w:numPr>
        <w:spacing w:after="160" w:line="259" w:lineRule="auto"/>
      </w:pPr>
      <w:r w:rsidRPr="00FD22EB">
        <w:t>Bestuurlijke grenzen</w:t>
      </w:r>
    </w:p>
    <w:p w:rsidRPr="00FD22EB" w:rsidR="0011607E" w:rsidP="0011607E" w:rsidRDefault="0011607E" w14:paraId="47F8D4D8" w14:textId="77777777">
      <w:pPr>
        <w:spacing w:after="160" w:line="259" w:lineRule="auto"/>
        <w:rPr>
          <w:b/>
          <w:bCs/>
        </w:rPr>
      </w:pPr>
      <w:r w:rsidRPr="00FD22EB">
        <w:rPr>
          <w:b/>
          <w:bCs/>
        </w:rPr>
        <w:t>Gebouwen</w:t>
      </w:r>
    </w:p>
    <w:p w:rsidRPr="00FD22EB" w:rsidR="0011607E" w:rsidP="00B608AB" w:rsidRDefault="0011607E" w14:paraId="300A41DB" w14:textId="77777777">
      <w:pPr>
        <w:numPr>
          <w:ilvl w:val="0"/>
          <w:numId w:val="41"/>
        </w:numPr>
        <w:spacing w:after="160" w:line="259" w:lineRule="auto"/>
      </w:pPr>
      <w:r w:rsidRPr="00FD22EB">
        <w:t>Verrijkte en samengestelde gebouwinformatie (2D en 3D LoD1.5 of LoD2.2).</w:t>
      </w:r>
    </w:p>
    <w:p w:rsidRPr="00FD22EB" w:rsidR="0011607E" w:rsidP="00B608AB" w:rsidRDefault="0011607E" w14:paraId="148D2ACE" w14:textId="77777777">
      <w:pPr>
        <w:numPr>
          <w:ilvl w:val="0"/>
          <w:numId w:val="41"/>
        </w:numPr>
        <w:spacing w:after="160" w:line="259" w:lineRule="auto"/>
      </w:pPr>
      <w:r w:rsidRPr="00FD22EB">
        <w:t>Maandelijkse of hogere updatefrequentie.</w:t>
      </w:r>
    </w:p>
    <w:p w:rsidRPr="00FD22EB" w:rsidR="0011607E" w:rsidP="00B608AB" w:rsidRDefault="0011607E" w14:paraId="06AFD5D0" w14:textId="77777777">
      <w:pPr>
        <w:numPr>
          <w:ilvl w:val="0"/>
          <w:numId w:val="41"/>
        </w:numPr>
        <w:spacing w:after="160" w:line="259" w:lineRule="auto"/>
      </w:pPr>
      <w:r w:rsidRPr="00FD22EB">
        <w:t>Aanvullende kenmerken o.a.: bouwjaar, hoogte, gebruiksfuncties, energielabel, WOZ-waarde, kinderopvang, risico-indicatie, populatieschatting, bestemmingsplan, nutsvoorzieningen, monumentstatus, overstromingsdiepte etc.</w:t>
      </w:r>
    </w:p>
    <w:p w:rsidRPr="00FD22EB" w:rsidR="0011607E" w:rsidP="0011607E" w:rsidRDefault="0011607E" w14:paraId="22AA5026" w14:textId="77777777">
      <w:pPr>
        <w:spacing w:after="160" w:line="259" w:lineRule="auto"/>
        <w:rPr>
          <w:b/>
          <w:bCs/>
        </w:rPr>
      </w:pPr>
      <w:r w:rsidRPr="00FD22EB">
        <w:rPr>
          <w:b/>
          <w:bCs/>
        </w:rPr>
        <w:t>Locatiespecifieke data</w:t>
      </w:r>
    </w:p>
    <w:p w:rsidRPr="00FD22EB" w:rsidR="0011607E" w:rsidP="00B608AB" w:rsidRDefault="0011607E" w14:paraId="7AD1957F" w14:textId="77777777">
      <w:pPr>
        <w:numPr>
          <w:ilvl w:val="0"/>
          <w:numId w:val="42"/>
        </w:numPr>
        <w:spacing w:after="160" w:line="259" w:lineRule="auto"/>
      </w:pPr>
      <w:r w:rsidRPr="00FD22EB">
        <w:t>Overheidslocaties (gemeentehuizen, politiebureaus, brandweerkazernes etc.).</w:t>
      </w:r>
    </w:p>
    <w:p w:rsidRPr="00FD22EB" w:rsidR="0011607E" w:rsidP="00B608AB" w:rsidRDefault="0011607E" w14:paraId="55612538" w14:textId="77777777">
      <w:pPr>
        <w:numPr>
          <w:ilvl w:val="0"/>
          <w:numId w:val="42"/>
        </w:numPr>
        <w:spacing w:after="160" w:line="259" w:lineRule="auto"/>
      </w:pPr>
      <w:r w:rsidRPr="00FD22EB">
        <w:t>Specifieke locaties (scholen, horeca, datacenters, ziekenhuizen, gevaarlijke stoffen opslag etc.).</w:t>
      </w:r>
    </w:p>
    <w:p w:rsidRPr="00FD22EB" w:rsidR="0011607E" w:rsidP="00B608AB" w:rsidRDefault="0011607E" w14:paraId="0ADDA765" w14:textId="77777777">
      <w:pPr>
        <w:numPr>
          <w:ilvl w:val="0"/>
          <w:numId w:val="42"/>
        </w:numPr>
        <w:spacing w:after="160" w:line="259" w:lineRule="auto"/>
      </w:pPr>
      <w:r w:rsidRPr="00FD22EB">
        <w:t>Kinderopvanglocaties.</w:t>
      </w:r>
    </w:p>
    <w:p w:rsidRPr="00FD22EB" w:rsidR="0011607E" w:rsidP="00B608AB" w:rsidRDefault="0011607E" w14:paraId="746B7D31" w14:textId="77777777">
      <w:pPr>
        <w:numPr>
          <w:ilvl w:val="0"/>
          <w:numId w:val="42"/>
        </w:numPr>
        <w:spacing w:after="160" w:line="259" w:lineRule="auto"/>
      </w:pPr>
      <w:r w:rsidRPr="00FD22EB">
        <w:t>Rijksmonumenten.</w:t>
      </w:r>
    </w:p>
    <w:p w:rsidRPr="00FD22EB" w:rsidR="0011607E" w:rsidP="00B608AB" w:rsidRDefault="0011607E" w14:paraId="5AAEC725" w14:textId="77777777">
      <w:pPr>
        <w:numPr>
          <w:ilvl w:val="0"/>
          <w:numId w:val="42"/>
        </w:numPr>
        <w:spacing w:after="160" w:line="259" w:lineRule="auto"/>
      </w:pPr>
      <w:r w:rsidRPr="00FD22EB">
        <w:t>Grote datacenters.</w:t>
      </w:r>
    </w:p>
    <w:p w:rsidRPr="00FD22EB" w:rsidR="0011607E" w:rsidP="0011607E" w:rsidRDefault="0011607E" w14:paraId="7E1ACA80" w14:textId="77777777">
      <w:pPr>
        <w:spacing w:after="160" w:line="259" w:lineRule="auto"/>
        <w:rPr>
          <w:b/>
          <w:bCs/>
        </w:rPr>
      </w:pPr>
      <w:r w:rsidRPr="00FD22EB">
        <w:rPr>
          <w:b/>
          <w:bCs/>
        </w:rPr>
        <w:t>Omgevingskenmerken</w:t>
      </w:r>
    </w:p>
    <w:p w:rsidRPr="00FD22EB" w:rsidR="0011607E" w:rsidP="00B608AB" w:rsidRDefault="0011607E" w14:paraId="64D79E90" w14:textId="77777777">
      <w:pPr>
        <w:numPr>
          <w:ilvl w:val="0"/>
          <w:numId w:val="43"/>
        </w:numPr>
        <w:spacing w:after="160" w:line="259" w:lineRule="auto"/>
      </w:pPr>
      <w:r w:rsidRPr="00FD22EB">
        <w:t>Wegen, infrastructuur, terreinen, functionele gebieden, bodem, bodemdaling, markeringen, grenzen, demografie, reistijden, stikstof, hittestress etc.</w:t>
      </w:r>
    </w:p>
    <w:p w:rsidRPr="00FD22EB" w:rsidR="0011607E" w:rsidP="0011607E" w:rsidRDefault="0011607E" w14:paraId="3EEAE323" w14:textId="77777777">
      <w:pPr>
        <w:spacing w:after="160" w:line="259" w:lineRule="auto"/>
        <w:rPr>
          <w:b/>
          <w:bCs/>
        </w:rPr>
      </w:pPr>
      <w:r w:rsidRPr="00FD22EB">
        <w:rPr>
          <w:b/>
          <w:bCs/>
        </w:rPr>
        <w:t>Buitenlandse data (80-100 km over grens)</w:t>
      </w:r>
    </w:p>
    <w:p w:rsidRPr="00FD22EB" w:rsidR="0011607E" w:rsidP="00B608AB" w:rsidRDefault="0011607E" w14:paraId="541893F9" w14:textId="77777777">
      <w:pPr>
        <w:numPr>
          <w:ilvl w:val="0"/>
          <w:numId w:val="44"/>
        </w:numPr>
        <w:spacing w:after="160" w:line="259" w:lineRule="auto"/>
      </w:pPr>
      <w:r w:rsidRPr="00FD22EB">
        <w:t>Lokaal bevoegd gezag, grensovergangen, vliegvelden, militaire objecten, nucleaire inrichtingen, gevaarlijke stoffen opslag, waterzuivering, datacenters, cultureel erfgoed, zorglocaties etc.</w:t>
      </w:r>
    </w:p>
    <w:p w:rsidRPr="00FD22EB" w:rsidR="0011607E" w:rsidP="0011607E" w:rsidRDefault="0011607E" w14:paraId="4DF1A4A1" w14:textId="77777777">
      <w:pPr>
        <w:spacing w:after="160" w:line="259" w:lineRule="auto"/>
        <w:rPr>
          <w:b/>
          <w:bCs/>
        </w:rPr>
      </w:pPr>
      <w:r w:rsidRPr="00FD22EB">
        <w:rPr>
          <w:b/>
          <w:bCs/>
        </w:rPr>
        <w:t>Toekomstige uitbreidingen</w:t>
      </w:r>
    </w:p>
    <w:p w:rsidRPr="00FD22EB" w:rsidR="0011607E" w:rsidP="00B608AB" w:rsidRDefault="0011607E" w14:paraId="4A4580EA" w14:textId="77777777">
      <w:pPr>
        <w:numPr>
          <w:ilvl w:val="0"/>
          <w:numId w:val="45"/>
        </w:numPr>
        <w:spacing w:after="160" w:line="259" w:lineRule="auto"/>
      </w:pPr>
      <w:r w:rsidRPr="00FD22EB">
        <w:t>Mogelijkheid tot uitbreiden met datasets, bijv. Caribisch gebied.</w:t>
      </w:r>
    </w:p>
    <w:p w:rsidRPr="00FD22EB" w:rsidR="0011607E" w:rsidP="0011607E" w:rsidRDefault="0011607E" w14:paraId="676F7556" w14:textId="77777777">
      <w:pPr>
        <w:spacing w:after="160" w:line="259" w:lineRule="auto"/>
        <w:rPr>
          <w:b/>
          <w:bCs/>
        </w:rPr>
      </w:pPr>
      <w:r w:rsidRPr="00FD22EB">
        <w:rPr>
          <w:b/>
          <w:bCs/>
        </w:rPr>
        <w:t>5. Verrijking van data</w:t>
      </w:r>
    </w:p>
    <w:p w:rsidRPr="00FD22EB" w:rsidR="0011607E" w:rsidP="00B608AB" w:rsidRDefault="0011607E" w14:paraId="39F54666" w14:textId="77777777">
      <w:pPr>
        <w:numPr>
          <w:ilvl w:val="0"/>
          <w:numId w:val="46"/>
        </w:numPr>
        <w:spacing w:after="160" w:line="259" w:lineRule="auto"/>
      </w:pPr>
      <w:r w:rsidRPr="00FD22EB">
        <w:t>Integratie van externe bronnen en aanvullende informatie (bijv. Handelsregister, CBS, Kadaster, bestemmingsplannen).</w:t>
      </w:r>
    </w:p>
    <w:p w:rsidRPr="00FD22EB" w:rsidR="0011607E" w:rsidP="00B608AB" w:rsidRDefault="0011607E" w14:paraId="119A8EF3" w14:textId="1973D093">
      <w:pPr>
        <w:numPr>
          <w:ilvl w:val="0"/>
          <w:numId w:val="46"/>
        </w:numPr>
        <w:spacing w:after="160" w:line="259" w:lineRule="auto"/>
      </w:pPr>
      <w:r w:rsidRPr="00FD22EB">
        <w:t>Toevoegen van historische data.</w:t>
      </w:r>
    </w:p>
    <w:p w:rsidRPr="00FD22EB" w:rsidR="0011607E" w:rsidP="00653148" w:rsidRDefault="0011607E" w14:paraId="716AB639" w14:textId="472AAE18">
      <w:pPr>
        <w:numPr>
          <w:ilvl w:val="0"/>
          <w:numId w:val="46"/>
        </w:numPr>
        <w:spacing w:after="160" w:line="259" w:lineRule="auto"/>
      </w:pPr>
      <w:r w:rsidRPr="00FD22EB">
        <w:t xml:space="preserve">Metadata waarin de relevantie voor KCR2-thema’s </w:t>
      </w:r>
      <w:r w:rsidR="00A9466C">
        <w:t>(</w:t>
      </w:r>
      <w:r w:rsidR="00A2393D">
        <w:t xml:space="preserve">Bestuur en Rechtsorde, Economie en Handel, </w:t>
      </w:r>
      <w:r w:rsidR="00A8595C">
        <w:t xml:space="preserve">Fysieke Leefomgeving en Milieu, </w:t>
      </w:r>
      <w:r w:rsidR="001B4DDD">
        <w:t>Gezondheid, Interna</w:t>
      </w:r>
      <w:r w:rsidR="00B50D16">
        <w:t xml:space="preserve">tionale positie en geopolitiek, Interne Bedrijfsvoering en continuïteit, Maatschappij, Natuur en </w:t>
      </w:r>
      <w:r w:rsidR="004D170F">
        <w:t xml:space="preserve">klimaat en Vitale voorzieningen) </w:t>
      </w:r>
      <w:r w:rsidRPr="00FD22EB">
        <w:t>en Kenmerkenschema’s (</w:t>
      </w:r>
      <w:r w:rsidR="00653148">
        <w:t>Menskenmerken, Gebouwkenmerken, Brandkenmerken, Omgevingskenmerken en Interventiekenmerken</w:t>
      </w:r>
      <w:r w:rsidRPr="00FD22EB">
        <w:t>) expliciet wordt gemaakt.</w:t>
      </w:r>
    </w:p>
    <w:p w:rsidR="0011607E" w:rsidP="00B608AB" w:rsidRDefault="0011607E" w14:paraId="72D58325" w14:textId="4FBE265C">
      <w:pPr>
        <w:numPr>
          <w:ilvl w:val="0"/>
          <w:numId w:val="46"/>
        </w:numPr>
        <w:spacing w:after="160" w:line="259" w:lineRule="auto"/>
      </w:pPr>
      <w:r w:rsidRPr="00FD22EB">
        <w:t>Continue actualisering en kwaliteitsborging van verrijkte datasets.</w:t>
      </w:r>
    </w:p>
    <w:p w:rsidR="00A91322" w:rsidP="00A91322" w:rsidRDefault="00A91322" w14:paraId="5E301E50" w14:textId="77777777">
      <w:pPr>
        <w:spacing w:after="160" w:line="259" w:lineRule="auto"/>
      </w:pPr>
    </w:p>
    <w:p w:rsidR="00A91322" w:rsidP="00A91322" w:rsidRDefault="00A91322" w14:paraId="02D1EE76" w14:textId="4DE0A349">
      <w:pPr>
        <w:pStyle w:val="Kop3"/>
      </w:pPr>
      <w:r>
        <w:t>Deelnemers</w:t>
      </w:r>
      <w:r w:rsidR="00096123">
        <w:t xml:space="preserve"> en gebruikers</w:t>
      </w:r>
    </w:p>
    <w:p w:rsidR="00B14A07" w:rsidP="00B14A07" w:rsidRDefault="00B14A07" w14:paraId="09864D39" w14:textId="0DC82C8C">
      <w:r>
        <w:t>Het dataplatform wordt gebruikt door een groep gelijktijdige gebruikers. In niet-crisissituaties maken doorgaans circa 1.500 gebruikers tegelijkertijd gebruik van de beschikbare data. In crisissituaties, gedefinieerd als situaties waarin GRIP-1 of hoger is afgekondigd, kan het aantal gelijktijdige gebruikers oplopen tot circa 2.500.</w:t>
      </w:r>
    </w:p>
    <w:p w:rsidR="00B14A07" w:rsidP="00B14A07" w:rsidRDefault="00B14A07" w14:paraId="004D3B3C" w14:textId="77777777"/>
    <w:p w:rsidR="00B14A07" w:rsidP="00B14A07" w:rsidRDefault="00B14A07" w14:paraId="2DE610C4" w14:textId="1C04DC4E">
      <w:r>
        <w:t>Gedurende de gehele looptijd van de overeenkomst maken in ieder geval het NIPV, de 25 veiligheidsregio’s</w:t>
      </w:r>
      <w:r w:rsidR="00C86EB2">
        <w:t xml:space="preserve">, </w:t>
      </w:r>
      <w:r>
        <w:t>het LOCC/KCR2</w:t>
      </w:r>
      <w:r w:rsidR="00261926">
        <w:t>, de LMS (meldkamer),</w:t>
      </w:r>
      <w:r>
        <w:t xml:space="preserve"> </w:t>
      </w:r>
      <w:r w:rsidR="00B313AC">
        <w:t>en ketenpartners</w:t>
      </w:r>
      <w:r w:rsidR="00261926">
        <w:t xml:space="preserve"> volgens de Wet veiligheidsregio’s (Wvr)</w:t>
      </w:r>
      <w:r w:rsidR="00B313AC">
        <w:t xml:space="preserve"> </w:t>
      </w:r>
      <w:r>
        <w:t>gebruik van de verrijkte datasets, zonder dat hiervoor afzonderlijke kosten in rekening worden gebracht.</w:t>
      </w:r>
    </w:p>
    <w:p w:rsidR="00B14A07" w:rsidP="00B14A07" w:rsidRDefault="00B14A07" w14:paraId="6E1DE9DF" w14:textId="77777777"/>
    <w:p w:rsidR="00B14A07" w:rsidP="00B14A07" w:rsidRDefault="00B14A07" w14:paraId="0CA200DB" w14:textId="77777777">
      <w:r>
        <w:t>Het gebruik van het dataplatform is onbeperkt en niet gebonden aan datalimieten.</w:t>
      </w:r>
    </w:p>
    <w:p w:rsidR="00B14A07" w:rsidP="00B14A07" w:rsidRDefault="00B14A07" w14:paraId="3E079A50" w14:textId="77777777"/>
    <w:p w:rsidRPr="00A91322" w:rsidR="00A91322" w:rsidP="00B14A07" w:rsidRDefault="00B14A07" w14:paraId="00CB0E95" w14:textId="5CFAF068">
      <w:r>
        <w:t xml:space="preserve">Overige organisaties die volgens de Wet veiligheidsregio’s (Wvr) als </w:t>
      </w:r>
      <w:r w:rsidR="00261926">
        <w:t>ketenpartners</w:t>
      </w:r>
      <w:r>
        <w:t xml:space="preserve"> zijn aangemerkt, hebben toegang tot de data via LCMS. Zij hebben via deze route toegang tot alle data, met de beperking dat dit gebruik uitsluitend bestaat uit het raadplegen van de gegevens (read-only).</w:t>
      </w:r>
    </w:p>
    <w:p w:rsidR="001909DC" w:rsidP="001909DC" w:rsidRDefault="001909DC" w14:paraId="370C0FBA" w14:textId="77777777">
      <w:pPr>
        <w:pStyle w:val="Kop2"/>
      </w:pPr>
      <w:bookmarkStart w:name="_Toc205383311" w:id="16"/>
      <w:r w:rsidRPr="00555C9B">
        <w:t xml:space="preserve">Doel </w:t>
      </w:r>
      <w:r>
        <w:t>aanbestedingsprocedure, gewenste situatie</w:t>
      </w:r>
      <w:bookmarkEnd w:id="16"/>
      <w:r>
        <w:t xml:space="preserve"> </w:t>
      </w:r>
    </w:p>
    <w:p w:rsidR="00503581" w:rsidP="00503581" w:rsidRDefault="00503581" w14:paraId="07C1B7E2" w14:textId="77777777">
      <w:r>
        <w:t>Het doel van deze aanbesteding is:</w:t>
      </w:r>
    </w:p>
    <w:p w:rsidR="00503581" w:rsidP="00503581" w:rsidRDefault="00503581" w14:paraId="2DB8192B" w14:textId="68F732DD">
      <w:pPr>
        <w:ind w:left="720"/>
      </w:pPr>
      <w:r>
        <w:t xml:space="preserve">Het sluiten van </w:t>
      </w:r>
      <w:r w:rsidRPr="00DF293F">
        <w:t xml:space="preserve">een overeenkomst met één </w:t>
      </w:r>
      <w:r w:rsidR="003E7A48">
        <w:t>O</w:t>
      </w:r>
      <w:r w:rsidRPr="00DF293F">
        <w:t>pdrachtnemer die de gevraagde dienstverlening</w:t>
      </w:r>
      <w:r w:rsidR="00902A23">
        <w:t xml:space="preserve"> (verrijkte </w:t>
      </w:r>
      <w:r w:rsidR="00F61A05">
        <w:t xml:space="preserve">geo- </w:t>
      </w:r>
      <w:r w:rsidR="00902A23">
        <w:t>en metadata)</w:t>
      </w:r>
      <w:r w:rsidRPr="00DF293F">
        <w:t xml:space="preserve"> aanbiedt en deze samen met het NIPV en de veiligheidsregio</w:t>
      </w:r>
      <w:r>
        <w:t>’</w:t>
      </w:r>
      <w:r w:rsidRPr="00DF293F">
        <w:t xml:space="preserve">s </w:t>
      </w:r>
      <w:r>
        <w:t>doorontwikkeld gedurende de looptijd van de overeenkomst</w:t>
      </w:r>
      <w:r w:rsidRPr="00DF293F">
        <w:t>.</w:t>
      </w:r>
    </w:p>
    <w:p w:rsidR="00503581" w:rsidP="00503581" w:rsidRDefault="00503581" w14:paraId="0AAA45B7" w14:textId="77777777">
      <w:pPr>
        <w:rPr>
          <w:rFonts w:cs="Arial"/>
        </w:rPr>
      </w:pPr>
    </w:p>
    <w:p w:rsidR="001909DC" w:rsidP="00503581" w:rsidRDefault="00503581" w14:paraId="460BBC66" w14:textId="1DCCCA79">
      <w:r>
        <w:rPr>
          <w:rFonts w:cs="Arial"/>
        </w:rPr>
        <w:t xml:space="preserve">Om deze doelstelling(en) te bereiken, </w:t>
      </w:r>
      <w:r w:rsidR="000E49DC">
        <w:rPr>
          <w:rFonts w:cs="Arial"/>
        </w:rPr>
        <w:t>is</w:t>
      </w:r>
      <w:r>
        <w:rPr>
          <w:rFonts w:cs="Arial"/>
        </w:rPr>
        <w:t xml:space="preserve"> een aanbesteding gestart voor het inkopen van een </w:t>
      </w:r>
      <w:r w:rsidRPr="00DF293F">
        <w:rPr>
          <w:rFonts w:cs="Arial"/>
        </w:rPr>
        <w:t>Online managed dataplatform t.b.v. verrijkte geo- en metadata</w:t>
      </w:r>
      <w:r w:rsidRPr="00FB4626">
        <w:rPr>
          <w:rFonts w:cs="Arial"/>
        </w:rPr>
        <w:t>.</w:t>
      </w:r>
      <w:r>
        <w:rPr>
          <w:rFonts w:cs="Arial"/>
        </w:rPr>
        <w:t xml:space="preserve"> </w:t>
      </w:r>
    </w:p>
    <w:p w:rsidR="001909DC" w:rsidP="001909DC" w:rsidRDefault="001909DC" w14:paraId="4B4765FA" w14:textId="77777777">
      <w:pPr>
        <w:pStyle w:val="Kop2"/>
      </w:pPr>
      <w:bookmarkStart w:name="_Toc205383312" w:id="17"/>
      <w:r w:rsidRPr="00B81631">
        <w:t>Looptijd</w:t>
      </w:r>
      <w:r>
        <w:t>, omvang en verlenging</w:t>
      </w:r>
      <w:r w:rsidRPr="00B81631">
        <w:t xml:space="preserve"> </w:t>
      </w:r>
      <w:r>
        <w:t>van de Overeenkomst</w:t>
      </w:r>
      <w:bookmarkEnd w:id="17"/>
    </w:p>
    <w:p w:rsidRPr="00D36445" w:rsidR="000328A4" w:rsidP="00B608AB" w:rsidRDefault="001909DC" w14:paraId="70EEB1F0" w14:textId="77777777">
      <w:pPr>
        <w:numPr>
          <w:ilvl w:val="0"/>
          <w:numId w:val="35"/>
        </w:numPr>
        <w:spacing w:line="260" w:lineRule="atLeast"/>
        <w:rPr>
          <w:rFonts w:cs="Arial"/>
        </w:rPr>
      </w:pPr>
      <w:r w:rsidRPr="00FC7240">
        <w:rPr>
          <w:rFonts w:cs="Arial"/>
        </w:rPr>
        <w:t xml:space="preserve">De looptijd van de Overeenkomst gaat in op het moment van ondertekening van de Overeenkomst. </w:t>
      </w:r>
      <w:r w:rsidRPr="00FC7240">
        <w:t xml:space="preserve">De </w:t>
      </w:r>
      <w:r w:rsidRPr="00FC7240">
        <w:rPr>
          <w:rFonts w:cs="Arial"/>
        </w:rPr>
        <w:t xml:space="preserve">Overeenkomst wordt aangegaan voor een initiële duur van </w:t>
      </w:r>
      <w:r w:rsidR="00FC7240">
        <w:rPr>
          <w:rFonts w:cs="Arial"/>
        </w:rPr>
        <w:t>vier</w:t>
      </w:r>
      <w:r w:rsidRPr="00FC7240">
        <w:rPr>
          <w:rFonts w:cs="Arial"/>
        </w:rPr>
        <w:t xml:space="preserve"> jaar.</w:t>
      </w:r>
      <w:r w:rsidRPr="00FC7240">
        <w:t xml:space="preserve"> </w:t>
      </w:r>
      <w:r w:rsidRPr="00D36445" w:rsidR="000328A4">
        <w:rPr>
          <w:rFonts w:cs="Arial"/>
        </w:rPr>
        <w:t xml:space="preserve">De Overeenkomst gaat in op </w:t>
      </w:r>
      <w:r w:rsidR="000328A4">
        <w:rPr>
          <w:rFonts w:cs="Arial"/>
        </w:rPr>
        <w:t>1 januari 2026</w:t>
      </w:r>
      <w:r w:rsidRPr="00D36445" w:rsidR="000328A4">
        <w:rPr>
          <w:rFonts w:cs="Arial"/>
        </w:rPr>
        <w:t xml:space="preserve"> en eindigt </w:t>
      </w:r>
      <w:r w:rsidR="000328A4">
        <w:rPr>
          <w:rFonts w:cs="Arial"/>
        </w:rPr>
        <w:t xml:space="preserve">van rechtswege </w:t>
      </w:r>
      <w:r w:rsidRPr="00D36445" w:rsidR="000328A4">
        <w:rPr>
          <w:rFonts w:cs="Arial"/>
        </w:rPr>
        <w:t xml:space="preserve">op </w:t>
      </w:r>
      <w:r w:rsidR="000328A4">
        <w:rPr>
          <w:rFonts w:cs="Arial"/>
        </w:rPr>
        <w:t>1 januari 2030</w:t>
      </w:r>
      <w:r w:rsidRPr="00D36445" w:rsidR="000328A4">
        <w:rPr>
          <w:rFonts w:cs="Arial"/>
        </w:rPr>
        <w:t xml:space="preserve">. </w:t>
      </w:r>
    </w:p>
    <w:p w:rsidRPr="00A96A62" w:rsidR="001909DC" w:rsidP="001909DC" w:rsidRDefault="001909DC" w14:paraId="0D200842" w14:textId="102D27C5">
      <w:pPr>
        <w:suppressAutoHyphens/>
        <w:rPr>
          <w:rFonts w:cs="Arial"/>
        </w:rPr>
      </w:pPr>
    </w:p>
    <w:p w:rsidR="001909DC" w:rsidP="001909DC" w:rsidRDefault="001909DC" w14:paraId="059FDDC0" w14:textId="77777777">
      <w:pPr>
        <w:jc w:val="both"/>
        <w:rPr>
          <w:rFonts w:cs="Arial"/>
        </w:rPr>
      </w:pPr>
    </w:p>
    <w:p w:rsidR="003C1E4F" w:rsidP="003C1E4F" w:rsidRDefault="003C1E4F" w14:paraId="0EF88BEB" w14:textId="310F5F2F">
      <w:pPr>
        <w:rPr>
          <w:rFonts w:cs="Arial"/>
        </w:rPr>
      </w:pPr>
      <w:r w:rsidRPr="00EA71CA">
        <w:rPr>
          <w:rFonts w:cs="Arial"/>
        </w:rPr>
        <w:t xml:space="preserve">De Aanbestedende Dienst heeft eenzijdig de mogelijkheid om de </w:t>
      </w:r>
      <w:r>
        <w:rPr>
          <w:rFonts w:cs="Arial"/>
        </w:rPr>
        <w:t>Overeenkomst vier</w:t>
      </w:r>
      <w:r w:rsidRPr="00EA71CA">
        <w:rPr>
          <w:rFonts w:cs="Arial"/>
        </w:rPr>
        <w:t xml:space="preserve"> keer onder dezelfde voorwaarden te verlengen met een periode van maximaal </w:t>
      </w:r>
      <w:r w:rsidRPr="00EA71CA">
        <w:rPr>
          <w:rFonts w:cs="Arial"/>
          <w:b/>
          <w:bCs/>
          <w:i/>
          <w:iCs/>
        </w:rPr>
        <w:t xml:space="preserve">één jaar. </w:t>
      </w:r>
      <w:r w:rsidRPr="00EA71CA">
        <w:rPr>
          <w:rFonts w:cs="Arial"/>
        </w:rPr>
        <w:t xml:space="preserve">In het geval dat de Aanbestedende Dienst gebruik maakt van deze verlengingsoptie zal de Aanbestedende Dienst Opdrachtnemer hierover uiterlijk </w:t>
      </w:r>
      <w:r w:rsidRPr="00EA71CA">
        <w:rPr>
          <w:rFonts w:cs="Arial"/>
          <w:b/>
          <w:bCs/>
        </w:rPr>
        <w:t>twee maanden</w:t>
      </w:r>
      <w:r w:rsidRPr="00EA71CA">
        <w:rPr>
          <w:rFonts w:cs="Arial"/>
        </w:rPr>
        <w:t xml:space="preserve"> voor het einde van de (verlengde) looptijd van de </w:t>
      </w:r>
      <w:r w:rsidR="000A22B9">
        <w:rPr>
          <w:rFonts w:cs="Arial"/>
        </w:rPr>
        <w:t>O</w:t>
      </w:r>
      <w:r w:rsidRPr="00EA71CA">
        <w:rPr>
          <w:rFonts w:cs="Arial"/>
        </w:rPr>
        <w:t xml:space="preserve">vereenkomst in kennis stellen. Indien de Aanbestedende Dienst geen gebruik maakt van de verlengingsmogelijkheid eindigt de </w:t>
      </w:r>
      <w:r w:rsidR="000A22B9">
        <w:rPr>
          <w:rFonts w:cs="Arial"/>
        </w:rPr>
        <w:t>O</w:t>
      </w:r>
      <w:r w:rsidRPr="00EA71CA">
        <w:rPr>
          <w:rFonts w:cs="Arial"/>
        </w:rPr>
        <w:t>vereenkomst van rechtswege na het verstrijken van de initiële c.q. verlengde looptijd.</w:t>
      </w:r>
      <w:r w:rsidRPr="00F134E1">
        <w:rPr>
          <w:rFonts w:cs="Arial"/>
        </w:rPr>
        <w:t xml:space="preserve"> </w:t>
      </w:r>
    </w:p>
    <w:p w:rsidR="00253ED1" w:rsidP="003C1E4F" w:rsidRDefault="00253ED1" w14:paraId="13F3FDF5" w14:textId="77777777">
      <w:pPr>
        <w:rPr>
          <w:rFonts w:cs="Arial"/>
        </w:rPr>
      </w:pPr>
    </w:p>
    <w:p w:rsidR="00253ED1" w:rsidP="003C1E4F" w:rsidRDefault="00253ED1" w14:paraId="6409463F" w14:textId="5C8E500E">
      <w:pPr>
        <w:rPr>
          <w:rFonts w:cs="Arial"/>
        </w:rPr>
      </w:pPr>
      <w:r>
        <w:rPr>
          <w:rFonts w:cs="Arial"/>
        </w:rPr>
        <w:t xml:space="preserve">Naast de Overeenkomst, sluit de Opdrachtgever met de Opdrachtnemer ook een SLA. Het doel van de SLA is het waarborgen van de KPI’s in verband met de dienstverlening. </w:t>
      </w:r>
      <w:r w:rsidR="00A9226E">
        <w:rPr>
          <w:rFonts w:cs="Arial"/>
        </w:rPr>
        <w:t>De looptijd van de SLA is in beginsel gelijk aan die van de Overeenkomst.</w:t>
      </w:r>
    </w:p>
    <w:p w:rsidR="003C1E4F" w:rsidP="001909DC" w:rsidRDefault="003C1E4F" w14:paraId="0F7F7FB4" w14:textId="77777777">
      <w:pPr>
        <w:jc w:val="both"/>
        <w:rPr>
          <w:rFonts w:cs="Arial"/>
        </w:rPr>
      </w:pPr>
    </w:p>
    <w:p w:rsidRPr="00170724" w:rsidR="00170724" w:rsidP="001909DC" w:rsidRDefault="00170724" w14:paraId="1224178B" w14:textId="32982CEA">
      <w:pPr>
        <w:jc w:val="both"/>
        <w:rPr>
          <w:rFonts w:cs="Arial"/>
          <w:b/>
          <w:bCs/>
        </w:rPr>
      </w:pPr>
      <w:r>
        <w:rPr>
          <w:rFonts w:cs="Arial"/>
          <w:b/>
          <w:bCs/>
        </w:rPr>
        <w:t>Omvang</w:t>
      </w:r>
    </w:p>
    <w:p w:rsidR="001909DC" w:rsidP="001909DC" w:rsidRDefault="001909DC" w14:paraId="610AB124" w14:textId="66A3B8FF">
      <w:pPr>
        <w:suppressAutoHyphens/>
        <w:rPr>
          <w:rFonts w:cs="Arial"/>
        </w:rPr>
      </w:pPr>
      <w:r w:rsidRPr="000A22B9">
        <w:rPr>
          <w:rFonts w:cs="Arial"/>
        </w:rPr>
        <w:t>De omvang van de Opdracht is</w:t>
      </w:r>
      <w:r w:rsidR="00F61A05">
        <w:rPr>
          <w:rFonts w:cs="Arial"/>
        </w:rPr>
        <w:t xml:space="preserve"> naar verwachting</w:t>
      </w:r>
      <w:r w:rsidR="00F05299">
        <w:rPr>
          <w:rFonts w:cs="Arial"/>
        </w:rPr>
        <w:t xml:space="preserve"> ongeveer</w:t>
      </w:r>
      <w:r w:rsidRPr="000A22B9">
        <w:rPr>
          <w:rFonts w:cs="Arial"/>
        </w:rPr>
        <w:t xml:space="preserve"> </w:t>
      </w:r>
      <w:r w:rsidRPr="000A22B9" w:rsidR="000E49DC">
        <w:rPr>
          <w:rFonts w:cs="Arial"/>
        </w:rPr>
        <w:t>€7</w:t>
      </w:r>
      <w:r w:rsidRPr="000A22B9" w:rsidR="000A22B9">
        <w:rPr>
          <w:rFonts w:cs="Arial"/>
        </w:rPr>
        <w:t>0</w:t>
      </w:r>
      <w:r w:rsidRPr="000A22B9" w:rsidR="000E49DC">
        <w:rPr>
          <w:rFonts w:cs="Arial"/>
        </w:rPr>
        <w:t>0.000 exclusief btw per jaar</w:t>
      </w:r>
      <w:r w:rsidRPr="000A22B9" w:rsidR="00246E35">
        <w:rPr>
          <w:rFonts w:cs="Arial"/>
        </w:rPr>
        <w:t xml:space="preserve"> (€</w:t>
      </w:r>
      <w:r w:rsidRPr="000A22B9" w:rsidR="000A22B9">
        <w:rPr>
          <w:rFonts w:cs="Arial"/>
        </w:rPr>
        <w:t>5</w:t>
      </w:r>
      <w:r w:rsidRPr="000A22B9" w:rsidR="00246E35">
        <w:rPr>
          <w:rFonts w:cs="Arial"/>
        </w:rPr>
        <w:t>.</w:t>
      </w:r>
      <w:r w:rsidRPr="000A22B9" w:rsidR="000A22B9">
        <w:rPr>
          <w:rFonts w:cs="Arial"/>
        </w:rPr>
        <w:t>6</w:t>
      </w:r>
      <w:r w:rsidRPr="000A22B9" w:rsidR="00246E35">
        <w:rPr>
          <w:rFonts w:cs="Arial"/>
        </w:rPr>
        <w:t>00.000 exclusief btw</w:t>
      </w:r>
      <w:r w:rsidRPr="000A22B9" w:rsidR="004F3046">
        <w:rPr>
          <w:rFonts w:cs="Arial"/>
        </w:rPr>
        <w:t xml:space="preserve"> voor de periode van de hele looptijd van de Overeenkomst)</w:t>
      </w:r>
      <w:r w:rsidRPr="000A22B9">
        <w:rPr>
          <w:rFonts w:cs="Arial"/>
        </w:rPr>
        <w:t xml:space="preserve">. </w:t>
      </w:r>
    </w:p>
    <w:p w:rsidR="00170724" w:rsidP="001909DC" w:rsidRDefault="00170724" w14:paraId="03FE5EFD" w14:textId="77777777">
      <w:pPr>
        <w:suppressAutoHyphens/>
        <w:rPr>
          <w:rFonts w:cs="Arial"/>
        </w:rPr>
      </w:pPr>
    </w:p>
    <w:p w:rsidR="001909DC" w:rsidP="001909DC" w:rsidRDefault="00170724" w14:paraId="4D3B8F57" w14:textId="662BBE80">
      <w:pPr>
        <w:suppressAutoHyphens/>
        <w:rPr>
          <w:rFonts w:cs="Arial"/>
        </w:rPr>
      </w:pPr>
      <w:r w:rsidRPr="00555C9B">
        <w:rPr>
          <w:rFonts w:cs="Arial"/>
        </w:rPr>
        <w:t>De genoemde aantallen zijn indicaties</w:t>
      </w:r>
      <w:r w:rsidRPr="4D94ACF1">
        <w:rPr>
          <w:rFonts w:cs="Arial"/>
        </w:rPr>
        <w:t xml:space="preserve">/ </w:t>
      </w:r>
      <w:r w:rsidRPr="4D94ACF1" w:rsidR="4CE66255">
        <w:rPr>
          <w:rFonts w:cs="Arial"/>
        </w:rPr>
        <w:t>ramingen</w:t>
      </w:r>
      <w:r>
        <w:rPr>
          <w:rFonts w:cs="Arial"/>
        </w:rPr>
        <w:t xml:space="preserve"> waarvan Inschrijver geen rechten kan ontlenen</w:t>
      </w:r>
      <w:r w:rsidRPr="00555C9B">
        <w:rPr>
          <w:rFonts w:cs="Arial"/>
        </w:rPr>
        <w:t>.</w:t>
      </w:r>
    </w:p>
    <w:p w:rsidR="008516E3" w:rsidP="008516E3" w:rsidRDefault="008516E3" w14:paraId="4B932FEC" w14:textId="77777777">
      <w:pPr>
        <w:pStyle w:val="Kop2"/>
      </w:pPr>
      <w:bookmarkStart w:name="_Toc205383313" w:id="18"/>
      <w:r>
        <w:t>Buiten scope</w:t>
      </w:r>
      <w:bookmarkEnd w:id="18"/>
    </w:p>
    <w:p w:rsidRPr="00EE236B" w:rsidR="008516E3" w:rsidP="008516E3" w:rsidRDefault="008516E3" w14:paraId="68A25865" w14:textId="77168E47">
      <w:pPr>
        <w:rPr>
          <w:rFonts w:cstheme="minorHAnsi"/>
        </w:rPr>
      </w:pPr>
      <w:r w:rsidRPr="00F46657">
        <w:t>Mogelijk zijn er onderdelen die een relatie (lijken te) hebben met de werkzaamheden/dienstverlening die onderdeel uitmaken van de Opdracht, maar die door de Aanbestedende Dienst expliciet buiten de scope van de beschreven Opdracht worden geho</w:t>
      </w:r>
      <w:r w:rsidRPr="003B0761">
        <w:t xml:space="preserve">uden. Het gaat hierbij om </w:t>
      </w:r>
      <w:r w:rsidR="00474E78">
        <w:t>onder andere</w:t>
      </w:r>
      <w:r w:rsidRPr="003B0761">
        <w:t xml:space="preserve"> </w:t>
      </w:r>
      <w:r>
        <w:t xml:space="preserve">de </w:t>
      </w:r>
      <w:r w:rsidRPr="003B0761">
        <w:t>volgende onderde</w:t>
      </w:r>
      <w:r>
        <w:t>len</w:t>
      </w:r>
      <w:r w:rsidRPr="003B0761">
        <w:t xml:space="preserve">: </w:t>
      </w:r>
    </w:p>
    <w:p w:rsidRPr="008C1257" w:rsidR="008C1257" w:rsidP="00B608AB" w:rsidRDefault="00865849" w14:paraId="3726132D" w14:textId="29299C53">
      <w:pPr>
        <w:pStyle w:val="Lijstalinea"/>
        <w:numPr>
          <w:ilvl w:val="0"/>
          <w:numId w:val="32"/>
        </w:numPr>
        <w:rPr>
          <w:lang w:val="en-GB"/>
        </w:rPr>
      </w:pPr>
      <w:r>
        <w:t>GIS/CAD software</w:t>
      </w:r>
    </w:p>
    <w:p w:rsidRPr="008C1257" w:rsidR="008C1257" w:rsidP="00B608AB" w:rsidRDefault="00865849" w14:paraId="4ABA822F" w14:textId="01EA3F96">
      <w:pPr>
        <w:pStyle w:val="Lijstalinea"/>
        <w:numPr>
          <w:ilvl w:val="0"/>
          <w:numId w:val="32"/>
        </w:numPr>
        <w:rPr>
          <w:lang w:val="en-GB"/>
        </w:rPr>
      </w:pPr>
      <w:r>
        <w:t>BI software</w:t>
      </w:r>
    </w:p>
    <w:p w:rsidR="008C1257" w:rsidP="00AA114F" w:rsidRDefault="00865849" w14:paraId="2B59449B" w14:textId="0A0ADD68">
      <w:pPr>
        <w:pStyle w:val="Lijstalinea"/>
        <w:numPr>
          <w:ilvl w:val="0"/>
          <w:numId w:val="7"/>
        </w:numPr>
      </w:pPr>
      <w:r>
        <w:t>Beeldmateriaal, zoals orthofoto’s, obliekfoto’s, 360-graden panoramafoto’s</w:t>
      </w:r>
    </w:p>
    <w:p w:rsidR="008C1257" w:rsidP="00AA114F" w:rsidRDefault="00865849" w14:paraId="39EFD899" w14:textId="5C1AE8A0">
      <w:pPr>
        <w:pStyle w:val="Lijstalinea"/>
        <w:numPr>
          <w:ilvl w:val="0"/>
          <w:numId w:val="7"/>
        </w:numPr>
      </w:pPr>
      <w:r>
        <w:t>3D Mesh</w:t>
      </w:r>
    </w:p>
    <w:p w:rsidR="008C1257" w:rsidP="00AA114F" w:rsidRDefault="00C55099" w14:paraId="1CB6A17D" w14:textId="47799B32">
      <w:pPr>
        <w:pStyle w:val="Lijstalinea"/>
        <w:numPr>
          <w:ilvl w:val="0"/>
          <w:numId w:val="7"/>
        </w:numPr>
      </w:pPr>
      <w:r>
        <w:t>Digital Twin</w:t>
      </w:r>
    </w:p>
    <w:p w:rsidRPr="00B81631" w:rsidR="001909DC" w:rsidP="001909DC" w:rsidRDefault="001909DC" w14:paraId="072FA24A" w14:textId="77777777">
      <w:pPr>
        <w:pStyle w:val="Kop2"/>
      </w:pPr>
      <w:bookmarkStart w:name="_Toc205383314" w:id="19"/>
      <w:r>
        <w:t>Samenvoegen onderdelen Opdracht</w:t>
      </w:r>
      <w:bookmarkEnd w:id="19"/>
    </w:p>
    <w:p w:rsidRPr="00555C9B" w:rsidR="001909DC" w:rsidP="00FB2F26" w:rsidRDefault="001909DC" w14:paraId="418F2936" w14:textId="7706622A">
      <w:pPr>
        <w:rPr>
          <w:i/>
        </w:rPr>
      </w:pPr>
      <w:r w:rsidRPr="00555C9B">
        <w:t xml:space="preserve">De Aanbestedende Dienst is van mening dat de Opdracht </w:t>
      </w:r>
      <w:r w:rsidRPr="00555C9B">
        <w:rPr>
          <w:rFonts w:cs="Arial"/>
        </w:rPr>
        <w:t>één</w:t>
      </w:r>
      <w:r w:rsidRPr="00555C9B">
        <w:t xml:space="preserve"> overheidsopdracht betreft, omdat </w:t>
      </w:r>
      <w:r w:rsidR="009E236E">
        <w:t>het gaat om</w:t>
      </w:r>
      <w:r w:rsidRPr="00555C9B">
        <w:t xml:space="preserve"> </w:t>
      </w:r>
      <w:r w:rsidRPr="00555C9B">
        <w:rPr>
          <w:rFonts w:cs="Arial"/>
        </w:rPr>
        <w:t>één</w:t>
      </w:r>
      <w:r w:rsidRPr="00555C9B">
        <w:t xml:space="preserve"> economische en één technische functie.</w:t>
      </w:r>
      <w:r w:rsidR="009E236E">
        <w:t xml:space="preserve"> De geo- en metadata worden uitgevraagd middels </w:t>
      </w:r>
      <w:r w:rsidRPr="00555C9B" w:rsidR="009E236E">
        <w:rPr>
          <w:rFonts w:cs="Arial"/>
        </w:rPr>
        <w:t>één</w:t>
      </w:r>
      <w:r w:rsidR="009E236E">
        <w:rPr>
          <w:rFonts w:cs="Arial"/>
        </w:rPr>
        <w:t xml:space="preserve"> platform en moeten ook via </w:t>
      </w:r>
      <w:r w:rsidRPr="00555C9B" w:rsidR="009E236E">
        <w:rPr>
          <w:rFonts w:cs="Arial"/>
        </w:rPr>
        <w:t>één</w:t>
      </w:r>
      <w:r w:rsidR="009E236E">
        <w:rPr>
          <w:rFonts w:cs="Arial"/>
        </w:rPr>
        <w:t xml:space="preserve"> platform leesbaar en uit te vragen zijn.</w:t>
      </w:r>
      <w:r w:rsidRPr="00555C9B">
        <w:t xml:space="preserve"> De Aanbestedende Dienst is daarom van oordeel dat geen sprake is van samenvoeging van meerdere overheidsopdrachten in de zin van artikel 1.5 lid 1 Aanbestedingswet.</w:t>
      </w:r>
    </w:p>
    <w:p w:rsidR="001909DC" w:rsidP="001909DC" w:rsidRDefault="001909DC" w14:paraId="5EE4E6BE" w14:textId="77777777">
      <w:pPr>
        <w:pStyle w:val="Kop2"/>
      </w:pPr>
      <w:bookmarkStart w:name="_Toc205383315" w:id="20"/>
      <w:r>
        <w:t>Percelen</w:t>
      </w:r>
      <w:bookmarkEnd w:id="20"/>
    </w:p>
    <w:p w:rsidRPr="00555C9B" w:rsidR="001909DC" w:rsidP="00FB2F26" w:rsidRDefault="001909DC" w14:paraId="47D11CD0" w14:textId="40173AF3">
      <w:r w:rsidRPr="00555C9B">
        <w:t>De Aanbestedende Dienst vindt het niet passend om de (samengevoegde) Opdracht onder te verdelen in meerdere percelen. De redenen hiervoor zijn dezelfde als de redenen van de Aanbestedende Dienst om de verschillende overheidsopdrachten samen te voegen tot de Opdracht. Indien de (samengevoegde) Opdracht door de Aanbestedende Dienst zou worden opgedeeld in verschillende percelen, zouden immers de voordelen van samenvoeging teniet worden gedaan.</w:t>
      </w:r>
    </w:p>
    <w:p w:rsidR="005A42D1" w:rsidP="005A42D1" w:rsidRDefault="00A310F3" w14:paraId="6D7898C0" w14:textId="47D80F6E">
      <w:pPr>
        <w:pStyle w:val="Kop2"/>
      </w:pPr>
      <w:bookmarkStart w:name="_Toc205383316" w:id="21"/>
      <w:r>
        <w:t>Herzieningsclausule</w:t>
      </w:r>
      <w:bookmarkEnd w:id="21"/>
    </w:p>
    <w:p w:rsidR="002C6C40" w:rsidP="004D170F" w:rsidRDefault="00910AB9" w14:paraId="5058810D" w14:textId="72264171">
      <w:pPr>
        <w:spacing w:before="240" w:after="240"/>
      </w:pPr>
      <w:r>
        <w:rPr>
          <w:rFonts w:eastAsia="Arial" w:cs="Arial"/>
          <w:b/>
          <w:bCs/>
        </w:rPr>
        <w:t xml:space="preserve">Herzieningsclausule 1: </w:t>
      </w:r>
      <w:r w:rsidR="00351A94">
        <w:rPr>
          <w:rFonts w:eastAsia="Arial" w:cs="Arial"/>
          <w:b/>
          <w:bCs/>
        </w:rPr>
        <w:t xml:space="preserve">verhoging </w:t>
      </w:r>
      <w:r w:rsidR="00C51024">
        <w:rPr>
          <w:rFonts w:eastAsia="Arial" w:cs="Arial"/>
          <w:b/>
          <w:bCs/>
        </w:rPr>
        <w:t>kosten</w:t>
      </w:r>
      <w:r w:rsidR="0003683F">
        <w:rPr>
          <w:rFonts w:eastAsia="Arial" w:cs="Arial"/>
          <w:b/>
          <w:bCs/>
        </w:rPr>
        <w:t xml:space="preserve"> </w:t>
      </w:r>
      <w:r>
        <w:rPr>
          <w:rFonts w:eastAsia="Arial" w:cs="Arial"/>
        </w:rPr>
        <w:br/>
      </w:r>
      <w:r w:rsidRPr="002C6C40" w:rsidR="002C6C40">
        <w:t>Een wijziging van de overeengekomen prijs of dienstverlening kan noodzakelijk zijn</w:t>
      </w:r>
      <w:r w:rsidR="00B03D3D">
        <w:t xml:space="preserve"> gedurende de looptijd van de Overeenkomst.</w:t>
      </w:r>
      <w:r w:rsidRPr="002C6C40" w:rsidR="002C6C40">
        <w:t xml:space="preserve"> Een dergelijke wijziging zal uitsluitend plaatsvinden onder de volgende voorwaarden:</w:t>
      </w:r>
    </w:p>
    <w:p w:rsidRPr="002C6C40" w:rsidR="002C6C40" w:rsidP="002C6C40" w:rsidRDefault="002C6C40" w14:paraId="640A1264" w14:textId="77777777"/>
    <w:p w:rsidRPr="002C6C40" w:rsidR="002C6C40" w:rsidP="002C6C40" w:rsidRDefault="002C6C40" w14:paraId="6E5BBAA5" w14:textId="77777777">
      <w:pPr>
        <w:numPr>
          <w:ilvl w:val="0"/>
          <w:numId w:val="47"/>
        </w:numPr>
      </w:pPr>
      <w:r w:rsidRPr="002C6C40">
        <w:t>De aard van de prestaties (het aanbieden van een bewezen en direct beschikbaar online managed dataplatform met verrijkte geodata en metadata) blijft ongewijzigd;</w:t>
      </w:r>
    </w:p>
    <w:p w:rsidRPr="002C6C40" w:rsidR="002C6C40" w:rsidP="002C6C40" w:rsidRDefault="002C6C40" w14:paraId="50142D7F" w14:textId="77777777">
      <w:pPr>
        <w:numPr>
          <w:ilvl w:val="0"/>
          <w:numId w:val="47"/>
        </w:numPr>
      </w:pPr>
      <w:r w:rsidRPr="002C6C40">
        <w:t>De wijziging blijft binnen de grenzen van hetgeen redelijkerwijs voorzienbaar is, gelet op het voorwerp en de aard van de opdracht;</w:t>
      </w:r>
    </w:p>
    <w:p w:rsidRPr="002C6C40" w:rsidR="002C6C40" w:rsidP="002C6C40" w:rsidRDefault="002C6C40" w14:paraId="309245E3" w14:textId="77777777">
      <w:pPr>
        <w:ind w:left="720"/>
      </w:pPr>
    </w:p>
    <w:p w:rsidR="002C6C40" w:rsidP="002C6C40" w:rsidRDefault="002C6C40" w14:paraId="6C73B4F2" w14:textId="77777777">
      <w:r w:rsidRPr="002C6C40">
        <w:t>Voorbeelden van mogelijke wijzigingen binnen deze kaders zijn onder meer:</w:t>
      </w:r>
      <w:r w:rsidRPr="002C6C40">
        <w:br/>
      </w:r>
      <w:r w:rsidRPr="002C6C40">
        <w:t>a) Substantiële prijsverhogingen van essentiële toeleveranciers, waaronder maar niet beperkt tot clouddienstverleners. Een prijsverhoging wordt als substantieel beschouwd indien deze aantoonbaar meer dan 15% van de oorspronkelijke prijs bedraagt binnen een periode van twaalf (12) maanden;</w:t>
      </w:r>
    </w:p>
    <w:p w:rsidR="002C6C40" w:rsidP="002C6C40" w:rsidRDefault="002C6C40" w14:paraId="476A1133" w14:textId="2A7FC803">
      <w:r w:rsidRPr="002C6C40">
        <w:br/>
      </w:r>
      <w:r w:rsidRPr="002C6C40">
        <w:t>b) Een uitbreiding van de overeengekomen dienstverlening op uitdrukkelijk verzoek van Opdrachtgever, zoals het toevoegen van aanvullende datasets of functionaliteiten, waaronder in ieder geval begrepen een uitbreiding van de datasets naar het Caribisch gebied</w:t>
      </w:r>
      <w:r w:rsidR="00B03D3D">
        <w:t xml:space="preserve">. Dit </w:t>
      </w:r>
      <w:r w:rsidRPr="002C6C40" w:rsidR="00B03D3D">
        <w:t xml:space="preserve">in </w:t>
      </w:r>
      <w:r w:rsidR="00B03D3D">
        <w:t xml:space="preserve">het geval dat er nieuwe datasets op de markt komen </w:t>
      </w:r>
      <w:r w:rsidRPr="004D170F" w:rsidR="00B03D3D">
        <w:t>die van waarde zijn voor risico-, crisisbeheersing en/of brandweerzorg</w:t>
      </w:r>
      <w:r w:rsidRPr="002C6C40">
        <w:t>;</w:t>
      </w:r>
    </w:p>
    <w:p w:rsidR="002C6C40" w:rsidP="002C6C40" w:rsidRDefault="002C6C40" w14:paraId="0C1D3963" w14:textId="3880FCAB">
      <w:r w:rsidRPr="002C6C40">
        <w:br/>
      </w:r>
      <w:r w:rsidRPr="002C6C40">
        <w:t>c) Indien openbare bronnen niet langer gratis beschikbaar worden gesteld, maar als niet-</w:t>
      </w:r>
      <w:r w:rsidRPr="002C6C40">
        <w:t>openbare commerciële data worden verkocht (zoals CBS, Kadaster, WOZ-waardeloket of vergelijkbare bronnen).</w:t>
      </w:r>
    </w:p>
    <w:p w:rsidRPr="002C6C40" w:rsidR="002C6C40" w:rsidP="002C6C40" w:rsidRDefault="002C6C40" w14:paraId="7365BB61" w14:textId="77777777"/>
    <w:p w:rsidR="002C6C40" w:rsidP="002C6C40" w:rsidRDefault="002C6C40" w14:paraId="582F512C" w14:textId="030F56C7">
      <w:r w:rsidRPr="002C6C40">
        <w:t xml:space="preserve">Naast een uitbreiding gedurende de looptijd van de </w:t>
      </w:r>
      <w:r w:rsidR="00E13A9A">
        <w:t>O</w:t>
      </w:r>
      <w:r w:rsidRPr="002C6C40">
        <w:t>vereenkomst behoudt de aanbestedende dienst zich altijd het recht voor om datasets, functionaliteiten of updatefrequenties te verlagen indien noodzakelijk, bijvoorbeeld bij gewijzigde informatiebehoeften of technische beperkingen.</w:t>
      </w:r>
    </w:p>
    <w:p w:rsidRPr="002C6C40" w:rsidR="002C6C40" w:rsidP="002C6C40" w:rsidRDefault="002C6C40" w14:paraId="0D8C777F" w14:textId="77777777"/>
    <w:p w:rsidR="00B770B4" w:rsidP="002C6C40" w:rsidRDefault="002C6C40" w14:paraId="51D9A407" w14:textId="0B5349A5">
      <w:r w:rsidRPr="002C6C40">
        <w:t>Uitsluitend de aanbestedende dienst is bevoegd om deze herzieningsclausule in werking te stellen. De inschakeling van deze mogelijkheid wordt te allen tijde schriftelijk kenbaar gemaakt aan de betreffende opdrachtnemer, onder vermelding van de aard en omvang van de wijziging.</w:t>
      </w:r>
    </w:p>
    <w:p w:rsidRPr="002C6C40" w:rsidR="002C6C40" w:rsidP="00B03D3D" w:rsidRDefault="00B770B4" w14:paraId="01AF53F4" w14:textId="0BA6E8CE">
      <w:pPr>
        <w:spacing w:before="240" w:after="240"/>
        <w:rPr>
          <w:rFonts w:eastAsia="Arial" w:cs="Arial"/>
        </w:rPr>
      </w:pPr>
      <w:r w:rsidRPr="00DD07AD">
        <w:rPr>
          <w:rFonts w:eastAsia="Arial" w:cs="Arial"/>
        </w:rPr>
        <w:t>Een prijsverhoging</w:t>
      </w:r>
      <w:r>
        <w:rPr>
          <w:rFonts w:eastAsia="Arial" w:cs="Arial"/>
        </w:rPr>
        <w:t xml:space="preserve"> voortkomend uit de inwerkingstelling van de herzieningsclausule</w:t>
      </w:r>
      <w:r w:rsidRPr="00DD07AD">
        <w:rPr>
          <w:rFonts w:eastAsia="Arial" w:cs="Arial"/>
        </w:rPr>
        <w:t xml:space="preserve"> dient door Opdrachtnemer schriftelijk en onderbouwd te worden gemeld aan Opdrachtgever, voorafgaand aan de uitvoering van de betreffende werkzaamheden of het aangaan van aanvullende verplichtingen.</w:t>
      </w:r>
    </w:p>
    <w:p w:rsidR="002C6C40" w:rsidP="002C6C40" w:rsidRDefault="002C6C40" w14:paraId="70186942" w14:textId="62056A62">
      <w:r w:rsidRPr="002C6C40">
        <w:t xml:space="preserve">Deze herzieningsmogelijkheid is reeds bij het opstellen van deze aanbestedingsprocedure in aanmerking genomen en vormt een wezenlijk onderdeel van de </w:t>
      </w:r>
      <w:r w:rsidR="00B770B4">
        <w:t>O</w:t>
      </w:r>
      <w:r w:rsidRPr="002C6C40">
        <w:t>vereenkomst. Aan deze clausule kunnen door de opdrachtnemer geen rechten worden ontleend met betrekking tot een gegarandeerde afname of automatische uitbreiding.</w:t>
      </w:r>
    </w:p>
    <w:p w:rsidRPr="002C6C40" w:rsidR="002C6C40" w:rsidP="002C6C40" w:rsidRDefault="002C6C40" w14:paraId="15E2C96E" w14:textId="77777777"/>
    <w:p w:rsidRPr="002C6C40" w:rsidR="002C6C40" w:rsidP="002C6C40" w:rsidRDefault="002C6C40" w14:paraId="738B0E7F" w14:textId="77777777">
      <w:r w:rsidRPr="002C6C40">
        <w:t>Wijzigingen als hier genoemd gelden als herzieningsclausules in de zin van artikel 2.163c Aanbestedingswet 2012.</w:t>
      </w:r>
    </w:p>
    <w:p w:rsidR="002C6C40" w:rsidP="005A42D1" w:rsidRDefault="002C6C40" w14:paraId="2AC0EBE9" w14:textId="77777777"/>
    <w:p w:rsidR="009C4597" w:rsidP="009C4597" w:rsidRDefault="009C4597" w14:paraId="0D2CC44B" w14:textId="77777777">
      <w:pPr>
        <w:pStyle w:val="Kop2"/>
      </w:pPr>
      <w:bookmarkStart w:name="_Toc205383317" w:id="22"/>
      <w:r>
        <w:t>Informatiebeveiliging binnen de Aanbestedende Dienst</w:t>
      </w:r>
      <w:bookmarkEnd w:id="22"/>
    </w:p>
    <w:p w:rsidR="009C4597" w:rsidP="00D95585" w:rsidRDefault="009C4597" w14:paraId="1F54F5E7" w14:textId="3182EBAE">
      <w:pPr>
        <w:spacing w:line="276" w:lineRule="auto"/>
      </w:pPr>
      <w:r w:rsidRPr="00555C9B">
        <w:t xml:space="preserve">De Aanbestedende Dienst heeft </w:t>
      </w:r>
      <w:r>
        <w:t xml:space="preserve">een </w:t>
      </w:r>
      <w:r w:rsidRPr="00555C9B">
        <w:t xml:space="preserve">informatiebeveiligingsbeleid. De Aanbestedende Dienst heeft ervoor gekozen om te voldoen aan de internationale norm ISO 27001. </w:t>
      </w:r>
      <w:r w:rsidRPr="00D95585" w:rsidR="00D95585">
        <w:t>Als onderdeel hiervan wordt op basis van risico’s een set aan maatregelen geselecteerd waaraan Opdrachtnemer zich dient te houden bij de uitvoering van de opdracht. Deze maatregelen zijn terug te vinden in het Programma van Eisen.</w:t>
      </w:r>
    </w:p>
    <w:p w:rsidR="009C4597" w:rsidP="009C4597" w:rsidRDefault="009C4597" w14:paraId="196A5698" w14:textId="77777777">
      <w:pPr>
        <w:pStyle w:val="Kop2"/>
      </w:pPr>
      <w:bookmarkStart w:name="_Toc205383318" w:id="23"/>
      <w:r>
        <w:t>Bewaren</w:t>
      </w:r>
      <w:bookmarkEnd w:id="23"/>
    </w:p>
    <w:p w:rsidRPr="00555C9B" w:rsidR="009C4597" w:rsidP="009C4597" w:rsidRDefault="009C4597" w14:paraId="1F88B720" w14:textId="6B8B00A9">
      <w:pPr>
        <w:spacing w:line="276" w:lineRule="auto"/>
      </w:pPr>
      <w:r w:rsidRPr="00555C9B">
        <w:t xml:space="preserve">Voor de bewaartermijn van de </w:t>
      </w:r>
      <w:r>
        <w:t>inkoop</w:t>
      </w:r>
      <w:r w:rsidRPr="00555C9B">
        <w:t xml:space="preserve">dossiers is de Aanbestedende Dienst gebonden aan wettelijke termijnen. </w:t>
      </w:r>
      <w:r>
        <w:t>Inkoop</w:t>
      </w:r>
      <w:r w:rsidRPr="00555C9B">
        <w:t>dossiers worden in ieder geval niet langer bewaard dan tien</w:t>
      </w:r>
      <w:r w:rsidR="008E7ABF">
        <w:t xml:space="preserve"> (10)</w:t>
      </w:r>
      <w:r w:rsidRPr="00555C9B">
        <w:t xml:space="preserve"> jaar. </w:t>
      </w:r>
    </w:p>
    <w:p w:rsidR="009C4597" w:rsidRDefault="009C4597" w14:paraId="5AE5F90D" w14:textId="77777777">
      <w:r>
        <w:br w:type="page"/>
      </w:r>
    </w:p>
    <w:p w:rsidR="009C4597" w:rsidP="009C4597" w:rsidRDefault="009C4597" w14:paraId="43904AEE" w14:textId="77777777">
      <w:pPr>
        <w:pStyle w:val="Kop1"/>
      </w:pPr>
      <w:bookmarkStart w:name="_Toc205383319" w:id="24"/>
      <w:r>
        <w:t>Aanbestedingsprocedure</w:t>
      </w:r>
      <w:bookmarkEnd w:id="24"/>
      <w:r>
        <w:t xml:space="preserve"> </w:t>
      </w:r>
    </w:p>
    <w:p w:rsidR="009C4597" w:rsidP="00900981" w:rsidRDefault="00900981" w14:paraId="119752D2" w14:textId="668793B3">
      <w:pPr>
        <w:pStyle w:val="Kop2"/>
      </w:pPr>
      <w:bookmarkStart w:name="_Toc205383320" w:id="25"/>
      <w:r>
        <w:t xml:space="preserve">Europese openbare </w:t>
      </w:r>
      <w:r w:rsidRPr="00555C9B">
        <w:t>aanbestedingsprocedure</w:t>
      </w:r>
      <w:bookmarkEnd w:id="25"/>
    </w:p>
    <w:p w:rsidRPr="00555C9B" w:rsidR="00900981" w:rsidP="000C03EF" w:rsidRDefault="00900981" w14:paraId="412A2CC2" w14:textId="0B771A3F">
      <w:r w:rsidRPr="00555C9B">
        <w:t>Voor de aanbesteding van de Opdracht hanteert de Aanbestedende Dienst de Europese openbare aanbestedingsprocedure.</w:t>
      </w:r>
    </w:p>
    <w:p w:rsidRPr="00555C9B" w:rsidR="00900981" w:rsidP="000C03EF" w:rsidRDefault="00900981" w14:paraId="0A03EE77" w14:textId="77777777"/>
    <w:p w:rsidRPr="00555C9B" w:rsidR="007161E9" w:rsidP="000C03EF" w:rsidRDefault="007161E9" w14:paraId="53DFF27E" w14:textId="6C9418CD">
      <w:r>
        <w:t xml:space="preserve">Op deze </w:t>
      </w:r>
      <w:r w:rsidRPr="00555C9B">
        <w:t>aanbestedingsprocedure is de Aanbestedingswet 2012</w:t>
      </w:r>
      <w:r>
        <w:t xml:space="preserve"> van toepassing</w:t>
      </w:r>
      <w:r w:rsidRPr="00555C9B">
        <w:t xml:space="preserve">. Voor het overige is op de onderhavige procedure en de daaruit voortvloeiende </w:t>
      </w:r>
      <w:r>
        <w:t>O</w:t>
      </w:r>
      <w:r w:rsidRPr="00555C9B">
        <w:t>vereenkomst het Nederlandse recht van toepassing, met uitsluiting van het Weens Koopverdrag.</w:t>
      </w:r>
      <w:r>
        <w:t xml:space="preserve"> </w:t>
      </w:r>
      <w:bookmarkStart w:name="_Hlk185499233" w:id="26"/>
      <w:r>
        <w:t xml:space="preserve">In het bijzonder wordt in dit kader gewezen op </w:t>
      </w:r>
      <w:r w:rsidR="004C3AD1">
        <w:t xml:space="preserve">het verbod om te gunnen </w:t>
      </w:r>
      <w:r>
        <w:t xml:space="preserve">aan Russische partijen. </w:t>
      </w:r>
      <w:r w:rsidR="00FA6E66">
        <w:t xml:space="preserve">Inschrijvers dienen daartoe een verklaring van niet-Russische inmenging in te dienen bij hun </w:t>
      </w:r>
      <w:r w:rsidR="00CA2DFB">
        <w:t>I</w:t>
      </w:r>
      <w:r w:rsidR="00FA6E66">
        <w:t xml:space="preserve">nschrijving.  </w:t>
      </w:r>
      <w:bookmarkEnd w:id="26"/>
    </w:p>
    <w:p w:rsidRPr="00555C9B" w:rsidR="00900981" w:rsidP="000C03EF" w:rsidRDefault="00900981" w14:paraId="5166AC81" w14:textId="77777777"/>
    <w:p w:rsidR="00900981" w:rsidP="000C03EF" w:rsidRDefault="00900981" w14:paraId="2A64F266" w14:textId="6C763C17">
      <w:r w:rsidRPr="00555C9B">
        <w:t>De Aanbestedende Dienst acht het voor de aanbesteding van de onderhavige Opdracht geschikt en proportioneel om de Europese openbare aanbestedingsprocedure te hanteren. De Aanbestedende Dienst heeft voorafgaand aan zijn besluit om de Europese openbare procedure te hanteren een marktconsultatie uitgevoerd. Uit deze</w:t>
      </w:r>
      <w:r w:rsidRPr="00555C9B">
        <w:rPr>
          <w:rFonts w:cs="Arial"/>
        </w:rPr>
        <w:t xml:space="preserve"> </w:t>
      </w:r>
      <w:r w:rsidR="00160A37">
        <w:rPr>
          <w:rFonts w:cs="Arial"/>
        </w:rPr>
        <w:t>m</w:t>
      </w:r>
      <w:r w:rsidRPr="00555C9B">
        <w:rPr>
          <w:rFonts w:cs="Arial"/>
        </w:rPr>
        <w:t xml:space="preserve">arktconsultatie is gebleken dat het aantal potentiële Inschrijvers dat geïnteresseerd kan zijn om deel te nemen aan deze aanbestedingsprocedure niet voldoende groot is om een Europese niet-openbare aanbestedingsprocedure te organiseren. Met een Europese openbare </w:t>
      </w:r>
      <w:r w:rsidRPr="00555C9B" w:rsidR="000C03EF">
        <w:rPr>
          <w:rFonts w:cs="Arial"/>
        </w:rPr>
        <w:t>aanbestedings</w:t>
      </w:r>
      <w:r w:rsidR="000C03EF">
        <w:rPr>
          <w:rFonts w:cs="Arial"/>
        </w:rPr>
        <w:t>p</w:t>
      </w:r>
      <w:r w:rsidRPr="00555C9B" w:rsidR="000C03EF">
        <w:rPr>
          <w:rFonts w:cs="Arial"/>
        </w:rPr>
        <w:t>rocedure</w:t>
      </w:r>
      <w:r w:rsidRPr="00555C9B">
        <w:rPr>
          <w:rFonts w:cs="Arial"/>
        </w:rPr>
        <w:t xml:space="preserve"> lijkt dan ook de meeste concurrentie voor de Opdracht te worden gegenereerd. Daarnaast is de Aanbestedende Dienst van mening dat het opstellen van een Inschrijving voor deze aanbestedingsprocedure – met name nu gewerkt wordt met het UEA – niet een dermate grote inspanning voor de Inschrijvers oplevert, dat zij gehouden is om een Europese openbare aanbestedingsprocedure te organiseren.</w:t>
      </w:r>
    </w:p>
    <w:p w:rsidR="00900981" w:rsidP="00900981" w:rsidRDefault="00900981" w14:paraId="7DB3F4B0" w14:textId="77777777">
      <w:pPr>
        <w:pStyle w:val="Kop2"/>
      </w:pPr>
      <w:bookmarkStart w:name="_Toc205383321" w:id="27"/>
      <w:r>
        <w:t>Contactpersoon</w:t>
      </w:r>
      <w:bookmarkEnd w:id="27"/>
    </w:p>
    <w:p w:rsidRPr="00555C9B" w:rsidR="00900981" w:rsidP="00900981" w:rsidRDefault="00900981" w14:paraId="7BBF08A2" w14:textId="77777777">
      <w:pPr>
        <w:suppressAutoHyphens/>
      </w:pPr>
      <w:r w:rsidRPr="00555C9B">
        <w:t xml:space="preserve">De communicatie in het kader van de onderhavige aanbestedingsprocedure, direct dan wel indirect, dient uitsluitend via TenderNed te verlopen en ook uitsluitend – via TenderNed - met de onderstaande contactpersoon . </w:t>
      </w:r>
    </w:p>
    <w:p w:rsidRPr="00555C9B" w:rsidR="00900981" w:rsidP="00900981" w:rsidRDefault="00900981" w14:paraId="6ABB2310" w14:textId="77777777">
      <w:pPr>
        <w:suppressAutoHyphens/>
      </w:pPr>
    </w:p>
    <w:tbl>
      <w:tblPr>
        <w:tblStyle w:val="Tabelraster"/>
        <w:tblW w:w="0" w:type="auto"/>
        <w:tblLook w:val="04A0" w:firstRow="1" w:lastRow="0" w:firstColumn="1" w:lastColumn="0" w:noHBand="0" w:noVBand="1"/>
      </w:tblPr>
      <w:tblGrid>
        <w:gridCol w:w="4105"/>
        <w:gridCol w:w="4106"/>
      </w:tblGrid>
      <w:tr w:rsidRPr="00555C9B" w:rsidR="00900981" w:rsidTr="00364482" w14:paraId="77B66052" w14:textId="77777777">
        <w:trPr>
          <w:cnfStyle w:val="100000000000" w:firstRow="1" w:lastRow="0" w:firstColumn="0" w:lastColumn="0" w:oddVBand="0" w:evenVBand="0" w:oddHBand="0" w:evenHBand="0" w:firstRowFirstColumn="0" w:firstRowLastColumn="0" w:lastRowFirstColumn="0" w:lastRowLastColumn="0"/>
        </w:trPr>
        <w:tc>
          <w:tcPr>
            <w:tcW w:w="4105" w:type="dxa"/>
            <w:hideMark/>
          </w:tcPr>
          <w:p w:rsidRPr="00900981" w:rsidR="00900981" w:rsidRDefault="00900981" w14:paraId="283D1287" w14:textId="77777777">
            <w:pPr>
              <w:suppressAutoHyphens/>
              <w:rPr>
                <w:b/>
                <w:bCs/>
              </w:rPr>
            </w:pPr>
            <w:r w:rsidRPr="00900981">
              <w:rPr>
                <w:b/>
                <w:bCs/>
              </w:rPr>
              <w:t>Contactgegevens</w:t>
            </w:r>
          </w:p>
        </w:tc>
        <w:tc>
          <w:tcPr>
            <w:tcW w:w="4106" w:type="dxa"/>
            <w:hideMark/>
          </w:tcPr>
          <w:p w:rsidRPr="00555C9B" w:rsidR="00900981" w:rsidRDefault="00900981" w14:paraId="49FC863B" w14:textId="77777777">
            <w:pPr>
              <w:suppressAutoHyphens/>
              <w:rPr>
                <w:rFonts w:eastAsia="MS Mincho" w:cs="Arial"/>
                <w:bCs/>
                <w:color w:val="00314E"/>
                <w:sz w:val="60"/>
                <w:szCs w:val="32"/>
              </w:rPr>
            </w:pPr>
          </w:p>
        </w:tc>
      </w:tr>
      <w:tr w:rsidRPr="00555C9B" w:rsidR="00900981" w:rsidTr="00364482" w14:paraId="240A2ACF" w14:textId="77777777">
        <w:trPr>
          <w:cnfStyle w:val="000000100000" w:firstRow="0" w:lastRow="0" w:firstColumn="0" w:lastColumn="0" w:oddVBand="0" w:evenVBand="0" w:oddHBand="1" w:evenHBand="0" w:firstRowFirstColumn="0" w:firstRowLastColumn="0" w:lastRowFirstColumn="0" w:lastRowLastColumn="0"/>
        </w:trPr>
        <w:tc>
          <w:tcPr>
            <w:tcW w:w="4105" w:type="dxa"/>
          </w:tcPr>
          <w:p w:rsidRPr="00555C9B" w:rsidR="00900981" w:rsidRDefault="00900981" w14:paraId="2A9A104B" w14:textId="77777777">
            <w:pPr>
              <w:suppressAutoHyphens/>
            </w:pPr>
            <w:r w:rsidRPr="00555C9B">
              <w:t>Naam contactpersoon</w:t>
            </w:r>
          </w:p>
        </w:tc>
        <w:tc>
          <w:tcPr>
            <w:tcW w:w="4106" w:type="dxa"/>
          </w:tcPr>
          <w:p w:rsidRPr="00555C9B" w:rsidR="00900981" w:rsidRDefault="00160A37" w14:paraId="736FD34D" w14:textId="3EE77E80">
            <w:pPr>
              <w:suppressAutoHyphens/>
            </w:pPr>
            <w:r>
              <w:t>Yvonne van de Geer</w:t>
            </w:r>
          </w:p>
        </w:tc>
      </w:tr>
      <w:tr w:rsidRPr="00555C9B" w:rsidR="00900981" w:rsidTr="00364482" w14:paraId="69188C06" w14:textId="77777777">
        <w:trPr>
          <w:cnfStyle w:val="000000010000" w:firstRow="0" w:lastRow="0" w:firstColumn="0" w:lastColumn="0" w:oddVBand="0" w:evenVBand="0" w:oddHBand="0" w:evenHBand="1" w:firstRowFirstColumn="0" w:firstRowLastColumn="0" w:lastRowFirstColumn="0" w:lastRowLastColumn="0"/>
        </w:trPr>
        <w:tc>
          <w:tcPr>
            <w:tcW w:w="4105" w:type="dxa"/>
            <w:hideMark/>
          </w:tcPr>
          <w:p w:rsidRPr="00555C9B" w:rsidR="00900981" w:rsidRDefault="00900981" w14:paraId="3519082A" w14:textId="77777777">
            <w:pPr>
              <w:suppressAutoHyphens/>
            </w:pPr>
            <w:r w:rsidRPr="00555C9B">
              <w:t>Functie</w:t>
            </w:r>
          </w:p>
        </w:tc>
        <w:tc>
          <w:tcPr>
            <w:tcW w:w="4106" w:type="dxa"/>
            <w:hideMark/>
          </w:tcPr>
          <w:p w:rsidRPr="00555C9B" w:rsidR="00900981" w:rsidRDefault="00160A37" w14:paraId="1C5AF93E" w14:textId="1657D9CF">
            <w:pPr>
              <w:suppressAutoHyphens/>
            </w:pPr>
            <w:r>
              <w:t>Inkoopadviseur</w:t>
            </w:r>
          </w:p>
        </w:tc>
      </w:tr>
      <w:tr w:rsidRPr="00555C9B" w:rsidR="00900981" w:rsidTr="00364482" w14:paraId="14101E67" w14:textId="77777777">
        <w:trPr>
          <w:cnfStyle w:val="000000100000" w:firstRow="0" w:lastRow="0" w:firstColumn="0" w:lastColumn="0" w:oddVBand="0" w:evenVBand="0" w:oddHBand="1" w:evenHBand="0" w:firstRowFirstColumn="0" w:firstRowLastColumn="0" w:lastRowFirstColumn="0" w:lastRowLastColumn="0"/>
        </w:trPr>
        <w:tc>
          <w:tcPr>
            <w:tcW w:w="4105" w:type="dxa"/>
            <w:hideMark/>
          </w:tcPr>
          <w:p w:rsidRPr="00555C9B" w:rsidR="00900981" w:rsidRDefault="00900981" w14:paraId="6DC0AD79" w14:textId="77777777">
            <w:pPr>
              <w:suppressAutoHyphens/>
            </w:pPr>
            <w:r w:rsidRPr="00555C9B">
              <w:t>E-mailadres</w:t>
            </w:r>
          </w:p>
        </w:tc>
        <w:tc>
          <w:tcPr>
            <w:tcW w:w="4106" w:type="dxa"/>
            <w:hideMark/>
          </w:tcPr>
          <w:p w:rsidRPr="00555C9B" w:rsidR="00900981" w:rsidRDefault="00900981" w14:paraId="13CBFF5C" w14:textId="77777777">
            <w:pPr>
              <w:suppressAutoHyphens/>
            </w:pPr>
            <w:hyperlink w:history="1" r:id="rId14">
              <w:r w:rsidRPr="003E0E96">
                <w:rPr>
                  <w:rStyle w:val="Hyperlink"/>
                </w:rPr>
                <w:t>inkoop@nipv.nl</w:t>
              </w:r>
            </w:hyperlink>
            <w:r>
              <w:t xml:space="preserve"> </w:t>
            </w:r>
          </w:p>
        </w:tc>
      </w:tr>
      <w:tr w:rsidRPr="00555C9B" w:rsidR="00900981" w:rsidTr="00364482" w14:paraId="2405470A" w14:textId="77777777">
        <w:trPr>
          <w:cnfStyle w:val="000000010000" w:firstRow="0" w:lastRow="0" w:firstColumn="0" w:lastColumn="0" w:oddVBand="0" w:evenVBand="0" w:oddHBand="0" w:evenHBand="1" w:firstRowFirstColumn="0" w:firstRowLastColumn="0" w:lastRowFirstColumn="0" w:lastRowLastColumn="0"/>
        </w:trPr>
        <w:tc>
          <w:tcPr>
            <w:tcW w:w="4105" w:type="dxa"/>
          </w:tcPr>
          <w:p w:rsidRPr="00555C9B" w:rsidR="00900981" w:rsidRDefault="00900981" w14:paraId="496B0ED0" w14:textId="77777777">
            <w:pPr>
              <w:suppressAutoHyphens/>
            </w:pPr>
            <w:r w:rsidRPr="00555C9B">
              <w:t>Naam plaatsvervanger</w:t>
            </w:r>
          </w:p>
        </w:tc>
        <w:tc>
          <w:tcPr>
            <w:tcW w:w="4106" w:type="dxa"/>
          </w:tcPr>
          <w:p w:rsidRPr="00555C9B" w:rsidR="00900981" w:rsidRDefault="008F42AC" w14:paraId="2B2420A6" w14:textId="5EF6114F">
            <w:pPr>
              <w:suppressAutoHyphens/>
            </w:pPr>
            <w:r>
              <w:t>Nanet Kunst</w:t>
            </w:r>
          </w:p>
        </w:tc>
      </w:tr>
      <w:tr w:rsidRPr="00555C9B" w:rsidR="00900981" w:rsidTr="00364482" w14:paraId="783002C4" w14:textId="77777777">
        <w:trPr>
          <w:cnfStyle w:val="000000100000" w:firstRow="0" w:lastRow="0" w:firstColumn="0" w:lastColumn="0" w:oddVBand="0" w:evenVBand="0" w:oddHBand="1" w:evenHBand="0" w:firstRowFirstColumn="0" w:firstRowLastColumn="0" w:lastRowFirstColumn="0" w:lastRowLastColumn="0"/>
        </w:trPr>
        <w:tc>
          <w:tcPr>
            <w:tcW w:w="4105" w:type="dxa"/>
          </w:tcPr>
          <w:p w:rsidRPr="00555C9B" w:rsidR="00900981" w:rsidRDefault="00900981" w14:paraId="79831017" w14:textId="77777777">
            <w:pPr>
              <w:suppressAutoHyphens/>
            </w:pPr>
            <w:r w:rsidRPr="00555C9B">
              <w:t>Functie</w:t>
            </w:r>
          </w:p>
        </w:tc>
        <w:tc>
          <w:tcPr>
            <w:tcW w:w="4106" w:type="dxa"/>
          </w:tcPr>
          <w:p w:rsidRPr="00555C9B" w:rsidR="00900981" w:rsidRDefault="008F42AC" w14:paraId="340D2ACE" w14:textId="07032C57">
            <w:pPr>
              <w:suppressAutoHyphens/>
            </w:pPr>
            <w:r>
              <w:t>Inkoopadviseur</w:t>
            </w:r>
          </w:p>
        </w:tc>
      </w:tr>
    </w:tbl>
    <w:p w:rsidR="00900981" w:rsidP="00900981" w:rsidRDefault="00900981" w14:paraId="19E34092" w14:textId="77777777"/>
    <w:p w:rsidR="00900981" w:rsidP="00900981" w:rsidRDefault="00900981" w14:paraId="3E30ED77" w14:textId="77777777">
      <w:pPr>
        <w:suppressAutoHyphens/>
      </w:pPr>
      <w:r w:rsidRPr="00555C9B">
        <w:t xml:space="preserve">Het is Inschrijvers niet toegestaan om met andere functionarissen van </w:t>
      </w:r>
      <w:r>
        <w:t>de Aanbestedende Dienst contact te hebben</w:t>
      </w:r>
      <w:r w:rsidRPr="00555C9B">
        <w:t xml:space="preserve">, </w:t>
      </w:r>
      <w:r>
        <w:t xml:space="preserve">noch met (externe) </w:t>
      </w:r>
      <w:r w:rsidRPr="00555C9B">
        <w:t xml:space="preserve">personen / entiteiten </w:t>
      </w:r>
      <w:r>
        <w:t xml:space="preserve">die </w:t>
      </w:r>
      <w:r w:rsidRPr="00555C9B">
        <w:t>anderszins direct of indirect betrokken bij de onderhavige aanbestedingsprocedure, behoudens voor zover het contact betreft die geen betrekking heeft op de onderhavige aanbestedingsprocedure. Te denken valt aan contact in het kader van de uitvoering van lopende overeenkomsten.</w:t>
      </w:r>
    </w:p>
    <w:p w:rsidRPr="00555C9B" w:rsidR="00900981" w:rsidP="00900981" w:rsidRDefault="00900981" w14:paraId="7612D28E" w14:textId="77777777">
      <w:pPr>
        <w:suppressAutoHyphens/>
      </w:pPr>
    </w:p>
    <w:p w:rsidR="00900981" w:rsidP="00900981" w:rsidRDefault="00900981" w14:paraId="4B249A1B" w14:textId="77777777">
      <w:pPr>
        <w:suppressAutoHyphens/>
      </w:pPr>
      <w:r w:rsidRPr="00555C9B">
        <w:t xml:space="preserve">Niet naleving van het gestelde in deze paragraaf leidt tot terzijdelegging van de </w:t>
      </w:r>
      <w:r>
        <w:t>I</w:t>
      </w:r>
      <w:r w:rsidRPr="00555C9B">
        <w:t>nschrijving, tenzij dat in het individuele geval disproportioneel zou zijn</w:t>
      </w:r>
      <w:r>
        <w:t xml:space="preserve"> (bijvoorbeeld in het geval van een storing bij TenderNed)</w:t>
      </w:r>
      <w:r w:rsidRPr="00555C9B">
        <w:t xml:space="preserve">. </w:t>
      </w:r>
      <w:r>
        <w:t xml:space="preserve">De Aanbestedende Dienst </w:t>
      </w:r>
      <w:r w:rsidRPr="00555C9B">
        <w:t xml:space="preserve">beoordeelt of terzijdelegging proportioneel is. Deze beoordeling betreft een eigen en exclusieve afweging van </w:t>
      </w:r>
      <w:r>
        <w:t>de Aanbestedende Dienst</w:t>
      </w:r>
      <w:r w:rsidRPr="00555C9B">
        <w:t xml:space="preserve">. </w:t>
      </w:r>
      <w:r>
        <w:t xml:space="preserve">De Aanbestedende Dienst </w:t>
      </w:r>
      <w:r w:rsidRPr="00555C9B">
        <w:t>zal een besluit tot terzijdelegging deugdelijk motiveren</w:t>
      </w:r>
      <w:r w:rsidR="00CA2C00">
        <w:t>.</w:t>
      </w:r>
    </w:p>
    <w:p w:rsidR="00900981" w:rsidP="00900981" w:rsidRDefault="00900981" w14:paraId="5638D5D9" w14:textId="77777777">
      <w:pPr>
        <w:suppressAutoHyphens/>
      </w:pPr>
    </w:p>
    <w:p w:rsidR="00900981" w:rsidP="001427B3" w:rsidRDefault="00900981" w14:paraId="4BEB7ED5" w14:textId="0A0BA08F">
      <w:pPr>
        <w:suppressAutoHyphens/>
      </w:pPr>
      <w:r w:rsidRPr="00555C9B">
        <w:t xml:space="preserve">In geval van een storing bij TenderNed attendeert de Aanbestedende Dienst de </w:t>
      </w:r>
      <w:r>
        <w:t>I</w:t>
      </w:r>
      <w:r w:rsidRPr="00555C9B">
        <w:t>nschrijvers op de bepalingen van artikel 2.109 en 2.109a Aw.</w:t>
      </w:r>
    </w:p>
    <w:p w:rsidR="00900981" w:rsidP="00900981" w:rsidRDefault="00900981" w14:paraId="246D9CFA" w14:textId="77777777">
      <w:pPr>
        <w:pStyle w:val="Kop2"/>
      </w:pPr>
      <w:bookmarkStart w:name="_Toc205383322" w:id="28"/>
      <w:r>
        <w:t>Beoogde planning</w:t>
      </w:r>
      <w:bookmarkEnd w:id="28"/>
    </w:p>
    <w:p w:rsidRPr="00555C9B" w:rsidR="00900981" w:rsidP="00900981" w:rsidRDefault="00900981" w14:paraId="1C2BF65E" w14:textId="77777777">
      <w:pPr>
        <w:suppressAutoHyphens/>
      </w:pPr>
      <w:r w:rsidRPr="00555C9B">
        <w:t xml:space="preserve">De volgende planning wordt beoogd: </w:t>
      </w:r>
    </w:p>
    <w:p w:rsidRPr="00555C9B" w:rsidR="00900981" w:rsidP="00900981" w:rsidRDefault="00900981" w14:paraId="5D973BEE" w14:textId="77777777">
      <w:pPr>
        <w:suppressAutoHyphens/>
      </w:pPr>
    </w:p>
    <w:tbl>
      <w:tblPr>
        <w:tblStyle w:val="Tabelraster"/>
        <w:tblW w:w="0" w:type="auto"/>
        <w:tblLook w:val="04A0" w:firstRow="1" w:lastRow="0" w:firstColumn="1" w:lastColumn="0" w:noHBand="0" w:noVBand="1"/>
      </w:tblPr>
      <w:tblGrid>
        <w:gridCol w:w="4151"/>
        <w:gridCol w:w="4060"/>
      </w:tblGrid>
      <w:tr w:rsidRPr="00900981" w:rsidR="00900981" w:rsidTr="0033000A" w14:paraId="67BEE8AC" w14:textId="77777777">
        <w:trPr>
          <w:cnfStyle w:val="100000000000" w:firstRow="1" w:lastRow="0" w:firstColumn="0" w:lastColumn="0" w:oddVBand="0" w:evenVBand="0" w:oddHBand="0" w:evenHBand="0" w:firstRowFirstColumn="0" w:firstRowLastColumn="0" w:lastRowFirstColumn="0" w:lastRowLastColumn="0"/>
          <w:trHeight w:val="261"/>
        </w:trPr>
        <w:tc>
          <w:tcPr>
            <w:tcW w:w="4151" w:type="dxa"/>
          </w:tcPr>
          <w:p w:rsidRPr="00900981" w:rsidR="00900981" w:rsidRDefault="00900981" w14:paraId="0DE2F3C1" w14:textId="77777777">
            <w:pPr>
              <w:suppressAutoHyphens/>
              <w:rPr>
                <w:b/>
                <w:bCs/>
              </w:rPr>
            </w:pPr>
            <w:r w:rsidRPr="00900981">
              <w:rPr>
                <w:b/>
                <w:bCs/>
              </w:rPr>
              <w:t>Activiteit</w:t>
            </w:r>
          </w:p>
        </w:tc>
        <w:tc>
          <w:tcPr>
            <w:tcW w:w="4060" w:type="dxa"/>
          </w:tcPr>
          <w:p w:rsidRPr="00900981" w:rsidR="00900981" w:rsidRDefault="00900981" w14:paraId="56ADE1DE" w14:textId="77777777">
            <w:pPr>
              <w:suppressAutoHyphens/>
              <w:rPr>
                <w:b/>
                <w:bCs/>
              </w:rPr>
            </w:pPr>
            <w:r w:rsidRPr="00900981">
              <w:rPr>
                <w:b/>
                <w:bCs/>
              </w:rPr>
              <w:t>Datum</w:t>
            </w:r>
          </w:p>
        </w:tc>
      </w:tr>
      <w:tr w:rsidRPr="00555C9B" w:rsidR="00900981" w:rsidTr="0033000A" w14:paraId="00DF50BC" w14:textId="77777777">
        <w:trPr>
          <w:cnfStyle w:val="000000100000" w:firstRow="0" w:lastRow="0" w:firstColumn="0" w:lastColumn="0" w:oddVBand="0" w:evenVBand="0" w:oddHBand="1" w:evenHBand="0" w:firstRowFirstColumn="0" w:firstRowLastColumn="0" w:lastRowFirstColumn="0" w:lastRowLastColumn="0"/>
        </w:trPr>
        <w:tc>
          <w:tcPr>
            <w:tcW w:w="4151" w:type="dxa"/>
          </w:tcPr>
          <w:p w:rsidRPr="00555C9B" w:rsidR="00900981" w:rsidRDefault="00900981" w14:paraId="21F10553" w14:textId="77777777">
            <w:pPr>
              <w:suppressAutoHyphens/>
            </w:pPr>
            <w:r w:rsidRPr="00555C9B">
              <w:t>Verzending aankondiging TenderNed en Beschrijvend Document beschikbaar op TenderNed</w:t>
            </w:r>
          </w:p>
        </w:tc>
        <w:tc>
          <w:tcPr>
            <w:tcW w:w="4060" w:type="dxa"/>
          </w:tcPr>
          <w:p w:rsidRPr="00555C9B" w:rsidR="00900981" w:rsidRDefault="00B36553" w14:paraId="3665F7C7" w14:textId="0AC3C339">
            <w:pPr>
              <w:suppressAutoHyphens/>
            </w:pPr>
            <w:r>
              <w:t>11</w:t>
            </w:r>
            <w:r w:rsidR="006C7EB6">
              <w:t xml:space="preserve"> augustus</w:t>
            </w:r>
            <w:r w:rsidR="00E30673">
              <w:t xml:space="preserve"> 2025</w:t>
            </w:r>
          </w:p>
        </w:tc>
      </w:tr>
      <w:tr w:rsidRPr="00555C9B" w:rsidR="00900981" w:rsidTr="0033000A" w14:paraId="29D2674B" w14:textId="77777777">
        <w:trPr>
          <w:cnfStyle w:val="000000010000" w:firstRow="0" w:lastRow="0" w:firstColumn="0" w:lastColumn="0" w:oddVBand="0" w:evenVBand="0" w:oddHBand="0" w:evenHBand="1" w:firstRowFirstColumn="0" w:firstRowLastColumn="0" w:lastRowFirstColumn="0" w:lastRowLastColumn="0"/>
        </w:trPr>
        <w:tc>
          <w:tcPr>
            <w:tcW w:w="4151" w:type="dxa"/>
          </w:tcPr>
          <w:p w:rsidRPr="00555C9B" w:rsidR="00900981" w:rsidRDefault="00900981" w14:paraId="6FDF746D" w14:textId="3E2FC823">
            <w:pPr>
              <w:suppressAutoHyphens/>
            </w:pPr>
            <w:r w:rsidRPr="00555C9B">
              <w:t>Uiterste datum indienen schriftelijke vragen t.b.v. Nota van Inlichtingen</w:t>
            </w:r>
            <w:r w:rsidR="00287C0C">
              <w:t xml:space="preserve"> 1</w:t>
            </w:r>
          </w:p>
        </w:tc>
        <w:tc>
          <w:tcPr>
            <w:tcW w:w="4060" w:type="dxa"/>
          </w:tcPr>
          <w:p w:rsidRPr="00555C9B" w:rsidR="00900981" w:rsidRDefault="009D2136" w14:paraId="6A827514" w14:textId="06E13BEA">
            <w:pPr>
              <w:suppressAutoHyphens/>
            </w:pPr>
            <w:r>
              <w:t>25 augustus 2025</w:t>
            </w:r>
            <w:r w:rsidRPr="00555C9B" w:rsidR="00900981">
              <w:t xml:space="preserve"> vóór </w:t>
            </w:r>
            <w:r>
              <w:t>12:00</w:t>
            </w:r>
            <w:r w:rsidRPr="00555C9B" w:rsidR="00900981">
              <w:t xml:space="preserve"> uur</w:t>
            </w:r>
          </w:p>
        </w:tc>
      </w:tr>
      <w:tr w:rsidRPr="00555C9B" w:rsidR="00900981" w:rsidTr="0033000A" w14:paraId="4A6639D0" w14:textId="77777777">
        <w:trPr>
          <w:cnfStyle w:val="000000100000" w:firstRow="0" w:lastRow="0" w:firstColumn="0" w:lastColumn="0" w:oddVBand="0" w:evenVBand="0" w:oddHBand="1" w:evenHBand="0" w:firstRowFirstColumn="0" w:firstRowLastColumn="0" w:lastRowFirstColumn="0" w:lastRowLastColumn="0"/>
        </w:trPr>
        <w:tc>
          <w:tcPr>
            <w:tcW w:w="4151" w:type="dxa"/>
          </w:tcPr>
          <w:p w:rsidRPr="00555C9B" w:rsidR="00900981" w:rsidRDefault="00900981" w14:paraId="07D178B9" w14:textId="277F2DEF">
            <w:pPr>
              <w:suppressAutoHyphens/>
            </w:pPr>
            <w:r w:rsidRPr="00555C9B">
              <w:t>Verzending Nota van Inlichtingen</w:t>
            </w:r>
            <w:r w:rsidR="00287C0C">
              <w:t xml:space="preserve"> 1</w:t>
            </w:r>
          </w:p>
        </w:tc>
        <w:tc>
          <w:tcPr>
            <w:tcW w:w="4060" w:type="dxa"/>
          </w:tcPr>
          <w:p w:rsidRPr="00555C9B" w:rsidR="00900981" w:rsidRDefault="007F08F3" w14:paraId="0A1107D5" w14:textId="2613744A">
            <w:pPr>
              <w:suppressAutoHyphens/>
            </w:pPr>
            <w:r>
              <w:t>8 september 2025</w:t>
            </w:r>
          </w:p>
        </w:tc>
      </w:tr>
      <w:tr w:rsidRPr="00555C9B" w:rsidR="00287C0C" w:rsidTr="0033000A" w14:paraId="31F685E8" w14:textId="77777777">
        <w:trPr>
          <w:cnfStyle w:val="000000010000" w:firstRow="0" w:lastRow="0" w:firstColumn="0" w:lastColumn="0" w:oddVBand="0" w:evenVBand="0" w:oddHBand="0" w:evenHBand="1" w:firstRowFirstColumn="0" w:firstRowLastColumn="0" w:lastRowFirstColumn="0" w:lastRowLastColumn="0"/>
        </w:trPr>
        <w:tc>
          <w:tcPr>
            <w:tcW w:w="4151" w:type="dxa"/>
          </w:tcPr>
          <w:p w:rsidRPr="00555C9B" w:rsidR="00287C0C" w:rsidRDefault="00287C0C" w14:paraId="682A5C76" w14:textId="3FCF4C5C">
            <w:pPr>
              <w:suppressAutoHyphens/>
            </w:pPr>
            <w:r w:rsidRPr="00555C9B">
              <w:t>Uiterste datum indienen schriftelijke vragen t.b.v. Nota van Inlichtingen</w:t>
            </w:r>
            <w:r>
              <w:t xml:space="preserve"> 2</w:t>
            </w:r>
          </w:p>
        </w:tc>
        <w:tc>
          <w:tcPr>
            <w:tcW w:w="4060" w:type="dxa"/>
          </w:tcPr>
          <w:p w:rsidRPr="00555C9B" w:rsidR="00287C0C" w:rsidRDefault="007F08F3" w14:paraId="3C29FDB3" w14:textId="230413CC">
            <w:pPr>
              <w:suppressAutoHyphens/>
            </w:pPr>
            <w:r>
              <w:t xml:space="preserve">15 september 2025 </w:t>
            </w:r>
            <w:r w:rsidRPr="00555C9B">
              <w:t xml:space="preserve">vóór </w:t>
            </w:r>
            <w:r>
              <w:t>12:00</w:t>
            </w:r>
            <w:r w:rsidRPr="00555C9B">
              <w:t xml:space="preserve"> uur</w:t>
            </w:r>
          </w:p>
        </w:tc>
      </w:tr>
      <w:tr w:rsidRPr="00555C9B" w:rsidR="00287C0C" w:rsidTr="0033000A" w14:paraId="71240598" w14:textId="77777777">
        <w:trPr>
          <w:cnfStyle w:val="000000100000" w:firstRow="0" w:lastRow="0" w:firstColumn="0" w:lastColumn="0" w:oddVBand="0" w:evenVBand="0" w:oddHBand="1" w:evenHBand="0" w:firstRowFirstColumn="0" w:firstRowLastColumn="0" w:lastRowFirstColumn="0" w:lastRowLastColumn="0"/>
        </w:trPr>
        <w:tc>
          <w:tcPr>
            <w:tcW w:w="4151" w:type="dxa"/>
          </w:tcPr>
          <w:p w:rsidRPr="00555C9B" w:rsidR="00287C0C" w:rsidRDefault="00287C0C" w14:paraId="7B094028" w14:textId="1D7E8198">
            <w:pPr>
              <w:suppressAutoHyphens/>
            </w:pPr>
            <w:r w:rsidRPr="00555C9B">
              <w:t>Verzending Nota van Inlichtingen</w:t>
            </w:r>
            <w:r>
              <w:t xml:space="preserve"> 2</w:t>
            </w:r>
          </w:p>
        </w:tc>
        <w:tc>
          <w:tcPr>
            <w:tcW w:w="4060" w:type="dxa"/>
          </w:tcPr>
          <w:p w:rsidRPr="00555C9B" w:rsidR="00287C0C" w:rsidRDefault="007F08F3" w14:paraId="2CEF3DD6" w14:textId="2839547C">
            <w:pPr>
              <w:suppressAutoHyphens/>
            </w:pPr>
            <w:r>
              <w:t>22 september 2025</w:t>
            </w:r>
          </w:p>
        </w:tc>
      </w:tr>
      <w:tr w:rsidRPr="00555C9B" w:rsidR="00900981" w:rsidTr="0033000A" w14:paraId="1CDEE012" w14:textId="77777777">
        <w:trPr>
          <w:cnfStyle w:val="000000010000" w:firstRow="0" w:lastRow="0" w:firstColumn="0" w:lastColumn="0" w:oddVBand="0" w:evenVBand="0" w:oddHBand="0" w:evenHBand="1" w:firstRowFirstColumn="0" w:firstRowLastColumn="0" w:lastRowFirstColumn="0" w:lastRowLastColumn="0"/>
        </w:trPr>
        <w:tc>
          <w:tcPr>
            <w:tcW w:w="4151" w:type="dxa"/>
          </w:tcPr>
          <w:p w:rsidRPr="00555C9B" w:rsidR="00900981" w:rsidRDefault="00900981" w14:paraId="4EC4CCAF" w14:textId="77777777">
            <w:pPr>
              <w:suppressAutoHyphens/>
            </w:pPr>
            <w:r w:rsidRPr="00555C9B">
              <w:t>Uiterste termijn indienen Inschrijving</w:t>
            </w:r>
          </w:p>
        </w:tc>
        <w:tc>
          <w:tcPr>
            <w:tcW w:w="4060" w:type="dxa"/>
          </w:tcPr>
          <w:p w:rsidRPr="00555C9B" w:rsidR="00900981" w:rsidRDefault="00E11CC9" w14:paraId="6EED3388" w14:textId="04462C7C">
            <w:pPr>
              <w:suppressAutoHyphens/>
            </w:pPr>
            <w:r>
              <w:t>6 oktober 2025</w:t>
            </w:r>
            <w:r w:rsidRPr="00555C9B" w:rsidR="00900981">
              <w:t xml:space="preserve"> vóór </w:t>
            </w:r>
            <w:r>
              <w:t>12:00</w:t>
            </w:r>
            <w:r w:rsidRPr="00555C9B" w:rsidR="00900981">
              <w:t xml:space="preserve"> uur</w:t>
            </w:r>
          </w:p>
        </w:tc>
      </w:tr>
      <w:tr w:rsidRPr="00555C9B" w:rsidR="00900981" w:rsidTr="0033000A" w14:paraId="0B20596D" w14:textId="77777777">
        <w:trPr>
          <w:cnfStyle w:val="000000100000" w:firstRow="0" w:lastRow="0" w:firstColumn="0" w:lastColumn="0" w:oddVBand="0" w:evenVBand="0" w:oddHBand="1" w:evenHBand="0" w:firstRowFirstColumn="0" w:firstRowLastColumn="0" w:lastRowFirstColumn="0" w:lastRowLastColumn="0"/>
        </w:trPr>
        <w:tc>
          <w:tcPr>
            <w:tcW w:w="4151" w:type="dxa"/>
          </w:tcPr>
          <w:p w:rsidRPr="00555C9B" w:rsidR="00900981" w:rsidRDefault="00900981" w14:paraId="2D46C92A" w14:textId="77777777">
            <w:pPr>
              <w:suppressAutoHyphens/>
            </w:pPr>
            <w:r w:rsidRPr="00555C9B">
              <w:t>Verzending gunningsbeslissing</w:t>
            </w:r>
          </w:p>
        </w:tc>
        <w:tc>
          <w:tcPr>
            <w:tcW w:w="4060" w:type="dxa"/>
          </w:tcPr>
          <w:p w:rsidRPr="00555C9B" w:rsidR="00900981" w:rsidRDefault="00E11CC9" w14:paraId="0FA013B2" w14:textId="280C42AF">
            <w:pPr>
              <w:suppressAutoHyphens/>
            </w:pPr>
            <w:r>
              <w:t>17 november 2025</w:t>
            </w:r>
          </w:p>
        </w:tc>
      </w:tr>
      <w:tr w:rsidRPr="00555C9B" w:rsidR="0033000A" w:rsidTr="0033000A" w14:paraId="538B5CB5" w14:textId="77777777">
        <w:trPr>
          <w:cnfStyle w:val="000000010000" w:firstRow="0" w:lastRow="0" w:firstColumn="0" w:lastColumn="0" w:oddVBand="0" w:evenVBand="0" w:oddHBand="0" w:evenHBand="1" w:firstRowFirstColumn="0" w:firstRowLastColumn="0" w:lastRowFirstColumn="0" w:lastRowLastColumn="0"/>
        </w:trPr>
        <w:tc>
          <w:tcPr>
            <w:tcW w:w="4151" w:type="dxa"/>
          </w:tcPr>
          <w:p w:rsidRPr="00555C9B" w:rsidR="0033000A" w:rsidP="0033000A" w:rsidRDefault="0033000A" w14:paraId="1BBEF5B0" w14:textId="40A9E59E">
            <w:pPr>
              <w:suppressAutoHyphens/>
            </w:pPr>
            <w:r>
              <w:t>Verificatiet</w:t>
            </w:r>
            <w:r w:rsidR="009F7D0D">
              <w:t>est</w:t>
            </w:r>
          </w:p>
        </w:tc>
        <w:tc>
          <w:tcPr>
            <w:tcW w:w="4060" w:type="dxa"/>
          </w:tcPr>
          <w:p w:rsidRPr="00555C9B" w:rsidR="0033000A" w:rsidP="0033000A" w:rsidRDefault="00EE3449" w14:paraId="07E411CB" w14:textId="143A0B0E">
            <w:pPr>
              <w:suppressAutoHyphens/>
            </w:pPr>
            <w:r>
              <w:t>20 november 2025 van 09:00 uur tot 17:00 uur</w:t>
            </w:r>
          </w:p>
        </w:tc>
      </w:tr>
      <w:tr w:rsidR="42C1B7A2" w:rsidTr="42C1B7A2" w14:paraId="582A09ED" w14:textId="77777777">
        <w:trPr>
          <w:cnfStyle w:val="000000100000" w:firstRow="0" w:lastRow="0" w:firstColumn="0" w:lastColumn="0" w:oddVBand="0" w:evenVBand="0" w:oddHBand="1" w:evenHBand="0" w:firstRowFirstColumn="0" w:firstRowLastColumn="0" w:lastRowFirstColumn="0" w:lastRowLastColumn="0"/>
          <w:trHeight w:val="300"/>
        </w:trPr>
        <w:tc>
          <w:tcPr>
            <w:tcW w:w="4151" w:type="dxa"/>
          </w:tcPr>
          <w:p w:rsidR="08C267EF" w:rsidP="42C1B7A2" w:rsidRDefault="08C267EF" w14:paraId="59B952C1" w14:textId="532FEF12">
            <w:r>
              <w:t>Communicatie uitslag verificatietest met voorlopig gegunde partij</w:t>
            </w:r>
          </w:p>
        </w:tc>
        <w:tc>
          <w:tcPr>
            <w:tcW w:w="4060" w:type="dxa"/>
          </w:tcPr>
          <w:p w:rsidR="08C267EF" w:rsidP="42C1B7A2" w:rsidRDefault="08C267EF" w14:paraId="39F6B33D" w14:textId="02935A36">
            <w:r>
              <w:t>21 november 2025</w:t>
            </w:r>
          </w:p>
        </w:tc>
      </w:tr>
      <w:tr w:rsidRPr="00555C9B" w:rsidR="00900981" w:rsidTr="0033000A" w14:paraId="3CCB30DB" w14:textId="77777777">
        <w:trPr>
          <w:cnfStyle w:val="000000010000" w:firstRow="0" w:lastRow="0" w:firstColumn="0" w:lastColumn="0" w:oddVBand="0" w:evenVBand="0" w:oddHBand="0" w:evenHBand="1" w:firstRowFirstColumn="0" w:firstRowLastColumn="0" w:lastRowFirstColumn="0" w:lastRowLastColumn="0"/>
        </w:trPr>
        <w:tc>
          <w:tcPr>
            <w:tcW w:w="4151" w:type="dxa"/>
          </w:tcPr>
          <w:p w:rsidRPr="00555C9B" w:rsidR="00900981" w:rsidRDefault="00900981" w14:paraId="73136231" w14:textId="77777777">
            <w:pPr>
              <w:suppressAutoHyphens/>
            </w:pPr>
            <w:r w:rsidRPr="00555C9B">
              <w:t>Einde vervaltermijn</w:t>
            </w:r>
          </w:p>
        </w:tc>
        <w:tc>
          <w:tcPr>
            <w:tcW w:w="4060" w:type="dxa"/>
          </w:tcPr>
          <w:p w:rsidRPr="00555C9B" w:rsidR="00900981" w:rsidRDefault="00EE3449" w14:paraId="49AAE976" w14:textId="228FE1AE">
            <w:pPr>
              <w:suppressAutoHyphens/>
            </w:pPr>
            <w:r>
              <w:t>7 december 2025</w:t>
            </w:r>
            <w:r w:rsidRPr="00555C9B" w:rsidR="00900981">
              <w:t xml:space="preserve"> </w:t>
            </w:r>
          </w:p>
        </w:tc>
      </w:tr>
      <w:tr w:rsidRPr="00555C9B" w:rsidR="00900981" w:rsidTr="0033000A" w14:paraId="748EB0A6" w14:textId="77777777">
        <w:trPr>
          <w:cnfStyle w:val="000000100000" w:firstRow="0" w:lastRow="0" w:firstColumn="0" w:lastColumn="0" w:oddVBand="0" w:evenVBand="0" w:oddHBand="1" w:evenHBand="0" w:firstRowFirstColumn="0" w:firstRowLastColumn="0" w:lastRowFirstColumn="0" w:lastRowLastColumn="0"/>
        </w:trPr>
        <w:tc>
          <w:tcPr>
            <w:tcW w:w="4151" w:type="dxa"/>
          </w:tcPr>
          <w:p w:rsidRPr="00555C9B" w:rsidR="00900981" w:rsidRDefault="00900981" w14:paraId="5A1E04FE" w14:textId="77777777">
            <w:pPr>
              <w:suppressAutoHyphens/>
            </w:pPr>
            <w:r w:rsidRPr="00555C9B">
              <w:t>Definitieve gunning</w:t>
            </w:r>
          </w:p>
        </w:tc>
        <w:tc>
          <w:tcPr>
            <w:tcW w:w="4060" w:type="dxa"/>
          </w:tcPr>
          <w:p w:rsidRPr="00555C9B" w:rsidR="00900981" w:rsidRDefault="00EE3449" w14:paraId="4CB27065" w14:textId="26A26344">
            <w:pPr>
              <w:suppressAutoHyphens/>
            </w:pPr>
            <w:r>
              <w:t>8 december 2025</w:t>
            </w:r>
          </w:p>
        </w:tc>
      </w:tr>
      <w:tr w:rsidRPr="00555C9B" w:rsidR="00900981" w:rsidTr="0033000A" w14:paraId="5D40F547" w14:textId="77777777">
        <w:trPr>
          <w:cnfStyle w:val="000000010000" w:firstRow="0" w:lastRow="0" w:firstColumn="0" w:lastColumn="0" w:oddVBand="0" w:evenVBand="0" w:oddHBand="0" w:evenHBand="1" w:firstRowFirstColumn="0" w:firstRowLastColumn="0" w:lastRowFirstColumn="0" w:lastRowLastColumn="0"/>
        </w:trPr>
        <w:tc>
          <w:tcPr>
            <w:tcW w:w="4151" w:type="dxa"/>
          </w:tcPr>
          <w:p w:rsidRPr="00555C9B" w:rsidR="00900981" w:rsidRDefault="00900981" w14:paraId="211BC7F8" w14:textId="77777777">
            <w:pPr>
              <w:suppressAutoHyphens/>
            </w:pPr>
            <w:r w:rsidRPr="00555C9B">
              <w:t>Ingangsdatum Overeenkomst</w:t>
            </w:r>
          </w:p>
        </w:tc>
        <w:tc>
          <w:tcPr>
            <w:tcW w:w="4060" w:type="dxa"/>
          </w:tcPr>
          <w:p w:rsidRPr="00555C9B" w:rsidR="00900981" w:rsidRDefault="00EE3449" w14:paraId="41D32BB7" w14:textId="0EC27D98">
            <w:pPr>
              <w:suppressAutoHyphens/>
            </w:pPr>
            <w:r>
              <w:rPr>
                <w:rFonts w:cs="Arial"/>
              </w:rPr>
              <w:t>1 januari 2025</w:t>
            </w:r>
          </w:p>
        </w:tc>
      </w:tr>
    </w:tbl>
    <w:p w:rsidRPr="00555C9B" w:rsidR="00900981" w:rsidP="00900981" w:rsidRDefault="00900981" w14:paraId="200E90EB" w14:textId="77777777">
      <w:pPr>
        <w:suppressAutoHyphens/>
      </w:pPr>
    </w:p>
    <w:p w:rsidRPr="00555C9B" w:rsidR="00900981" w:rsidP="00900981" w:rsidRDefault="00900981" w14:paraId="69DA3EF7" w14:textId="77777777">
      <w:pPr>
        <w:suppressAutoHyphens/>
      </w:pPr>
      <w:r w:rsidRPr="00555C9B">
        <w:t xml:space="preserve">De Inschrijvers kunnen geen rechten ontlenen aan deze planning. De Aanbestedende Dienst is gerechtigd de planning van de aanbestedingsprocedure te wijzigen. De Aanbestedende Dienst zal Inschrijvers tijdig via TenderNed op de hoogte brengen van wijzigingen in de planning. </w:t>
      </w:r>
    </w:p>
    <w:p w:rsidR="00900981" w:rsidP="00CF15B1" w:rsidRDefault="00900981" w14:paraId="47AA24FE" w14:textId="30DB8629">
      <w:pPr>
        <w:suppressAutoHyphens/>
      </w:pPr>
    </w:p>
    <w:p w:rsidR="00900981" w:rsidP="00900981" w:rsidRDefault="00900981" w14:paraId="6559EE27" w14:textId="77777777">
      <w:pPr>
        <w:pStyle w:val="Kop2"/>
      </w:pPr>
      <w:bookmarkStart w:name="_Toc205383323" w:id="29"/>
      <w:r>
        <w:t>TenderNed</w:t>
      </w:r>
      <w:bookmarkEnd w:id="29"/>
    </w:p>
    <w:p w:rsidRPr="00555C9B" w:rsidR="00016CF5" w:rsidP="00CF15B1" w:rsidRDefault="00016CF5" w14:paraId="46122BC1" w14:textId="77777777">
      <w:r w:rsidRPr="00555C9B">
        <w:t xml:space="preserve">De aanbesteding verloopt volledig via TenderNed. Dit houdt in dat de Aanbestedingsstukken door de Aanbestedende Dienst worden geplaatst op TenderNed en alle informatie tussen de Aanbestedende Dienst en de Inschrijvers wordt uitgewisseld via TenderNed. </w:t>
      </w:r>
      <w:r>
        <w:t>Communicatie via de e-mail is in strijd met het communicatiegebod als bedoeld in paragraaf 4.2 van deze leidraad en leidt in beginsel tot uitsluiting tenzij dat in een individueel geval disproportioneel is.</w:t>
      </w:r>
    </w:p>
    <w:p w:rsidRPr="00555C9B" w:rsidR="00900981" w:rsidP="00CF15B1" w:rsidRDefault="00900981" w14:paraId="42255FEF" w14:textId="77777777"/>
    <w:p w:rsidRPr="00555C9B" w:rsidR="00900981" w:rsidP="00CF15B1" w:rsidRDefault="00900981" w14:paraId="2EDE1EFB" w14:textId="77777777">
      <w:r w:rsidRPr="00555C9B">
        <w:t>Voor het gebruik van TenderNed verwijst de Aanbestedende Dienst naar de gebruikershandleiding voor ondernemers</w:t>
      </w:r>
      <w:r w:rsidRPr="00555C9B">
        <w:rPr>
          <w:rStyle w:val="Voetnootmarkering"/>
        </w:rPr>
        <w:footnoteReference w:id="2"/>
      </w:r>
      <w:r w:rsidRPr="00555C9B">
        <w:t xml:space="preserve"> en de gebruiksvoorwaarden</w:t>
      </w:r>
      <w:r w:rsidRPr="00555C9B">
        <w:rPr>
          <w:rStyle w:val="Voetnootmarkering"/>
        </w:rPr>
        <w:footnoteReference w:id="3"/>
      </w:r>
      <w:r w:rsidRPr="00555C9B">
        <w:t xml:space="preserve"> van TenderNed. </w:t>
      </w:r>
    </w:p>
    <w:p w:rsidRPr="00555C9B" w:rsidR="00900981" w:rsidP="00CF15B1" w:rsidRDefault="00900981" w14:paraId="1A573DC8" w14:textId="77777777">
      <w:r w:rsidRPr="00555C9B">
        <w:t xml:space="preserve">Voor hulp en ondersteuning bij het gebruik van TenderNed kunt u contact opnemen met de Servicedesk van TenderNed: </w:t>
      </w:r>
    </w:p>
    <w:p w:rsidRPr="00555C9B" w:rsidR="00900981" w:rsidP="00AA114F" w:rsidRDefault="00900981" w14:paraId="1FE9D6C8" w14:textId="77777777">
      <w:pPr>
        <w:pStyle w:val="Lijstalinea"/>
        <w:numPr>
          <w:ilvl w:val="0"/>
          <w:numId w:val="9"/>
        </w:numPr>
        <w:suppressAutoHyphens/>
        <w:ind w:left="567" w:hanging="567"/>
      </w:pPr>
      <w:r w:rsidRPr="00555C9B">
        <w:t>telefoon: 0800 836 33 76.</w:t>
      </w:r>
    </w:p>
    <w:p w:rsidRPr="00555C9B" w:rsidR="00900981" w:rsidP="00AA114F" w:rsidRDefault="00900981" w14:paraId="68E1882D" w14:textId="77777777">
      <w:pPr>
        <w:pStyle w:val="Lijstalinea"/>
        <w:numPr>
          <w:ilvl w:val="0"/>
          <w:numId w:val="9"/>
        </w:numPr>
        <w:suppressAutoHyphens/>
        <w:ind w:left="567" w:hanging="567"/>
        <w:rPr>
          <w:lang w:val="de-DE"/>
        </w:rPr>
      </w:pPr>
      <w:r w:rsidRPr="00555C9B">
        <w:rPr>
          <w:lang w:val="de-DE"/>
        </w:rPr>
        <w:t xml:space="preserve">e-mail: </w:t>
      </w:r>
      <w:hyperlink w:history="1" r:id="rId15">
        <w:r w:rsidRPr="00555C9B">
          <w:rPr>
            <w:color w:val="0563C1" w:themeColor="hyperlink"/>
            <w:u w:val="single"/>
            <w:lang w:val="de-DE"/>
          </w:rPr>
          <w:t>servicedesk@tenderned.nl</w:t>
        </w:r>
      </w:hyperlink>
      <w:r w:rsidRPr="00555C9B">
        <w:rPr>
          <w:lang w:val="de-DE"/>
        </w:rPr>
        <w:t xml:space="preserve">. </w:t>
      </w:r>
    </w:p>
    <w:p w:rsidRPr="00CF15B1" w:rsidR="00900981" w:rsidP="00900981" w:rsidRDefault="00900981" w14:paraId="2F32182A" w14:textId="77777777">
      <w:pPr>
        <w:suppressAutoHyphens/>
      </w:pPr>
    </w:p>
    <w:p w:rsidRPr="00CF15B1" w:rsidR="00CA2C00" w:rsidP="00CA2C00" w:rsidRDefault="00CA2C00" w14:paraId="2FD5D9BA" w14:textId="77777777">
      <w:pPr>
        <w:suppressAutoHyphens/>
      </w:pPr>
      <w:r w:rsidRPr="00CF15B1">
        <w:t>Als TenderNed een storing heeft, dan moet de Inschrijver daarvoor eerst contact opnemen met TenderNed. Als die geen oplossing biedt, dan kan de Inschrijver alsnog contact opnemen met de contactpersoon van de aanbestedingsprocedure.</w:t>
      </w:r>
    </w:p>
    <w:p w:rsidRPr="00CF15B1" w:rsidR="00CA2C00" w:rsidP="00900981" w:rsidRDefault="00CA2C00" w14:paraId="3A0E7F93" w14:textId="77777777">
      <w:pPr>
        <w:suppressAutoHyphens/>
      </w:pPr>
    </w:p>
    <w:p w:rsidR="00900981" w:rsidP="00EE3449" w:rsidRDefault="00900981" w14:paraId="2D46FBF7" w14:textId="0C7B15C9">
      <w:pPr>
        <w:suppressAutoHyphens/>
      </w:pPr>
      <w:r w:rsidRPr="00555C9B">
        <w:t xml:space="preserve">Let op: de Aanbestedende Dienst maakt Inschrijvers erop attent dat TenderNed gebruikmaakt van eHerkenning om als ondernemer te kunnen registreren en inloggen. De Inschrijver </w:t>
      </w:r>
      <w:r w:rsidR="00CA2C00">
        <w:t>blijft</w:t>
      </w:r>
      <w:r w:rsidRPr="00555C9B">
        <w:t xml:space="preserve"> verantwoordelijk voor een tijdige aanvraag van de juiste vorm van eHerkenning. De aanvraag van eHerkenning kan enkele werkdagen duren. </w:t>
      </w:r>
    </w:p>
    <w:p w:rsidR="00F61789" w:rsidP="00F61789" w:rsidRDefault="000443FC" w14:paraId="173D0382" w14:textId="460D31D8">
      <w:pPr>
        <w:pStyle w:val="Kop2"/>
      </w:pPr>
      <w:bookmarkStart w:name="_Toc205383324" w:id="30"/>
      <w:r>
        <w:t>Verificatiet</w:t>
      </w:r>
      <w:r w:rsidR="009F7D0D">
        <w:t>est</w:t>
      </w:r>
      <w:bookmarkEnd w:id="30"/>
    </w:p>
    <w:p w:rsidRPr="00524ABE" w:rsidR="00F61789" w:rsidP="00F61789" w:rsidRDefault="00524ABE" w14:paraId="3DD1A32B" w14:textId="186BA5C6">
      <w:pPr>
        <w:rPr>
          <w:iCs/>
        </w:rPr>
      </w:pPr>
      <w:r w:rsidRPr="00524ABE">
        <w:rPr>
          <w:iCs/>
        </w:rPr>
        <w:t xml:space="preserve">De Inschrijver aan wie de voorlopige gunning is toegekend zal middels een </w:t>
      </w:r>
      <w:r w:rsidR="47DFE1D5">
        <w:t>Verificatiete</w:t>
      </w:r>
      <w:r w:rsidR="0065496E">
        <w:t>s</w:t>
      </w:r>
      <w:r w:rsidR="47DFE1D5">
        <w:t>t</w:t>
      </w:r>
      <w:r w:rsidR="0A187BB6">
        <w:t xml:space="preserve"> </w:t>
      </w:r>
      <w:r w:rsidRPr="00524ABE">
        <w:rPr>
          <w:iCs/>
        </w:rPr>
        <w:t xml:space="preserve"> (zie </w:t>
      </w:r>
      <w:r w:rsidRPr="009F7D0D">
        <w:t xml:space="preserve">bijlage </w:t>
      </w:r>
      <w:r w:rsidRPr="009F7D0D" w:rsidR="009F7D0D">
        <w:t>5</w:t>
      </w:r>
      <w:r w:rsidRPr="009F7D0D">
        <w:rPr>
          <w:iCs/>
        </w:rPr>
        <w:t>) op</w:t>
      </w:r>
      <w:r w:rsidRPr="00524ABE">
        <w:rPr>
          <w:iCs/>
        </w:rPr>
        <w:t xml:space="preserve"> een locatie moeten bewijzen dat de door hem aangeboden </w:t>
      </w:r>
      <w:r>
        <w:rPr>
          <w:iCs/>
        </w:rPr>
        <w:t>oplossing</w:t>
      </w:r>
      <w:r w:rsidRPr="00524ABE">
        <w:rPr>
          <w:iCs/>
        </w:rPr>
        <w:t xml:space="preserve"> conform het programma van eisen en gunningscriteria samenwerken.</w:t>
      </w:r>
    </w:p>
    <w:p w:rsidR="00F61789" w:rsidP="00F61789" w:rsidRDefault="00F61789" w14:paraId="2E6D83F6" w14:textId="77777777">
      <w:pPr>
        <w:pStyle w:val="Kop2"/>
      </w:pPr>
      <w:bookmarkStart w:name="_Toc205383325" w:id="31"/>
      <w:r>
        <w:t>Nota van Inlichtingen</w:t>
      </w:r>
      <w:bookmarkEnd w:id="31"/>
    </w:p>
    <w:p w:rsidRPr="00555C9B" w:rsidR="00F61789" w:rsidP="00F61789" w:rsidRDefault="00F61789" w14:paraId="3A6C37F4" w14:textId="36AC1899">
      <w:pPr>
        <w:suppressAutoHyphens/>
      </w:pPr>
      <w:r w:rsidRPr="00555C9B">
        <w:t xml:space="preserve">Vragen </w:t>
      </w:r>
      <w:r>
        <w:t xml:space="preserve">naar aanleiding van de Aanbestedingsstukken </w:t>
      </w:r>
      <w:r w:rsidRPr="00555C9B">
        <w:t>dienen uiterlijk op de datum en het tijdstip uit de planning (zie paragra</w:t>
      </w:r>
      <w:r w:rsidRPr="006A657F">
        <w:t xml:space="preserve">af </w:t>
      </w:r>
      <w:r w:rsidRPr="006A657F">
        <w:fldChar w:fldCharType="begin"/>
      </w:r>
      <w:r w:rsidRPr="006A657F">
        <w:instrText xml:space="preserve"> REF _Ref401057395 \r \h  \* MERGEFORMAT </w:instrText>
      </w:r>
      <w:r w:rsidRPr="006A657F">
        <w:fldChar w:fldCharType="separate"/>
      </w:r>
      <w:r w:rsidRPr="006A657F" w:rsidR="006A657F">
        <w:rPr>
          <w:b/>
          <w:bCs/>
        </w:rPr>
        <w:t>4.3</w:t>
      </w:r>
      <w:r w:rsidRPr="006A657F" w:rsidR="0097318F">
        <w:rPr>
          <w:b/>
          <w:bCs/>
        </w:rPr>
        <w:t>.</w:t>
      </w:r>
      <w:r w:rsidRPr="006A657F">
        <w:fldChar w:fldCharType="end"/>
      </w:r>
      <w:r w:rsidRPr="006A657F">
        <w:t>) via</w:t>
      </w:r>
      <w:r w:rsidRPr="00555C9B">
        <w:t xml:space="preserve"> TenderNed bij de Aanbestedende Dienst te worden ingediend. De Inschrijvers zijn verplicht</w:t>
      </w:r>
      <w:r w:rsidR="00401F21">
        <w:t xml:space="preserve"> voor het stellen van vragen</w:t>
      </w:r>
      <w:r w:rsidRPr="00555C9B">
        <w:t xml:space="preserve"> </w:t>
      </w:r>
      <w:r w:rsidR="00401F21">
        <w:t>Bijlage 2 te gebruiken</w:t>
      </w:r>
      <w:r w:rsidRPr="00555C9B">
        <w:t xml:space="preserve">. Alle tijdig en op de juiste wijze ingediende vragen en wijzigingsvoorstellen worden </w:t>
      </w:r>
      <w:r w:rsidRPr="00555C9B">
        <w:t>tijdig door de Aanbestedende Dienst geanonimiseerd beantwoord. Zowel de geanonimiseerde vragen en wijzigingsvoorstellen als de antwoorden worden door middel van een Nota van Inlichtingen op TenderNed gepubliceerd.</w:t>
      </w:r>
      <w:r>
        <w:t xml:space="preserve"> </w:t>
      </w:r>
      <w:r w:rsidRPr="00555C9B">
        <w:t xml:space="preserve">In geval van strijdigheid met het Beschrijvend Document heeft de Nota van Inlichtingen voorrang. Een eventueel later uitgevaardigde Nota van Inlichtingen heeft voorrang op de eerder uitgevaardigde Nota van Inlichtingen. </w:t>
      </w:r>
    </w:p>
    <w:p w:rsidRPr="002D2A45" w:rsidR="00CA2C00" w:rsidP="00CA2C00" w:rsidRDefault="00CA2C00" w14:paraId="1D753BF6" w14:textId="1BA6BAC9">
      <w:pPr>
        <w:suppressAutoHyphens/>
      </w:pPr>
      <w:r>
        <w:rPr>
          <w:i/>
          <w:iCs/>
        </w:rPr>
        <w:br/>
      </w:r>
      <w:r w:rsidRPr="002D2A45">
        <w:t>De Aanbestedende Dienst houdt ook een tweede inlichtingenronde. De vragen / wijzigingsvoorstellen daarvoor moeten uiterlijk op de datum en het tijdstip uit de planning (zie paragraaf 4.3) via TenderNed bij de Aanbestedende Dienst te worden ingediend. Voor de aanvullende inlichtingenronde mogen ondernemers alleen vragen indienen naar aanleiding van de direct daaraan voorafgaande Nota van Inlichtingen. Vragen of opmerkingen die niet over de direct daaraan voorafgaande Nota van Inlichtingen gaan, worden niet beantwoord, tenzij dat naar mening van de Aanbestedende Dienst tot disproportionele situaties zou leiden en/of beantwoording van de vraag – naar het oordeel van Aanbestedende Dienst – zou leiden tot een inhoudelijke bijdrage aan de uitvraag.</w:t>
      </w:r>
    </w:p>
    <w:p w:rsidRPr="00555C9B" w:rsidR="00CA2C00" w:rsidP="00F61789" w:rsidRDefault="00CA2C00" w14:paraId="358A1E6A" w14:textId="77777777">
      <w:pPr>
        <w:suppressAutoHyphens/>
      </w:pPr>
    </w:p>
    <w:p w:rsidRPr="00555C9B" w:rsidR="00F61789" w:rsidP="00F61789" w:rsidRDefault="00F61789" w14:paraId="0EBD9E61" w14:textId="77777777">
      <w:pPr>
        <w:suppressAutoHyphens/>
      </w:pPr>
      <w:r w:rsidRPr="00555C9B">
        <w:t>De Aanbestedende Dienst kan besluiten</w:t>
      </w:r>
      <w:r w:rsidR="00CA2C00">
        <w:t xml:space="preserve"> nog</w:t>
      </w:r>
      <w:r w:rsidRPr="00555C9B">
        <w:t xml:space="preserve"> één of meerdere aanvullende inlichtingenrondes te organiseren. De Aanbestedende Dienst maakt dat tijdig via TenderNed kenbaar. Als een aanvullende inlichtingenronde wordt gehouden, mogen ondernemers alleen vragen indienen naar aanleiding van de direct daaraan voorafgaande Nota van Inlichtingen. Vragen of opmerkingen die niet over de direct daaraan voorafgaande Nota van Inlichtingen gaan, worden niet beantwoord, tenzij dat naar mening van </w:t>
      </w:r>
      <w:r>
        <w:t xml:space="preserve">de Aanbestedende Dienst </w:t>
      </w:r>
      <w:r w:rsidRPr="00555C9B">
        <w:t xml:space="preserve">tot disproportionele situaties zou leiden. </w:t>
      </w:r>
    </w:p>
    <w:p w:rsidR="00F61789" w:rsidP="00F61789" w:rsidRDefault="00F61789" w14:paraId="1B71A8DC" w14:textId="77777777">
      <w:pPr>
        <w:suppressAutoHyphens/>
      </w:pPr>
    </w:p>
    <w:p w:rsidRPr="00555C9B" w:rsidR="00F61789" w:rsidP="00F61789" w:rsidRDefault="00F61789" w14:paraId="7267CD8B" w14:textId="77777777">
      <w:pPr>
        <w:suppressAutoHyphens/>
      </w:pPr>
      <w:r>
        <w:t>In beginsel worden</w:t>
      </w:r>
      <w:r w:rsidRPr="00555C9B">
        <w:t xml:space="preserve"> </w:t>
      </w:r>
      <w:r>
        <w:t xml:space="preserve">louter </w:t>
      </w:r>
      <w:r w:rsidRPr="00555C9B">
        <w:t xml:space="preserve">vragen/ wijzigingsvoorstellen </w:t>
      </w:r>
      <w:r>
        <w:t xml:space="preserve">in behandeling genomen </w:t>
      </w:r>
      <w:r w:rsidRPr="00555C9B">
        <w:t>die binnen de in de planning genoemd</w:t>
      </w:r>
      <w:r>
        <w:t>e</w:t>
      </w:r>
      <w:r w:rsidRPr="00555C9B">
        <w:t xml:space="preserve"> periode zijn ontvangen. Het komt voor rekening en risico van de Inschrijvers indien</w:t>
      </w:r>
      <w:r>
        <w:t xml:space="preserve"> de Aanbestedende Dienst </w:t>
      </w:r>
      <w:r w:rsidRPr="00555C9B">
        <w:t xml:space="preserve">vragen niet kan beantwoorden. </w:t>
      </w:r>
      <w:r w:rsidR="00CA2C00">
        <w:t xml:space="preserve">Als een te laat ontvangen vraag/ wijzigingsvoorstel desalniettemin van groot belang is voor de aanbestedingsprocedure, kan de Aanbestedende Dienst naar eigen inzicht besluiten die toch te behandelen in de Nota van Inlichtingen. </w:t>
      </w:r>
    </w:p>
    <w:p w:rsidRPr="00555C9B" w:rsidR="00F61789" w:rsidP="00F61789" w:rsidRDefault="00F61789" w14:paraId="13455498" w14:textId="77777777">
      <w:pPr>
        <w:suppressAutoHyphens/>
      </w:pPr>
    </w:p>
    <w:p w:rsidR="00F61789" w:rsidP="00F61789" w:rsidRDefault="00F61789" w14:paraId="3A79A33B" w14:textId="58FA49AD">
      <w:pPr>
        <w:suppressAutoHyphens/>
      </w:pPr>
      <w:r w:rsidRPr="00555C9B">
        <w:t xml:space="preserve">De Aanbestedende Dienst wijst </w:t>
      </w:r>
      <w:r>
        <w:t>I</w:t>
      </w:r>
      <w:r w:rsidRPr="00555C9B">
        <w:t xml:space="preserve">nschrijvers op het bepaalde in artikel 2.53 lid 3 Aw. Daarin is een mogelijkheid opgenomen voor aanbestedende diensten om vragen vertrouwelijk te beantwoorden als het antwoord op die vraag schade toebrengt aan een gerechtvaardigd economisch belang van de vragensteller. De vragensteller moet bij een verzoek tot het vertrouwelijk behandelen van vragen of wijzigingsvoorstellen onderbouwen waarom openbare beantwoording tot schade aan diens gerechtvaardigde economische belangen zal leiden. De Aanbestedende Dienst kan besluiten een vraag of voorstel niet vertrouwelijk te behandelen. Dit maakt de Aanbestedende Dienst dan gemotiveerd aan de betreffende Inschrijver kenbaar. De vragensteller heeft alsdan de mogelijkheid om zijn vraag in te trekken of deze openbaar te laten beantwoorden. </w:t>
      </w:r>
    </w:p>
    <w:p w:rsidR="00F61789" w:rsidP="00F61789" w:rsidRDefault="00F61789" w14:paraId="6777D4A4" w14:textId="77777777">
      <w:pPr>
        <w:pStyle w:val="Kop2"/>
      </w:pPr>
      <w:bookmarkStart w:name="_Toc205383326" w:id="32"/>
      <w:r>
        <w:t>Indienen Inschrijving</w:t>
      </w:r>
      <w:bookmarkEnd w:id="32"/>
    </w:p>
    <w:p w:rsidRPr="00555C9B" w:rsidR="00F61789" w:rsidP="00F61789" w:rsidRDefault="00F61789" w14:paraId="7B2578FB" w14:textId="77777777">
      <w:pPr>
        <w:suppressAutoHyphens/>
      </w:pPr>
      <w:r w:rsidRPr="00555C9B">
        <w:t xml:space="preserve">De Inschrijving dient uiterlijk op de datum en het tijdstip uit de planning (paragraaf 4.3) via TenderNed te zijn ingediend en te zijn geplaatst in de digitale kluis van TenderNed. De </w:t>
      </w:r>
      <w:r w:rsidRPr="00555C9B">
        <w:t xml:space="preserve">Aanbestedende Dienst legt niet juist, niet tijdig, niet volledig of niet (volledig) in de digitale kluis van TenderNed geplaatste </w:t>
      </w:r>
      <w:r>
        <w:t>I</w:t>
      </w:r>
      <w:r w:rsidRPr="00555C9B">
        <w:t>nschrijvingen terzijde.</w:t>
      </w:r>
    </w:p>
    <w:p w:rsidRPr="00555C9B" w:rsidR="00F61789" w:rsidP="00F61789" w:rsidRDefault="00F61789" w14:paraId="679F3A7B" w14:textId="77777777">
      <w:pPr>
        <w:suppressAutoHyphens/>
      </w:pPr>
    </w:p>
    <w:p w:rsidRPr="00555C9B" w:rsidR="00F61789" w:rsidP="00F61789" w:rsidRDefault="00F61789" w14:paraId="62935FEA" w14:textId="2E32E97C">
      <w:pPr>
        <w:suppressAutoHyphens/>
      </w:pPr>
      <w:r w:rsidRPr="00555C9B">
        <w:t xml:space="preserve">De </w:t>
      </w:r>
      <w:r w:rsidRPr="00555C9B">
        <w:rPr>
          <w:rFonts w:cs="Arial"/>
        </w:rPr>
        <w:t>Inschrijvingen</w:t>
      </w:r>
      <w:r w:rsidRPr="00555C9B">
        <w:t xml:space="preserve"> worden na de datum en het tijdstip uit de planning door twee medewerkers van de Aanbestedende Dienst digitaal door middel van de aanbestedingskluis van TenderNed geopend. </w:t>
      </w:r>
    </w:p>
    <w:p w:rsidRPr="00555C9B" w:rsidR="00F61789" w:rsidP="00F61789" w:rsidRDefault="00F61789" w14:paraId="4AD38F0A" w14:textId="77777777">
      <w:pPr>
        <w:pStyle w:val="Alinea1"/>
        <w:suppressAutoHyphens/>
      </w:pPr>
    </w:p>
    <w:p w:rsidR="00F61789" w:rsidP="00F61789" w:rsidRDefault="00F61789" w14:paraId="31235637" w14:textId="77777777">
      <w:pPr>
        <w:suppressAutoHyphens/>
      </w:pPr>
      <w:r w:rsidRPr="00555C9B">
        <w:t>De Aanbestedende Dienst adviseert Inschrijvers tijdig te starten met het uploaden van alle documenten en niet tot het laatste moment te wachten met het indienen van de Inschrijving via TenderNed. Inschrijvers worden er uitdrukkelijk op gewezen dat het enkel uploaden van de Inschrijving in TenderNed niet voldoende is voor het indienen ervan. De Inschrijving is pas ingediend als ook de autorisatiecode die via sms wordt ontvangen, is ingevoerd en geaccepteerd is door TenderN</w:t>
      </w:r>
      <w:r>
        <w:t>e</w:t>
      </w:r>
      <w:r w:rsidRPr="00555C9B">
        <w:t>d. Om de Inschrijving tijdig in te dienen, moet die code v</w:t>
      </w:r>
      <w:r w:rsidRPr="00555C9B">
        <w:rPr>
          <w:rFonts w:cs="Arial"/>
        </w:rPr>
        <w:t>óó</w:t>
      </w:r>
      <w:r w:rsidRPr="00555C9B">
        <w:t xml:space="preserve">r het einde van de inschrijvingstermijn zijn ingevoerd. Pas na het invoeren van de SMS-authenticatie zal de </w:t>
      </w:r>
      <w:r>
        <w:t>I</w:t>
      </w:r>
      <w:r w:rsidRPr="00555C9B">
        <w:t xml:space="preserve">nschrijving in de digitale kluis worden geplaatst en pas dan is de </w:t>
      </w:r>
      <w:r>
        <w:t>I</w:t>
      </w:r>
      <w:r w:rsidRPr="00555C9B">
        <w:t>nschrijving</w:t>
      </w:r>
      <w:r w:rsidR="00CA2C00">
        <w:t xml:space="preserve"> daadwerkelijk</w:t>
      </w:r>
      <w:r w:rsidRPr="00555C9B">
        <w:t xml:space="preserve"> ingediend.</w:t>
      </w:r>
    </w:p>
    <w:p w:rsidR="00F61789" w:rsidP="00F61789" w:rsidRDefault="00F61789" w14:paraId="33AF3ED1" w14:textId="77777777">
      <w:pPr>
        <w:suppressAutoHyphens/>
      </w:pPr>
    </w:p>
    <w:p w:rsidR="00F61789" w:rsidP="00F61789" w:rsidRDefault="00F61789" w14:paraId="6509B2A9" w14:textId="660736E3">
      <w:pPr>
        <w:pStyle w:val="Kop2"/>
      </w:pPr>
      <w:bookmarkStart w:name="_Toc205383327" w:id="33"/>
      <w:r>
        <w:t>Inhoud Inschrijving</w:t>
      </w:r>
      <w:bookmarkEnd w:id="33"/>
    </w:p>
    <w:p w:rsidRPr="00F61789" w:rsidR="00F61789" w:rsidP="00F61789" w:rsidRDefault="00F61789" w14:paraId="4017FC53" w14:textId="77777777"/>
    <w:p w:rsidRPr="00555C9B" w:rsidR="00F61789" w:rsidP="00F61789" w:rsidRDefault="00CA2C00" w14:paraId="7337CA73" w14:textId="74C351AD">
      <w:pPr>
        <w:suppressAutoHyphens/>
      </w:pPr>
      <w:r w:rsidRPr="00555C9B">
        <w:t xml:space="preserve">De Inschrijving bestaat </w:t>
      </w:r>
      <w:r>
        <w:t xml:space="preserve">uit de documenten genoemd in </w:t>
      </w:r>
      <w:r w:rsidRPr="00555C9B">
        <w:t xml:space="preserve">de checklist Inschrijving (bijlage 1). </w:t>
      </w:r>
      <w:r w:rsidRPr="00555C9B" w:rsidR="00F61789">
        <w:t xml:space="preserve">De Aanbestedende Dienst legt onvolledige </w:t>
      </w:r>
      <w:r w:rsidR="00E34B66">
        <w:t xml:space="preserve">en/of onjuiste </w:t>
      </w:r>
      <w:r w:rsidRPr="00555C9B" w:rsidR="00F61789">
        <w:t xml:space="preserve">Inschrijvingen terzijde, tenzij terzijdelegging in het individuele geval disproportioneel zou zijn. De Aanbestedende Dienst beoordeelt of terzijdelegging proportioneel </w:t>
      </w:r>
      <w:r w:rsidR="005C2553">
        <w:t>zou zijn</w:t>
      </w:r>
      <w:r w:rsidRPr="00555C9B" w:rsidR="00F61789">
        <w:t xml:space="preserve">. Deze beoordeling betreft een eigen en exclusieve afweging van </w:t>
      </w:r>
      <w:r w:rsidR="00F61789">
        <w:t>d</w:t>
      </w:r>
      <w:r w:rsidRPr="00555C9B" w:rsidR="00F61789">
        <w:t xml:space="preserve">e Aanbestedende Dienst. </w:t>
      </w:r>
    </w:p>
    <w:p w:rsidR="00F61789" w:rsidP="00F61789" w:rsidRDefault="00F61789" w14:paraId="3E5E96DD" w14:textId="77777777">
      <w:pPr>
        <w:suppressAutoHyphens/>
      </w:pPr>
    </w:p>
    <w:p w:rsidRPr="00555C9B" w:rsidR="0087122F" w:rsidP="0087122F" w:rsidRDefault="0087122F" w14:paraId="208DA1D9" w14:textId="77777777">
      <w:pPr>
        <w:suppressAutoHyphens/>
      </w:pPr>
      <w:bookmarkStart w:name="_Hlk185499638" w:id="34"/>
      <w:r>
        <w:t>De Aanbestedende dienst ziet het UEA en de dienaangaande bewijsmiddelen</w:t>
      </w:r>
      <w:r w:rsidRPr="00555C9B">
        <w:t xml:space="preserve"> </w:t>
      </w:r>
      <w:r>
        <w:t>los van de Inschrijving, in die zin dat het herstel van fouten in het UEA en/of de desbetreffende bewijsmiddelen niet zal kwalificeren als een inhoudelijke wijziging van de inschrijving. Bewijsmiddelen in het kader van het UEA mogen ná het moment van inschrijven zijn gedateerd.</w:t>
      </w:r>
    </w:p>
    <w:bookmarkEnd w:id="34"/>
    <w:p w:rsidRPr="00555C9B" w:rsidR="0087122F" w:rsidP="00F61789" w:rsidRDefault="0087122F" w14:paraId="45F1DD5E" w14:textId="77777777">
      <w:pPr>
        <w:suppressAutoHyphens/>
      </w:pPr>
    </w:p>
    <w:p w:rsidRPr="00555C9B" w:rsidR="00F61789" w:rsidP="00F61789" w:rsidRDefault="00CA2C00" w14:paraId="4DCE6424" w14:textId="77777777">
      <w:pPr>
        <w:suppressAutoHyphens/>
      </w:pPr>
      <w:r>
        <w:t xml:space="preserve">Voor verschillende documenten van de Inschrijving moeten Inschrijvers gebruikmaken van een model dat als bijlage bij dit Beschrijvend Document is gevoegd. </w:t>
      </w:r>
      <w:r w:rsidRPr="00555C9B" w:rsidR="00F61789">
        <w:t>Het is niet toegestaan wijzigingen en/of verwijderingen en/of toevoegingen in vaste teksten van de bijlagen aan te brengen. Het wijzigen en/of verwijderen van vaste teksten en/of toevoegen van tekst leidt tot uitsluiting van de aanbesteding, tenzij uitsluiting disproportioneel zou zijn.</w:t>
      </w:r>
      <w:r w:rsidRPr="00086159" w:rsidR="00F61789">
        <w:t xml:space="preserve"> </w:t>
      </w:r>
      <w:r w:rsidRPr="00555C9B" w:rsidR="00F61789">
        <w:t xml:space="preserve">Deze beoordeling betreft een eigen en exclusieve afweging van </w:t>
      </w:r>
      <w:r w:rsidR="00F61789">
        <w:t>d</w:t>
      </w:r>
      <w:r w:rsidRPr="00555C9B" w:rsidR="00F61789">
        <w:t>e Aanbestedende Dienst.</w:t>
      </w:r>
    </w:p>
    <w:p w:rsidR="00F61789" w:rsidP="00F61789" w:rsidRDefault="00F61789" w14:paraId="01E49A57" w14:textId="77777777"/>
    <w:p w:rsidRPr="0066011A" w:rsidR="0066011A" w:rsidP="0066011A" w:rsidRDefault="00533F76" w14:paraId="28FAAB36" w14:textId="3A0DC762">
      <w:bookmarkStart w:name="_Hlk185499659" w:id="35"/>
      <w:r>
        <w:t xml:space="preserve">NB Op grond van vaste jurisprudentie kan de Aanbestedende Dienst in het geval van fouten in een inschrijving alleen een herstelmogelijkheid bieden </w:t>
      </w:r>
      <w:r w:rsidR="00987C10">
        <w:t xml:space="preserve">aan de Inschrijver </w:t>
      </w:r>
      <w:r>
        <w:t xml:space="preserve">als dat herstel niet zou leiden tot een inhoudelijke wijziging van de inschrijving. In de jurisprudentie is het antwoord op de vraag </w:t>
      </w:r>
      <w:r w:rsidR="0008044A">
        <w:t xml:space="preserve">nog niet volledig uitgekristalliseerd </w:t>
      </w:r>
      <w:r>
        <w:t xml:space="preserve">wat een inhoudelijke wijziging is. Om onduidelijkheid en discussie te voorkomen, meldt de Aanbestedende dienst hierbij dat zij in dit kader het UEA </w:t>
      </w:r>
      <w:r w:rsidRPr="68473151">
        <w:rPr>
          <w:u w:val="single"/>
        </w:rPr>
        <w:t>niet</w:t>
      </w:r>
      <w:r>
        <w:t xml:space="preserve"> beschouwt als een onderdeel van de inhoudelijke inschrijving. Herstellen van fouten in of ten aanzien van het UEA kwalificeert, naar mening van de Aanbestedende dienst, dan ook niet als een inhoudelijke wijziging van de inschrijving</w:t>
      </w:r>
      <w:r w:rsidR="005C307E">
        <w:t>.</w:t>
      </w:r>
      <w:r>
        <w:t xml:space="preserve"> </w:t>
      </w:r>
      <w:r w:rsidRPr="00AC1191" w:rsidR="00AC1191">
        <w:t xml:space="preserve">Op </w:t>
      </w:r>
      <w:r w:rsidRPr="00AC1191" w:rsidR="00AC1191">
        <w:t xml:space="preserve">het voorgaande geldt één uitzondering, namelijk de situatie </w:t>
      </w:r>
      <w:r>
        <w:t xml:space="preserve">dat </w:t>
      </w:r>
      <w:r w:rsidRPr="0066011A" w:rsidR="0066011A">
        <w:t>het UEA niet rechtsgeldig is ondertekend. In de laatste twee gevallen zou het bieden van een herstelmogelijkheid wé</w:t>
      </w:r>
      <w:r w:rsidR="0066011A">
        <w:t>l</w:t>
      </w:r>
      <w:r w:rsidRPr="0066011A" w:rsidR="0066011A">
        <w:t xml:space="preserve"> leiden tot een inhoudelijke wijziging van de inschrijving en dus niet zijn toegestaa</w:t>
      </w:r>
      <w:r w:rsidR="0066011A">
        <w:t xml:space="preserve">n. </w:t>
      </w:r>
      <w:r w:rsidRPr="0066011A" w:rsidR="0066011A">
        <w:t xml:space="preserve"> </w:t>
      </w:r>
    </w:p>
    <w:p w:rsidR="00533F76" w:rsidP="00533F76" w:rsidRDefault="00533F76" w14:paraId="1DE35432" w14:textId="77777777"/>
    <w:p w:rsidR="00533F76" w:rsidP="00F61789" w:rsidRDefault="00533F76" w14:paraId="659E7050" w14:textId="1DE13C52">
      <w:r>
        <w:t>Hetzelfde geldt</w:t>
      </w:r>
      <w:r w:rsidR="008D2ACF">
        <w:t xml:space="preserve"> </w:t>
      </w:r>
      <w:r w:rsidRPr="008D2ACF" w:rsidR="008D2ACF">
        <w:t xml:space="preserve">(geen inhoudelijke wijziging van de inschrijving) in </w:t>
      </w:r>
      <w:r>
        <w:t>beginsel ook voor fouten ten aanzien van de geschiktheidseisen. In het geval een Inschrijver desgevraagd, bijvoorbeeld, een referentie kan aanleveren die wel aan de daaraan gestelde eisen voldoet, heeft Aanbestedende dienst de vrijheid om die nieuwe referentie in behandeling te nemen en aldus een herstelmogelijkheid te bieden.</w:t>
      </w:r>
    </w:p>
    <w:p w:rsidR="00F61789" w:rsidP="00F61789" w:rsidRDefault="00F61789" w14:paraId="3A01A63E" w14:textId="77777777">
      <w:pPr>
        <w:pStyle w:val="Kop2"/>
      </w:pPr>
      <w:bookmarkStart w:name="_Toc205383328" w:id="36"/>
      <w:bookmarkEnd w:id="35"/>
      <w:r>
        <w:t xml:space="preserve">Proces </w:t>
      </w:r>
      <w:r w:rsidR="006B6DA6">
        <w:t>b</w:t>
      </w:r>
      <w:r>
        <w:t xml:space="preserve">eoordeling </w:t>
      </w:r>
      <w:r w:rsidRPr="00555C9B">
        <w:t>Inschrijvingen</w:t>
      </w:r>
      <w:bookmarkEnd w:id="36"/>
    </w:p>
    <w:p w:rsidRPr="00555C9B" w:rsidR="00F61789" w:rsidP="00F61789" w:rsidRDefault="00F61789" w14:paraId="6C535990" w14:textId="77777777">
      <w:pPr>
        <w:rPr>
          <w:rFonts w:eastAsiaTheme="minorHAnsi"/>
        </w:rPr>
      </w:pPr>
      <w:r w:rsidRPr="00555C9B">
        <w:t>De Inschrijvingen worden beoordeeld conform onderstaande stappen:</w:t>
      </w:r>
    </w:p>
    <w:p w:rsidRPr="00555C9B" w:rsidR="00F61789" w:rsidP="00F61789" w:rsidRDefault="00F61789" w14:paraId="549FCD44" w14:textId="77777777">
      <w:r w:rsidRPr="00555C9B">
        <w:t> </w:t>
      </w:r>
    </w:p>
    <w:p w:rsidRPr="00555C9B" w:rsidR="00F61789" w:rsidP="00F61789" w:rsidRDefault="00F61789" w14:paraId="11928F89" w14:textId="77777777">
      <w:r w:rsidRPr="00555C9B">
        <w:t xml:space="preserve">Stap 1: beoordeling formele voorschriften </w:t>
      </w:r>
    </w:p>
    <w:p w:rsidRPr="00555C9B" w:rsidR="00F61789" w:rsidP="00F61789" w:rsidRDefault="00F61789" w14:paraId="3E99287A" w14:textId="77777777">
      <w:r w:rsidRPr="00555C9B">
        <w:t>Stap 2: beoordeling volledigheid en compleetheid</w:t>
      </w:r>
    </w:p>
    <w:p w:rsidRPr="00555C9B" w:rsidR="00F61789" w:rsidP="00F61789" w:rsidRDefault="00F61789" w14:paraId="14B2A285" w14:textId="77777777">
      <w:r w:rsidRPr="00555C9B">
        <w:t>Stap 3: beoordeling uitsluitingsgronden</w:t>
      </w:r>
    </w:p>
    <w:p w:rsidRPr="00555C9B" w:rsidR="00F61789" w:rsidP="00F61789" w:rsidRDefault="00F61789" w14:paraId="241185C2" w14:textId="77777777">
      <w:r w:rsidRPr="00555C9B">
        <w:t>Stap 4: beoordeling geschiktheidseisen</w:t>
      </w:r>
    </w:p>
    <w:p w:rsidRPr="00555C9B" w:rsidR="00F61789" w:rsidP="00F61789" w:rsidRDefault="00F61789" w14:paraId="4F453B38" w14:textId="77777777">
      <w:r w:rsidRPr="00555C9B">
        <w:t>Stap 5: beoordeling minimum eisen/</w:t>
      </w:r>
      <w:r>
        <w:t>P</w:t>
      </w:r>
      <w:r w:rsidRPr="00555C9B">
        <w:t xml:space="preserve">rogramma van </w:t>
      </w:r>
      <w:r>
        <w:t>E</w:t>
      </w:r>
      <w:r w:rsidRPr="00555C9B">
        <w:t>isen</w:t>
      </w:r>
    </w:p>
    <w:p w:rsidRPr="00555C9B" w:rsidR="00F61789" w:rsidP="00F61789" w:rsidRDefault="00F61789" w14:paraId="2DFDA1B8" w14:textId="77777777">
      <w:r w:rsidRPr="00555C9B">
        <w:t xml:space="preserve">Stap 6: beoordeling gunningscriteria </w:t>
      </w:r>
    </w:p>
    <w:p w:rsidRPr="00555C9B" w:rsidR="00F61789" w:rsidP="00F61789" w:rsidRDefault="00F61789" w14:paraId="7631E988" w14:textId="4E3C5D30">
      <w:r w:rsidRPr="00555C9B">
        <w:t xml:space="preserve">Stap 7: verificatiefase, </w:t>
      </w:r>
      <w:r w:rsidR="00D96DD7">
        <w:t>Verificatietoets</w:t>
      </w:r>
    </w:p>
    <w:p w:rsidRPr="00555C9B" w:rsidR="00F61789" w:rsidP="00F61789" w:rsidRDefault="00F61789" w14:paraId="648F667E" w14:textId="77777777">
      <w:r>
        <w:t>Stap 8: definitieve gunning</w:t>
      </w:r>
    </w:p>
    <w:p w:rsidRPr="00555C9B" w:rsidR="00F61789" w:rsidP="00F61789" w:rsidRDefault="00F61789" w14:paraId="6C5BE3AF" w14:textId="77777777">
      <w:r w:rsidRPr="00555C9B">
        <w:t> </w:t>
      </w:r>
    </w:p>
    <w:p w:rsidRPr="00555C9B" w:rsidR="00F61789" w:rsidP="00F61789" w:rsidRDefault="00F61789" w14:paraId="1C3AB0B4" w14:textId="77777777">
      <w:bookmarkStart w:name="_Hlk184405" w:id="37"/>
      <w:r w:rsidRPr="00555C9B">
        <w:rPr>
          <w:b/>
          <w:bCs/>
          <w:i/>
          <w:iCs/>
        </w:rPr>
        <w:t>Toelichting stappen:</w:t>
      </w:r>
    </w:p>
    <w:p w:rsidRPr="00555C9B" w:rsidR="00F61789" w:rsidP="00F61789" w:rsidRDefault="00F61789" w14:paraId="1299B43F" w14:textId="77777777">
      <w:r w:rsidRPr="00555C9B">
        <w:rPr>
          <w:b/>
          <w:bCs/>
        </w:rPr>
        <w:t xml:space="preserve">Stap 1: beoordeling formele voorschriften </w:t>
      </w:r>
    </w:p>
    <w:p w:rsidR="009233B3" w:rsidP="00F61789" w:rsidRDefault="00F61789" w14:paraId="2F46EB52" w14:textId="7432CDF2">
      <w:r w:rsidRPr="00555C9B">
        <w:t>Allereerst stelt de Aanbestedende Dienst vast of een Inschrijving voldoet aan de formele voorschriften (zoals vermeld in paragraaf 4.</w:t>
      </w:r>
      <w:r w:rsidR="00C32E5F">
        <w:t>7</w:t>
      </w:r>
      <w:r w:rsidRPr="00555C9B">
        <w:t xml:space="preserve"> Beschrijvend Document). Het gaat er hier </w:t>
      </w:r>
      <w:r>
        <w:t>bijvoorbeeld</w:t>
      </w:r>
      <w:r w:rsidR="00E417FF">
        <w:t xml:space="preserve">, doch niet </w:t>
      </w:r>
      <w:r w:rsidR="005117C5">
        <w:t>uitsluitend,</w:t>
      </w:r>
      <w:r>
        <w:t xml:space="preserve"> </w:t>
      </w:r>
      <w:r w:rsidRPr="00555C9B">
        <w:t>om dat de Inschrijving o</w:t>
      </w:r>
      <w:r w:rsidR="004D6251">
        <w:t xml:space="preserve">p </w:t>
      </w:r>
      <w:r w:rsidRPr="00555C9B">
        <w:t xml:space="preserve"> de juiste manier is ingediend en bijvoorbeeld ook om de ondertekening van de stukken. Inschrijvingen die niet aan deze voorschriften voldoen worden terzijde gelegd en verder niet in behandeling genomen, tenzij terzijdelegging in een individueel geval disproportioneel zou zijn. </w:t>
      </w:r>
    </w:p>
    <w:p w:rsidR="009233B3" w:rsidP="00F61789" w:rsidRDefault="009233B3" w14:paraId="1591CC32" w14:textId="77777777"/>
    <w:p w:rsidRPr="00555C9B" w:rsidR="00F61789" w:rsidP="00F61789" w:rsidRDefault="00F61789" w14:paraId="2DA499F9" w14:textId="06D424F2">
      <w:r w:rsidRPr="00555C9B">
        <w:t xml:space="preserve">Uitsluitend de </w:t>
      </w:r>
      <w:r w:rsidR="009233B3">
        <w:t xml:space="preserve">geldige </w:t>
      </w:r>
      <w:r w:rsidRPr="00555C9B">
        <w:t>Inschrijvingen die voldoen gaan voor verdere beoordeling door naar stap 2.</w:t>
      </w:r>
    </w:p>
    <w:p w:rsidRPr="00555C9B" w:rsidR="00F61789" w:rsidP="00F61789" w:rsidRDefault="00F61789" w14:paraId="1EB3AB11" w14:textId="77777777">
      <w:r w:rsidRPr="00555C9B">
        <w:t> </w:t>
      </w:r>
    </w:p>
    <w:p w:rsidRPr="00555C9B" w:rsidR="00F61789" w:rsidP="00F61789" w:rsidRDefault="00F61789" w14:paraId="6DB67B32" w14:textId="77777777">
      <w:r w:rsidRPr="00555C9B">
        <w:rPr>
          <w:b/>
          <w:bCs/>
        </w:rPr>
        <w:t>Stap 2: beoordeling volledigheid en compleetheid</w:t>
      </w:r>
    </w:p>
    <w:p w:rsidRPr="00555C9B" w:rsidR="00F61789" w:rsidP="00F61789" w:rsidRDefault="00F61789" w14:paraId="0CA12D12" w14:textId="3200ED89">
      <w:r w:rsidRPr="00555C9B">
        <w:t>Vervolgens controleert de Aanbestedende Dienst of een Inschrijving volledig en compleet (zoals onder meer aangegeven in paragraaf 4.8 van het Beschrijvend Document) is opgesteld en ingevuld. Inschrijvingen die hier niet aan voldoen worden terzijde gelegd en verder niet in behandeling genomen</w:t>
      </w:r>
      <w:r w:rsidRPr="001A034C" w:rsidR="001A034C">
        <w:t>, tenzij terzijdelegging in een individueel geval disproportioneel zou zijn</w:t>
      </w:r>
      <w:r w:rsidRPr="00555C9B">
        <w:t>. Uitsluitend de Inschrijvingen die voldoen gaan voor verdere beoordeling door naar stap 3.</w:t>
      </w:r>
    </w:p>
    <w:p w:rsidRPr="00555C9B" w:rsidR="00F61789" w:rsidP="00F61789" w:rsidRDefault="00F61789" w14:paraId="1E4AC16A" w14:textId="77777777">
      <w:r w:rsidRPr="00555C9B">
        <w:t> </w:t>
      </w:r>
    </w:p>
    <w:p w:rsidRPr="00555C9B" w:rsidR="00F61789" w:rsidP="00F61789" w:rsidRDefault="00F61789" w14:paraId="34EAC9FD" w14:textId="77777777">
      <w:r w:rsidRPr="00555C9B">
        <w:rPr>
          <w:b/>
          <w:bCs/>
        </w:rPr>
        <w:t>Stap 3: beoordeling uitsluitingsgronden</w:t>
      </w:r>
    </w:p>
    <w:p w:rsidRPr="00555C9B" w:rsidR="00F61789" w:rsidP="00F61789" w:rsidRDefault="00F61789" w14:paraId="2E53B784" w14:textId="7767FCA6">
      <w:r w:rsidRPr="00555C9B">
        <w:t xml:space="preserve">De Aanbestedende Dienst beoordeelt of de Inschrijver </w:t>
      </w:r>
      <w:r w:rsidR="00345D8A">
        <w:t>en/of de door hem/haar aangedragen Derde(n)</w:t>
      </w:r>
      <w:r w:rsidRPr="00555C9B" w:rsidR="00345D8A">
        <w:t xml:space="preserve"> </w:t>
      </w:r>
      <w:r w:rsidR="00345D8A">
        <w:t xml:space="preserve"> </w:t>
      </w:r>
      <w:r w:rsidRPr="00555C9B">
        <w:t>(niet onder een of meer van de toepasselijke uitsluitingsgronden valt</w:t>
      </w:r>
      <w:r w:rsidR="007760FD">
        <w:t>/vallen</w:t>
      </w:r>
      <w:r w:rsidRPr="00555C9B">
        <w:t xml:space="preserve">. </w:t>
      </w:r>
      <w:r w:rsidR="00331095">
        <w:t xml:space="preserve">Een Inschrijving wordt terzijde gelegd als op de Inschrijver een Uitsluitingsgrond van toepassing is, tenzij uitsluiting disproportioneel zou zijn (waaronder, doch niet uitsluitend, zoal bedoeld </w:t>
      </w:r>
      <w:r w:rsidR="00331095">
        <w:t xml:space="preserve">in artikel 2.87a en 2.88 Aw) </w:t>
      </w:r>
      <w:r w:rsidRPr="00555C9B">
        <w:t xml:space="preserve">Uitsluitend de Inschrijvingen </w:t>
      </w:r>
      <w:r w:rsidR="00A61A1B">
        <w:t xml:space="preserve">van niet uitgesloten </w:t>
      </w:r>
      <w:r w:rsidR="003273C8">
        <w:t xml:space="preserve">Inschrijvers </w:t>
      </w:r>
      <w:r w:rsidRPr="00555C9B">
        <w:t xml:space="preserve">gaan voor verdere beoordeling door naar stap 4. </w:t>
      </w:r>
    </w:p>
    <w:p w:rsidRPr="00555C9B" w:rsidR="00F61789" w:rsidP="00F61789" w:rsidRDefault="00F61789" w14:paraId="325618B7" w14:textId="796E9A8F">
      <w:pPr>
        <w:rPr>
          <w:b/>
          <w:bCs/>
        </w:rPr>
      </w:pPr>
    </w:p>
    <w:p w:rsidRPr="00555C9B" w:rsidR="00F61789" w:rsidP="00F61789" w:rsidRDefault="00F61789" w14:paraId="2BFEF495" w14:textId="77777777">
      <w:r w:rsidRPr="00555C9B">
        <w:rPr>
          <w:b/>
          <w:bCs/>
        </w:rPr>
        <w:t>Stap 4: beoordeling geschiktheidseisen</w:t>
      </w:r>
    </w:p>
    <w:p w:rsidR="00B04AE6" w:rsidP="00F61789" w:rsidRDefault="00F61789" w14:paraId="25BB14F1" w14:textId="48812C58">
      <w:r w:rsidRPr="00555C9B">
        <w:t xml:space="preserve">Vervolgens beoordeelt de Aanbestedende Dienst of de Inschrijver voldoet aan de gestelde geschiktheidseisen. Inschrijvingen </w:t>
      </w:r>
      <w:r w:rsidR="00A95257">
        <w:t xml:space="preserve">van </w:t>
      </w:r>
      <w:r w:rsidRPr="00555C9B">
        <w:t>Inschrijver</w:t>
      </w:r>
      <w:r w:rsidR="00D12DDB">
        <w:t>s</w:t>
      </w:r>
      <w:r w:rsidR="00CA3FD3">
        <w:t xml:space="preserve"> die</w:t>
      </w:r>
      <w:r w:rsidRPr="00555C9B">
        <w:t xml:space="preserve"> niet aan de geschiktheidseisen voldoe</w:t>
      </w:r>
      <w:r w:rsidR="00856E90">
        <w:t>n</w:t>
      </w:r>
      <w:r w:rsidRPr="00555C9B">
        <w:t>, worden terzijde gelegd</w:t>
      </w:r>
      <w:r w:rsidR="00F3423B">
        <w:t>, tenzij dit disproportioneel zou zijn.</w:t>
      </w:r>
      <w:r w:rsidRPr="00555C9B">
        <w:t xml:space="preserve"> </w:t>
      </w:r>
    </w:p>
    <w:p w:rsidR="00B04AE6" w:rsidP="00F61789" w:rsidRDefault="00B04AE6" w14:paraId="0F6E2CB5" w14:textId="77777777"/>
    <w:p w:rsidRPr="00555C9B" w:rsidR="00F61789" w:rsidP="00F61789" w:rsidRDefault="00F61789" w14:paraId="6EF9B245" w14:textId="074EF2C3">
      <w:r w:rsidRPr="00555C9B">
        <w:t>Uitsluitend de Inschrijvingen waaruit</w:t>
      </w:r>
      <w:r w:rsidR="00961D16">
        <w:t>,</w:t>
      </w:r>
      <w:r w:rsidRPr="00961D16" w:rsidR="00961D16">
        <w:t xml:space="preserve"> </w:t>
      </w:r>
      <w:r w:rsidR="00961D16">
        <w:t>eventueel na een foutherstel,</w:t>
      </w:r>
      <w:r w:rsidRPr="00555C9B" w:rsidR="00961D16">
        <w:t xml:space="preserve"> </w:t>
      </w:r>
      <w:r w:rsidRPr="00555C9B">
        <w:t>blijkt dat Inschrijver aan de geschiktheidseisen voldoet, gaan voor verdere beoordeling door naar stap 5.</w:t>
      </w:r>
    </w:p>
    <w:p w:rsidRPr="00555C9B" w:rsidR="00F61789" w:rsidP="00F61789" w:rsidRDefault="00F61789" w14:paraId="7C38FF78" w14:textId="77777777">
      <w:r w:rsidRPr="00555C9B">
        <w:t> </w:t>
      </w:r>
    </w:p>
    <w:p w:rsidRPr="00555C9B" w:rsidR="00F61789" w:rsidP="00F61789" w:rsidRDefault="00F61789" w14:paraId="31AD88EB" w14:textId="77777777">
      <w:r w:rsidRPr="00555C9B">
        <w:rPr>
          <w:b/>
          <w:bCs/>
        </w:rPr>
        <w:t>Stap 5: beoordeling minimumeisen</w:t>
      </w:r>
    </w:p>
    <w:p w:rsidR="00EB47FF" w:rsidP="00D53535" w:rsidRDefault="00D53535" w14:paraId="2F11F045" w14:textId="729C0850">
      <w:r w:rsidRPr="00555C9B">
        <w:t>Vervolgens beoordeelt de Aanbestedende Dienst of de Inschrijving voldoet aan de minimumeisen</w:t>
      </w:r>
      <w:r>
        <w:t xml:space="preserve"> (Hoofdstuk 8)</w:t>
      </w:r>
      <w:r w:rsidRPr="00555C9B">
        <w:t xml:space="preserve">. </w:t>
      </w:r>
      <w:r w:rsidRPr="00555C9B" w:rsidR="00FF4861">
        <w:t>Een Inschrijving die niet</w:t>
      </w:r>
      <w:r w:rsidR="00FF4861">
        <w:t xml:space="preserve">, </w:t>
      </w:r>
      <w:r w:rsidRPr="00555C9B" w:rsidR="00FF4861">
        <w:t>of slechts voorwaardelijk</w:t>
      </w:r>
      <w:r w:rsidR="00FF4861">
        <w:t>,</w:t>
      </w:r>
      <w:r w:rsidRPr="00555C9B" w:rsidR="00FF4861">
        <w:t xml:space="preserve"> voldoet aan de</w:t>
      </w:r>
      <w:r w:rsidR="00FF4861">
        <w:t>ze</w:t>
      </w:r>
      <w:r w:rsidRPr="00555C9B" w:rsidR="00FF4861">
        <w:t xml:space="preserve"> eisen wordt terzijde gelegd en komt niet voor verdere beoordeling in aanmerking.</w:t>
      </w:r>
      <w:r w:rsidR="00FF4861">
        <w:t xml:space="preserve"> Ook in dergelijke gevallen zou een herstelmogelijkheid kunnen worden geboden, als het terzijde leggen van de Inschrijving disproportioneel zou zijn.</w:t>
      </w:r>
      <w:r w:rsidRPr="00555C9B" w:rsidR="00FF4861">
        <w:t xml:space="preserve"> </w:t>
      </w:r>
    </w:p>
    <w:p w:rsidR="00EB47FF" w:rsidP="00D53535" w:rsidRDefault="00EB47FF" w14:paraId="735455D0" w14:textId="77777777"/>
    <w:p w:rsidRPr="00555C9B" w:rsidR="00D53535" w:rsidP="00D53535" w:rsidRDefault="00D53535" w14:paraId="696A6F9E" w14:textId="40ED86AC">
      <w:r>
        <w:t>Uitsluitend Inschrijvingen die voldoen aan de eisen, gaan voor verdere beoordeling door naar stap 6.</w:t>
      </w:r>
    </w:p>
    <w:p w:rsidRPr="00555C9B" w:rsidR="00F61789" w:rsidP="00F61789" w:rsidRDefault="00F61789" w14:paraId="3348EED8" w14:textId="77777777">
      <w:r w:rsidRPr="00555C9B">
        <w:rPr>
          <w:b/>
          <w:bCs/>
        </w:rPr>
        <w:t> </w:t>
      </w:r>
    </w:p>
    <w:p w:rsidRPr="00555C9B" w:rsidR="00F61789" w:rsidP="00F61789" w:rsidRDefault="00F61789" w14:paraId="0FFFA445" w14:textId="77777777">
      <w:r w:rsidRPr="00555C9B">
        <w:rPr>
          <w:b/>
          <w:bCs/>
        </w:rPr>
        <w:t>Stap 6: beoordeling gunningscriteria</w:t>
      </w:r>
    </w:p>
    <w:p w:rsidR="00435F70" w:rsidP="00435F70" w:rsidRDefault="00435F70" w14:paraId="5D4DAFB3" w14:textId="636C071B">
      <w:r>
        <w:t>Tot slot beoordeelt de Aanbestedende Dienst de overgebleven</w:t>
      </w:r>
      <w:r w:rsidR="00980CF7">
        <w:t>, geldige</w:t>
      </w:r>
      <w:r>
        <w:t xml:space="preserve"> Inschrijvingen op grond van de gunningscriteria. De Inschrijver met de hoogste totaalscore komt voor gunning van de Opdracht in aanmerking</w:t>
      </w:r>
      <w:r w:rsidR="00102B3E">
        <w:t>. L</w:t>
      </w:r>
      <w:r>
        <w:t>outer de Inschrijving van deze Inschrijver gaat voor verdere beoordeling naar stap 7</w:t>
      </w:r>
      <w:r w:rsidR="00820F36">
        <w:t>.</w:t>
      </w:r>
      <w:r>
        <w:t xml:space="preserve"> </w:t>
      </w:r>
    </w:p>
    <w:p w:rsidR="00435F70" w:rsidP="00435F70" w:rsidRDefault="00435F70" w14:paraId="085A4E8E" w14:textId="77777777"/>
    <w:p w:rsidRPr="005B70EB" w:rsidR="00435F70" w:rsidP="00435F70" w:rsidRDefault="007D41A1" w14:paraId="14FF5732" w14:textId="4C3AB495">
      <w:r w:rsidRPr="005B70EB">
        <w:t xml:space="preserve">NB: </w:t>
      </w:r>
      <w:r w:rsidRPr="005B70EB" w:rsidR="00435F70">
        <w:t>Indien en voor zover op enig moment, maar tot definitieve gunning, blijkt dat een Inschrijving alsnog terzijde gelegd moet worden, zal de Aanbestedende Dienst de opdracht gunnen aan de Inschrijver die als tweede in rangorde is geëindigd.</w:t>
      </w:r>
    </w:p>
    <w:p w:rsidR="00435F70" w:rsidP="00435F70" w:rsidRDefault="00435F70" w14:paraId="22C0C333" w14:textId="77777777"/>
    <w:p w:rsidR="00F61789" w:rsidP="00435F70" w:rsidRDefault="007D41A1" w14:paraId="580D518B" w14:textId="38005BF7">
      <w:r>
        <w:t xml:space="preserve">NB: </w:t>
      </w:r>
      <w:r w:rsidR="00435F70">
        <w:t>Als voor een subgunningscriterium is bepaald dat voor de uitwerking gebruik mag worden gemaakt van een maximaal aantal pagina’s, dan wordt uitsluitend het aangegeven aantal A4 beoordeeld. Indien een Inschrijver het maximale aantal A4 overschrijdt, wordt alle overige aanvullende informatie niet betrokken bij de beoordeling van het schriftelijke gunningscriterium.</w:t>
      </w:r>
    </w:p>
    <w:p w:rsidR="00435F70" w:rsidP="00435F70" w:rsidRDefault="00435F70" w14:paraId="11FE2F6B" w14:textId="77777777">
      <w:pPr>
        <w:rPr>
          <w:rFonts w:cs="Arial"/>
          <w:b/>
        </w:rPr>
      </w:pPr>
    </w:p>
    <w:p w:rsidRPr="00555C9B" w:rsidR="00F61789" w:rsidP="00F61789" w:rsidRDefault="00F61789" w14:paraId="5F6DE141" w14:textId="77777777">
      <w:pPr>
        <w:rPr>
          <w:rFonts w:cs="Arial"/>
          <w:b/>
        </w:rPr>
      </w:pPr>
      <w:r w:rsidRPr="00555C9B">
        <w:rPr>
          <w:rFonts w:cs="Arial"/>
          <w:b/>
        </w:rPr>
        <w:t>Stap 7: verificatiefase</w:t>
      </w:r>
    </w:p>
    <w:p w:rsidRPr="00D41C9C" w:rsidR="00F61789" w:rsidP="00F61789" w:rsidRDefault="00D41C9C" w14:paraId="15675C19" w14:textId="463D6930">
      <w:pPr>
        <w:rPr>
          <w:iCs/>
        </w:rPr>
      </w:pPr>
      <w:r w:rsidRPr="00524ABE">
        <w:rPr>
          <w:iCs/>
        </w:rPr>
        <w:t xml:space="preserve">De Inschrijver aan wie de voorlopige gunning is toegekend zal middels een </w:t>
      </w:r>
      <w:r w:rsidR="009F7D0D">
        <w:rPr>
          <w:iCs/>
        </w:rPr>
        <w:t>verificatietest</w:t>
      </w:r>
      <w:r>
        <w:t xml:space="preserve"> </w:t>
      </w:r>
      <w:r w:rsidRPr="00524ABE">
        <w:rPr>
          <w:iCs/>
        </w:rPr>
        <w:t xml:space="preserve"> (</w:t>
      </w:r>
      <w:r w:rsidRPr="009F7D0D">
        <w:rPr>
          <w:iCs/>
        </w:rPr>
        <w:t xml:space="preserve">zie </w:t>
      </w:r>
      <w:r w:rsidRPr="009F7D0D">
        <w:t xml:space="preserve">bijlage </w:t>
      </w:r>
      <w:r w:rsidRPr="009F7D0D" w:rsidR="009F7D0D">
        <w:t>5</w:t>
      </w:r>
      <w:r w:rsidRPr="009F7D0D">
        <w:rPr>
          <w:iCs/>
        </w:rPr>
        <w:t xml:space="preserve">) op een NIPV-locatie moeten bewijzen </w:t>
      </w:r>
      <w:r w:rsidRPr="009F7D0D" w:rsidR="00F61789">
        <w:rPr>
          <w:rFonts w:cs="Arial"/>
        </w:rPr>
        <w:t xml:space="preserve">dat hij </w:t>
      </w:r>
      <w:r w:rsidRPr="009F7D0D" w:rsidR="00381427">
        <w:rPr>
          <w:rFonts w:cs="Arial"/>
        </w:rPr>
        <w:t xml:space="preserve">voldoet </w:t>
      </w:r>
      <w:r w:rsidRPr="009F7D0D" w:rsidR="00F61789">
        <w:rPr>
          <w:rFonts w:cs="Arial"/>
        </w:rPr>
        <w:t>aan de gestelde eisen, zoals opgenomen in het Programma</w:t>
      </w:r>
      <w:r w:rsidRPr="00555C9B" w:rsidR="00F61789">
        <w:rPr>
          <w:rFonts w:cs="Arial"/>
        </w:rPr>
        <w:t xml:space="preserve"> van </w:t>
      </w:r>
      <w:r w:rsidR="00F61789">
        <w:rPr>
          <w:rFonts w:cs="Arial"/>
        </w:rPr>
        <w:t>E</w:t>
      </w:r>
      <w:r w:rsidRPr="00555C9B" w:rsidR="00F61789">
        <w:rPr>
          <w:rFonts w:cs="Arial"/>
        </w:rPr>
        <w:t xml:space="preserve">isen en wensen, en de overige uitvoeringseisen kan voldoen bij de uitvoering van de </w:t>
      </w:r>
      <w:r w:rsidR="00F61789">
        <w:rPr>
          <w:rFonts w:cs="Arial"/>
        </w:rPr>
        <w:t>O</w:t>
      </w:r>
      <w:r w:rsidRPr="00555C9B" w:rsidR="00F61789">
        <w:rPr>
          <w:rFonts w:cs="Arial"/>
        </w:rPr>
        <w:t>pdracht.</w:t>
      </w:r>
      <w:r>
        <w:rPr>
          <w:rFonts w:cs="Arial"/>
        </w:rPr>
        <w:t xml:space="preserve"> </w:t>
      </w:r>
    </w:p>
    <w:p w:rsidR="00336B02" w:rsidP="00F61789" w:rsidRDefault="00336B02" w14:paraId="36237EEB" w14:textId="77777777">
      <w:pPr>
        <w:rPr>
          <w:rFonts w:cs="Arial"/>
        </w:rPr>
      </w:pPr>
    </w:p>
    <w:p w:rsidRPr="00555C9B" w:rsidR="00336B02" w:rsidP="00F61789" w:rsidRDefault="00336B02" w14:paraId="5C1FAF6D" w14:textId="71727A40">
      <w:pPr>
        <w:rPr>
          <w:rFonts w:cs="Arial"/>
        </w:rPr>
      </w:pPr>
      <w:r>
        <w:t xml:space="preserve">Voorts zal de Aanbestedende Dienst de bewijsmiddelen in het kader van het UEA opvragen bij de beoogde winnaar. </w:t>
      </w:r>
      <w:r w:rsidRPr="00555C9B">
        <w:t xml:space="preserve">Na ontvangst van de bewijsmiddelen of anderszins kan in het verloop van de aanbestedingsprocedure (of nadien) blijken dat wel degelijk een uitsluitingsgrond van toepassing is op de </w:t>
      </w:r>
      <w:r>
        <w:t>I</w:t>
      </w:r>
      <w:r w:rsidRPr="00555C9B">
        <w:t xml:space="preserve">nschrijver en het UEA dus onjuist is ingevuld. Voor die gevallen behoudt de Aanbestedende Dienst zich het recht voor om alsnog over te gaan </w:t>
      </w:r>
      <w:r w:rsidRPr="00555C9B">
        <w:t xml:space="preserve">tot uitsluiting van de desbetreffende </w:t>
      </w:r>
      <w:r>
        <w:t>I</w:t>
      </w:r>
      <w:r w:rsidRPr="00555C9B">
        <w:t xml:space="preserve">nschrijver en/of de aangegane </w:t>
      </w:r>
      <w:r w:rsidR="007C2759">
        <w:t>O</w:t>
      </w:r>
      <w:r w:rsidRPr="00555C9B">
        <w:t>vereenkomst te ontbinden c.q. op te zeggen.</w:t>
      </w:r>
    </w:p>
    <w:p w:rsidR="00F61789" w:rsidP="00F61789" w:rsidRDefault="00F61789" w14:paraId="3944EA9F" w14:textId="77777777"/>
    <w:p w:rsidRPr="00555C9B" w:rsidR="00F61789" w:rsidP="00F61789" w:rsidRDefault="00F61789" w14:paraId="23E9B0CD" w14:textId="77777777">
      <w:r w:rsidRPr="00555C9B">
        <w:t xml:space="preserve">Indien en voor zover de voorlopige winnaar niet voldoet aan de eisen zoals de Aanbestedende Dienst die beoordeelt bij stap 7, zal de Aanbestedende Dienst de </w:t>
      </w:r>
      <w:r>
        <w:t>I</w:t>
      </w:r>
      <w:r w:rsidRPr="00555C9B">
        <w:t xml:space="preserve">nschrijving van de oorspronkelijk opvolgende </w:t>
      </w:r>
      <w:r>
        <w:t>I</w:t>
      </w:r>
      <w:r w:rsidRPr="00555C9B">
        <w:t xml:space="preserve">nschrijver beoordelen bij stap 7 en zo verder – als deze </w:t>
      </w:r>
      <w:r>
        <w:t>I</w:t>
      </w:r>
      <w:r w:rsidRPr="00555C9B">
        <w:t xml:space="preserve">nschrijving ook niet voldoet - totdat een </w:t>
      </w:r>
      <w:r>
        <w:t>I</w:t>
      </w:r>
      <w:r w:rsidRPr="00555C9B">
        <w:t xml:space="preserve">nschrijving voldoet aan de eisen van stap 7, dan wel er geen </w:t>
      </w:r>
      <w:r>
        <w:t>I</w:t>
      </w:r>
      <w:r w:rsidRPr="00555C9B">
        <w:t xml:space="preserve">nschrijvers meer over zijn. </w:t>
      </w:r>
    </w:p>
    <w:p w:rsidRPr="00555C9B" w:rsidR="00F61789" w:rsidP="00F61789" w:rsidRDefault="00F61789" w14:paraId="5730768C" w14:textId="77777777"/>
    <w:p w:rsidRPr="00555C9B" w:rsidR="00F61789" w:rsidP="00F61789" w:rsidRDefault="00F61789" w14:paraId="7940BD09" w14:textId="77777777">
      <w:pPr>
        <w:rPr>
          <w:b/>
          <w:bCs/>
        </w:rPr>
      </w:pPr>
      <w:r w:rsidRPr="00555C9B">
        <w:rPr>
          <w:b/>
          <w:bCs/>
        </w:rPr>
        <w:t>Stap 8: definitieve gunning</w:t>
      </w:r>
    </w:p>
    <w:p w:rsidR="00F61789" w:rsidP="00F61789" w:rsidRDefault="00F61789" w14:paraId="43A0FCDA" w14:textId="698B2939">
      <w:r w:rsidRPr="00555C9B">
        <w:t xml:space="preserve">Als voldaan is aan de eisen van stap 7 is de </w:t>
      </w:r>
      <w:r>
        <w:t>O</w:t>
      </w:r>
      <w:r w:rsidRPr="00555C9B">
        <w:t xml:space="preserve">pdracht gereed voor definitieve gunning. Definitieve gunning betreft evenwel een afzonderlijke stap en kan om allerhande redenen achterwege blijven. De Aanbestedende Dienst behoudt zich in dit kader een volledige contractsvrijheid voor. </w:t>
      </w:r>
      <w:r w:rsidRPr="00555C9B" w:rsidR="00CA2C00">
        <w:t xml:space="preserve">De </w:t>
      </w:r>
      <w:r w:rsidR="00FB6125">
        <w:t>O</w:t>
      </w:r>
      <w:r w:rsidRPr="00555C9B" w:rsidR="00CA2C00">
        <w:t xml:space="preserve">vereenkomst is pas gesloten </w:t>
      </w:r>
      <w:r w:rsidR="00CA2C00">
        <w:t>als alle</w:t>
      </w:r>
      <w:r w:rsidRPr="00555C9B" w:rsidR="00CA2C00">
        <w:t xml:space="preserve"> contractpartijen de </w:t>
      </w:r>
      <w:r w:rsidR="00FB6125">
        <w:t>O</w:t>
      </w:r>
      <w:r w:rsidRPr="00555C9B" w:rsidR="00CA2C00">
        <w:t xml:space="preserve">vereenkomst </w:t>
      </w:r>
      <w:r w:rsidR="00CA2C00">
        <w:t xml:space="preserve">rechtsgeldig </w:t>
      </w:r>
      <w:r w:rsidRPr="00555C9B" w:rsidR="00CA2C00">
        <w:t xml:space="preserve">hebben ondertekend. </w:t>
      </w:r>
    </w:p>
    <w:p w:rsidRPr="00555C9B" w:rsidR="00CA2C00" w:rsidP="00F61789" w:rsidRDefault="00CA2C00" w14:paraId="12111755" w14:textId="77777777"/>
    <w:p w:rsidR="00F61789" w:rsidP="00F61789" w:rsidRDefault="00F61789" w14:paraId="34B8CD14" w14:textId="42598388">
      <w:pPr>
        <w:suppressAutoHyphens/>
      </w:pPr>
      <w:r w:rsidRPr="00555C9B">
        <w:t xml:space="preserve">NB De Aanbestedende Dienst behoudt zich in iedere fase van de aanbestedingsprocedure het recht voor aan een Inschrijver een toelichting </w:t>
      </w:r>
      <w:r w:rsidR="008A5E01">
        <w:t xml:space="preserve">te vragen </w:t>
      </w:r>
      <w:r w:rsidRPr="00555C9B">
        <w:t>op de Inschrijving</w:t>
      </w:r>
      <w:r w:rsidR="008A5E01">
        <w:t>.</w:t>
      </w:r>
      <w:r w:rsidRPr="00555C9B">
        <w:t xml:space="preserve">. Dit is een recht van </w:t>
      </w:r>
      <w:r>
        <w:t>d</w:t>
      </w:r>
      <w:r w:rsidRPr="00555C9B">
        <w:t xml:space="preserve">e Aanbestedende Dienst en niet rechtens afdwingbaar voor Inschrijvers. De Aanbestedende Dienst wijst erop dat ingeval een Inschrijver wordt gevraagd om zijn Inschrijving toe te lichten, de toelichting binnen twee (2) werkdagen na verzending van het verzoek van </w:t>
      </w:r>
      <w:r>
        <w:t>d</w:t>
      </w:r>
      <w:r w:rsidRPr="00555C9B">
        <w:t xml:space="preserve">e Aanbestedende Dienst door </w:t>
      </w:r>
      <w:r>
        <w:t>d</w:t>
      </w:r>
      <w:r w:rsidRPr="00555C9B">
        <w:t xml:space="preserve">e Aanbestedende Dienst moet zijn ontvangen, tenzij </w:t>
      </w:r>
      <w:r>
        <w:t>de</w:t>
      </w:r>
      <w:r w:rsidRPr="00555C9B">
        <w:t xml:space="preserve"> Aanbestedende Dienst anderszins communiceert. Door de toelichting mag de Inschrijving niet (inhoudelijk) wijzigen. Ingeval niet aan deze voorwaarden wordt voldaan, laat </w:t>
      </w:r>
      <w:r>
        <w:t>d</w:t>
      </w:r>
      <w:r w:rsidRPr="00555C9B">
        <w:t xml:space="preserve">e Aanbestedende Dienst de toelichting buiten beschouwing bij de verdere beoordeling van de Inschrijving. </w:t>
      </w:r>
    </w:p>
    <w:p w:rsidR="00B452ED" w:rsidP="00B452ED" w:rsidRDefault="0025305B" w14:paraId="1146E9D0" w14:textId="5A35CD8C">
      <w:pPr>
        <w:pStyle w:val="Kop2"/>
      </w:pPr>
      <w:bookmarkStart w:name="_Toc205383329" w:id="38"/>
      <w:bookmarkEnd w:id="37"/>
      <w:r>
        <w:t>P</w:t>
      </w:r>
      <w:r w:rsidR="00B452ED">
        <w:t>ercelen</w:t>
      </w:r>
      <w:bookmarkEnd w:id="38"/>
    </w:p>
    <w:p w:rsidRPr="007A11A6" w:rsidR="00B452ED" w:rsidP="00B452ED" w:rsidRDefault="00EB2474" w14:paraId="361B134E" w14:textId="39064535">
      <w:pPr>
        <w:suppressAutoHyphens/>
        <w:rPr>
          <w:iCs/>
        </w:rPr>
      </w:pPr>
      <w:r w:rsidRPr="00EB2474">
        <w:t xml:space="preserve">De Aanbestedende Dienst vindt het niet passend om de Opdracht onder te verdelen in meerdere percelen. </w:t>
      </w:r>
      <w:r w:rsidRPr="00DD2E31" w:rsidR="00DD2E31">
        <w:t xml:space="preserve">De </w:t>
      </w:r>
      <w:r w:rsidR="00DD2E31">
        <w:t>O</w:t>
      </w:r>
      <w:r w:rsidRPr="00DD2E31" w:rsidR="00DD2E31">
        <w:t xml:space="preserve">pdracht betreft </w:t>
      </w:r>
      <w:r w:rsidR="005E64B5">
        <w:t>namelijk werkzaamheden</w:t>
      </w:r>
      <w:r w:rsidRPr="00DD2E31" w:rsidR="00DD2E31">
        <w:t xml:space="preserve"> die een sterke onderlinge samenhang vertonen. Het opdelen in afzonderlijke percelen zou de risico’s van afstemmingsproblemen en kwaliteitsverschillen vergroten en kan leiden tot vertragingen in de uitvoering.</w:t>
      </w:r>
    </w:p>
    <w:p w:rsidR="00B452ED" w:rsidP="00B452ED" w:rsidRDefault="00B452ED" w14:paraId="47C056CD" w14:textId="77777777">
      <w:pPr>
        <w:pStyle w:val="Kop2"/>
      </w:pPr>
      <w:bookmarkStart w:name="_Toc205383330" w:id="39"/>
      <w:r>
        <w:t>Varianten</w:t>
      </w:r>
      <w:bookmarkEnd w:id="39"/>
    </w:p>
    <w:p w:rsidR="00B452ED" w:rsidP="00B452ED" w:rsidRDefault="00B452ED" w14:paraId="703D08B1" w14:textId="54BFF048">
      <w:pPr>
        <w:suppressAutoHyphens/>
      </w:pPr>
      <w:r w:rsidRPr="0023201E">
        <w:t>Inschrijven met varianten is niet toegestaan</w:t>
      </w:r>
      <w:r>
        <w:t xml:space="preserve">. </w:t>
      </w:r>
      <w:r w:rsidR="005B70EB">
        <w:t>D</w:t>
      </w:r>
      <w:r>
        <w:t>eze Inschrijvingen</w:t>
      </w:r>
      <w:r w:rsidRPr="0023201E">
        <w:t xml:space="preserve"> worden </w:t>
      </w:r>
      <w:r>
        <w:t xml:space="preserve">als ongeldig </w:t>
      </w:r>
      <w:r w:rsidRPr="0023201E">
        <w:t>terzijde gelegd.</w:t>
      </w:r>
    </w:p>
    <w:p w:rsidR="00B452ED" w:rsidP="00B452ED" w:rsidRDefault="00B452ED" w14:paraId="7083521A" w14:textId="77777777">
      <w:pPr>
        <w:pStyle w:val="Kop2"/>
      </w:pPr>
      <w:bookmarkStart w:name="_Toc205383331" w:id="40"/>
      <w:r>
        <w:t>Voorwaarden</w:t>
      </w:r>
      <w:bookmarkEnd w:id="40"/>
    </w:p>
    <w:p w:rsidR="00B452ED" w:rsidP="00AC4523" w:rsidRDefault="00B452ED" w14:paraId="6A9BC8AC" w14:textId="5F640BDE">
      <w:pPr>
        <w:suppressAutoHyphens/>
      </w:pPr>
      <w:r w:rsidRPr="00555C9B">
        <w:t xml:space="preserve">Inschrijven onder voorwaarden is niet toegestaan. Inschrijvingen waaraan voorwaarden zijn verbonden of die onder voorbehoud zijn gedaan, worden terzijde gelegd. </w:t>
      </w:r>
    </w:p>
    <w:p w:rsidR="00B452ED" w:rsidP="00B452ED" w:rsidRDefault="00B452ED" w14:paraId="756E4F37" w14:textId="77777777">
      <w:pPr>
        <w:pStyle w:val="Kop2"/>
      </w:pPr>
      <w:bookmarkStart w:name="_Toc205383332" w:id="41"/>
      <w:r>
        <w:t>Rechtsgeldige ondertekening</w:t>
      </w:r>
      <w:bookmarkEnd w:id="41"/>
    </w:p>
    <w:p w:rsidRPr="00555C9B" w:rsidR="00B452ED" w:rsidP="00B452ED" w:rsidRDefault="002047D5" w14:paraId="23E1DDEE" w14:textId="0DD07EC0">
      <w:bookmarkStart w:name="_Hlk185499933" w:id="42"/>
      <w:r w:rsidRPr="002047D5">
        <w:t>Indien de Aanbestedende Dienst vraagt om</w:t>
      </w:r>
      <w:r>
        <w:t xml:space="preserve"> o</w:t>
      </w:r>
      <w:r w:rsidRPr="00555C9B" w:rsidR="00B452ED">
        <w:t xml:space="preserve">ndertekening van </w:t>
      </w:r>
      <w:r w:rsidR="00273768">
        <w:t xml:space="preserve">een stuk, dan </w:t>
      </w:r>
      <w:r w:rsidRPr="00555C9B" w:rsidR="00B452ED">
        <w:t xml:space="preserve">dient </w:t>
      </w:r>
      <w:r w:rsidR="00273768">
        <w:t xml:space="preserve">dat </w:t>
      </w:r>
      <w:r w:rsidRPr="00555C9B" w:rsidR="00B452ED">
        <w:t>te gebeuren door een functionaris die rechtsgeldig bevoegd is om (zelfstandig) namens de Inschrijver op te treden</w:t>
      </w:r>
      <w:r w:rsidR="009B3A9F">
        <w:t xml:space="preserve">. </w:t>
      </w:r>
    </w:p>
    <w:p w:rsidR="00B452ED" w:rsidP="00B452ED" w:rsidRDefault="00B452ED" w14:paraId="2B0BAB22" w14:textId="77777777"/>
    <w:p w:rsidR="0045338D" w:rsidP="00B452ED" w:rsidRDefault="0045338D" w14:paraId="1B6DC481" w14:textId="1C1058C6">
      <w:r w:rsidRPr="0045338D">
        <w:t>Rechtsgeldige ondertekening van de Inschrijving en daarmee het uiten van een onvoorwaardelijk aanbod geschiedt door het rechtsgeldig ondertekenen van het UEA.</w:t>
      </w:r>
    </w:p>
    <w:p w:rsidRPr="00555C9B" w:rsidR="0045338D" w:rsidP="00B452ED" w:rsidRDefault="0045338D" w14:paraId="4F6C94A1" w14:textId="77777777"/>
    <w:p w:rsidR="00136091" w:rsidP="00B452ED" w:rsidRDefault="00B452ED" w14:paraId="3A613ADF" w14:textId="53265296">
      <w:pPr>
        <w:rPr>
          <w:iCs/>
        </w:rPr>
      </w:pPr>
      <w:r w:rsidRPr="00555C9B">
        <w:t xml:space="preserve">De Inschrijver </w:t>
      </w:r>
      <w:r w:rsidRPr="00555C9B">
        <w:rPr>
          <w:iCs/>
        </w:rPr>
        <w:t xml:space="preserve">moet in zijn </w:t>
      </w:r>
      <w:r>
        <w:rPr>
          <w:iCs/>
        </w:rPr>
        <w:t>I</w:t>
      </w:r>
      <w:r w:rsidRPr="00555C9B">
        <w:rPr>
          <w:iCs/>
        </w:rPr>
        <w:t xml:space="preserve">nschrijving </w:t>
      </w:r>
      <w:r w:rsidR="0045338D">
        <w:rPr>
          <w:iCs/>
        </w:rPr>
        <w:t xml:space="preserve">genoegzaam </w:t>
      </w:r>
      <w:r w:rsidRPr="00555C9B">
        <w:rPr>
          <w:iCs/>
        </w:rPr>
        <w:t xml:space="preserve">aantonen dat de ondertekenaar(s) bevoegd is (zijn) de betreffende rechtspersoon / rechtspersonen te vertegenwoordigen, tenzij die bevoegdheid blijkt uit het register van de Kamer van Koophandel en een uittreksel van dat register bij de Inschrijving is gevoegd. </w:t>
      </w:r>
      <w:r w:rsidRPr="006B7FB9" w:rsidR="006B7FB9">
        <w:rPr>
          <w:iCs/>
        </w:rPr>
        <w:t>Uit de ingediende KvK’s moet blijken dat de ondertekenaar bevoegd is, dat houdt in dat bijvoorbeeld in concernverband alle relevante KvK’s dienen te worden ingediend, alsmede een organogram waaruit de verhouding tussen de diverse entiteit blijkt.</w:t>
      </w:r>
      <w:r w:rsidR="006B7FB9">
        <w:rPr>
          <w:iCs/>
        </w:rPr>
        <w:t xml:space="preserve"> </w:t>
      </w:r>
      <w:r w:rsidRPr="006B7FB9" w:rsidR="006B7FB9">
        <w:rPr>
          <w:iCs/>
        </w:rPr>
        <w:t>Het niet naleven van dit voorschrift leidt tot het terzijde leggen van de inschrijving, tenzij dit in een individueel geval disproportioneel zou zijn.</w:t>
      </w:r>
    </w:p>
    <w:p w:rsidRPr="00555C9B" w:rsidR="00B452ED" w:rsidP="00B452ED" w:rsidRDefault="00B452ED" w14:paraId="18B0F931" w14:textId="77777777">
      <w:pPr>
        <w:suppressAutoHyphens/>
        <w:rPr>
          <w:iCs/>
        </w:rPr>
      </w:pPr>
    </w:p>
    <w:p w:rsidR="00B452ED" w:rsidP="006B66EC" w:rsidRDefault="00B452ED" w14:paraId="3E34252C" w14:textId="688A3C95">
      <w:pPr>
        <w:suppressAutoHyphens/>
      </w:pPr>
      <w:r w:rsidRPr="00555C9B">
        <w:rPr>
          <w:iCs/>
        </w:rPr>
        <w:t xml:space="preserve">Wanneer in het Handelsregister is opgenomen dat twee of meer personen gezamenlijk vertegenwoordigingsbevoegd zijn, moeten de documenten ook door al deze personen worden ondertekend. </w:t>
      </w:r>
      <w:bookmarkEnd w:id="42"/>
    </w:p>
    <w:p w:rsidR="00B452ED" w:rsidP="00B452ED" w:rsidRDefault="00B452ED" w14:paraId="7182CDD7" w14:textId="77777777">
      <w:pPr>
        <w:pStyle w:val="Kop2"/>
      </w:pPr>
      <w:bookmarkStart w:name="_Toc205383333" w:id="43"/>
      <w:r>
        <w:t>Toepasselijk recht en geschillenbeslechting</w:t>
      </w:r>
      <w:bookmarkEnd w:id="43"/>
    </w:p>
    <w:p w:rsidR="006B7FB9" w:rsidP="00B452ED" w:rsidRDefault="00B452ED" w14:paraId="50515DEA" w14:textId="77777777">
      <w:pPr>
        <w:suppressAutoHyphens/>
      </w:pPr>
      <w:r w:rsidRPr="00555C9B">
        <w:t xml:space="preserve">Op deze aanbestedingsprocedure en op de te sluiten Overeenkomst is Nederlands recht van toepassing, met uitsluiting van het Weens Koopverdrag. Tevens is van toepassing alle (dan) vigerende wet- en regelgeving die betrekking heeft op de Opdracht. </w:t>
      </w:r>
    </w:p>
    <w:p w:rsidR="006B7FB9" w:rsidP="00B452ED" w:rsidRDefault="006B7FB9" w14:paraId="13F94ECD" w14:textId="77777777">
      <w:pPr>
        <w:suppressAutoHyphens/>
      </w:pPr>
    </w:p>
    <w:p w:rsidR="00B452ED" w:rsidP="006B66EC" w:rsidRDefault="00B452ED" w14:paraId="54779A4E" w14:textId="67AC7BD4">
      <w:pPr>
        <w:suppressAutoHyphens/>
      </w:pPr>
      <w:r w:rsidRPr="00555C9B">
        <w:t>Wijzigingen in wet- en regelgeving dan wel beslissingen van toezichthouders of gerechtelijke instellingen leiden ten tijde van de looptijd van de Overeenkomst niet tot wijzigingen in de door Inschrijver geoffreerde prijzen of tarieven</w:t>
      </w:r>
      <w:r>
        <w:t>, behoudens voor zover sprake is van onvoorziene omstandigheden</w:t>
      </w:r>
      <w:r w:rsidRPr="00555C9B">
        <w:t>.</w:t>
      </w:r>
      <w:r>
        <w:t xml:space="preserve"> In dat laatste geval kan de Aanbestedende Dienst toepassing geven aan het bepaalde in de artikelen 2.163b t/m 2.163g Aw, maar is daartoe geenszins verplicht.</w:t>
      </w:r>
    </w:p>
    <w:p w:rsidR="00B452ED" w:rsidP="00B452ED" w:rsidRDefault="00B452ED" w14:paraId="0B6788B1" w14:textId="77777777">
      <w:pPr>
        <w:pStyle w:val="Kop2"/>
      </w:pPr>
      <w:bookmarkStart w:name="_Toc205383334" w:id="44"/>
      <w:r>
        <w:t>Rechtsbescherming</w:t>
      </w:r>
      <w:bookmarkEnd w:id="44"/>
    </w:p>
    <w:p w:rsidRPr="00555C9B" w:rsidR="00B452ED" w:rsidP="00B452ED" w:rsidRDefault="00B452ED" w14:paraId="1DF3A66D" w14:textId="129B40F4">
      <w:pPr>
        <w:suppressAutoHyphens/>
      </w:pPr>
      <w:r w:rsidRPr="00555C9B">
        <w:t>Indien een Inschrijver bezwaar heeft tegen de gunningsbeslissing van de Aanbestedende Dienst, dan dient deze Inschrijver een kort</w:t>
      </w:r>
      <w:r w:rsidR="00E20BCE">
        <w:t xml:space="preserve"> </w:t>
      </w:r>
      <w:r w:rsidRPr="00555C9B">
        <w:t>geding aanhangig maken</w:t>
      </w:r>
      <w:r w:rsidR="003A5036">
        <w:t>. Dat doet een Inschrijver</w:t>
      </w:r>
      <w:r w:rsidRPr="00555C9B">
        <w:t xml:space="preserve">door binnen een termijn van 20 kalenderdagen </w:t>
      </w:r>
      <w:r w:rsidRPr="00810962" w:rsidR="00E0634D">
        <w:t xml:space="preserve">na het ontvangen van de gunningsbeslissing </w:t>
      </w:r>
      <w:r w:rsidRPr="00555C9B">
        <w:t xml:space="preserve">een kortgedingdagvaarding </w:t>
      </w:r>
      <w:r w:rsidR="0063136B">
        <w:t xml:space="preserve">te laten </w:t>
      </w:r>
      <w:r w:rsidR="00851DC2">
        <w:t xml:space="preserve">betekenen </w:t>
      </w:r>
      <w:r w:rsidRPr="00555C9B">
        <w:t xml:space="preserve">aan het adres van de Aanbestedende Dienst. De Inschrijver moet alle entiteiten die onderdeel zijn van de Aanbestedende Dienst daadwerkelijk </w:t>
      </w:r>
      <w:r w:rsidRPr="00810962" w:rsidR="00E0634D">
        <w:t xml:space="preserve">dagvaarden, maar de Inschrijver </w:t>
      </w:r>
      <w:r w:rsidR="00E0634D">
        <w:t xml:space="preserve">kan volstaan met het betekenen van </w:t>
      </w:r>
      <w:r w:rsidRPr="00810962" w:rsidR="00E0634D">
        <w:t>één dagvaarding</w:t>
      </w:r>
      <w:r w:rsidRPr="00555C9B" w:rsidR="00E0634D">
        <w:t xml:space="preserve"> ten aanzien van elk der entiteiten </w:t>
      </w:r>
      <w:r w:rsidR="00E0634D">
        <w:t xml:space="preserve">te betekenen </w:t>
      </w:r>
      <w:r w:rsidRPr="00555C9B" w:rsidR="00E0634D">
        <w:t xml:space="preserve">aan het adres van </w:t>
      </w:r>
      <w:r w:rsidR="00E0634D">
        <w:t>d</w:t>
      </w:r>
      <w:r w:rsidRPr="00555C9B" w:rsidR="00E0634D">
        <w:t>e Aanbestedende Dienst te Arnhem.</w:t>
      </w:r>
      <w:r w:rsidR="00E0634D">
        <w:t xml:space="preserve"> </w:t>
      </w:r>
      <w:r>
        <w:t xml:space="preserve">Het kortgeding dient aanhangig te worden gemaakt bij de Rechtbank Den Haag. </w:t>
      </w:r>
    </w:p>
    <w:p w:rsidRPr="00555C9B" w:rsidR="00B452ED" w:rsidP="00B452ED" w:rsidRDefault="00B452ED" w14:paraId="274458F3" w14:textId="77777777">
      <w:pPr>
        <w:suppressAutoHyphens/>
      </w:pPr>
    </w:p>
    <w:p w:rsidRPr="00555C9B" w:rsidR="00B452ED" w:rsidP="00B452ED" w:rsidRDefault="00B452ED" w14:paraId="04152258" w14:textId="50C26633">
      <w:pPr>
        <w:suppressAutoHyphens/>
      </w:pPr>
      <w:r w:rsidRPr="00555C9B">
        <w:t>De standstiltermijn van 20 dagen betreft een contractueel vervalbeding; de Inschrijver verwerkt zijn rechten als hij deze termijn ongebruikt laat verstrijken. De Aanbestedende Dienst past op deze termijn vrijwillig de Algemene termijnenwet toe, hetgeen inhoudt dat als de standstil</w:t>
      </w:r>
      <w:r w:rsidR="00D37476">
        <w:t>- en verval</w:t>
      </w:r>
      <w:r w:rsidRPr="00555C9B">
        <w:t xml:space="preserve">termijn bijvoorbeeld op een zondag </w:t>
      </w:r>
      <w:r w:rsidR="004C720B">
        <w:t>eindigt</w:t>
      </w:r>
      <w:r w:rsidR="00357B5E">
        <w:t xml:space="preserve">, </w:t>
      </w:r>
      <w:r w:rsidRPr="00555C9B">
        <w:t>de standstil</w:t>
      </w:r>
      <w:r w:rsidR="00D37476">
        <w:t>- en verval</w:t>
      </w:r>
      <w:r w:rsidRPr="00555C9B">
        <w:t xml:space="preserve">termijn automatisch wordt verlengd tot </w:t>
      </w:r>
      <w:r w:rsidR="0033722E">
        <w:t xml:space="preserve">en met </w:t>
      </w:r>
      <w:r w:rsidRPr="00555C9B">
        <w:t xml:space="preserve">de daaropvolgende </w:t>
      </w:r>
      <w:r w:rsidR="00E0634D">
        <w:t>werkdag</w:t>
      </w:r>
      <w:r w:rsidRPr="00555C9B">
        <w:t>. Deze regeling past de Aanbestedende Dienst ook toe in het geval de standstil</w:t>
      </w:r>
      <w:r w:rsidR="005514A1">
        <w:t>- en verval</w:t>
      </w:r>
      <w:r w:rsidRPr="00555C9B">
        <w:t xml:space="preserve">termijn eindigt op een zogenaamde “explootvrije dag”, zoals vaak de vrijdag na Hemelvaartsdag of Bevrijdingsdag. Eventuele verzoeken om een nadere toelichting op de gunningsbeslissing en een daarop eventueel door de Aanbestedende Dienst verstrekte toelichting laten deze vervaltermijn onverlet. </w:t>
      </w:r>
    </w:p>
    <w:p w:rsidRPr="00555C9B" w:rsidR="00B452ED" w:rsidP="00B452ED" w:rsidRDefault="00B452ED" w14:paraId="39D3490F" w14:textId="77777777">
      <w:pPr>
        <w:suppressAutoHyphens/>
      </w:pPr>
    </w:p>
    <w:p w:rsidRPr="00555C9B" w:rsidR="00E0634D" w:rsidP="00E0634D" w:rsidRDefault="00E0634D" w14:paraId="79A69C0A" w14:textId="4CD783E6">
      <w:pPr>
        <w:suppressAutoHyphens/>
        <w:ind w:left="720"/>
        <w:rPr>
          <w:b/>
          <w:bCs/>
        </w:rPr>
      </w:pPr>
      <w:r w:rsidRPr="00555C9B">
        <w:rPr>
          <w:b/>
          <w:bCs/>
        </w:rPr>
        <w:t xml:space="preserve">Let op: Inschrijver dient </w:t>
      </w:r>
      <w:r>
        <w:rPr>
          <w:b/>
          <w:bCs/>
        </w:rPr>
        <w:t>een kopie van de beteken</w:t>
      </w:r>
      <w:r w:rsidRPr="00555C9B">
        <w:rPr>
          <w:b/>
          <w:bCs/>
        </w:rPr>
        <w:t>de dagvaarding</w:t>
      </w:r>
      <w:r>
        <w:rPr>
          <w:b/>
          <w:bCs/>
        </w:rPr>
        <w:t xml:space="preserve"> binnen twee (2) werkdagen na betekening</w:t>
      </w:r>
      <w:r w:rsidRPr="00555C9B">
        <w:rPr>
          <w:b/>
          <w:bCs/>
        </w:rPr>
        <w:t xml:space="preserve"> via TenderNed te versturen aan de contactpersoon zoals vermeld in paragraaf </w:t>
      </w:r>
      <w:r>
        <w:rPr>
          <w:b/>
          <w:bCs/>
        </w:rPr>
        <w:t xml:space="preserve">4.2 </w:t>
      </w:r>
      <w:r w:rsidRPr="00555C9B">
        <w:rPr>
          <w:b/>
          <w:bCs/>
        </w:rPr>
        <w:t xml:space="preserve">Beschrijvend Document. Niet naleving van dit voorschrift leidt </w:t>
      </w:r>
      <w:r>
        <w:rPr>
          <w:b/>
          <w:bCs/>
        </w:rPr>
        <w:t>tot niet-ontvankelijkheid in het kortgeding</w:t>
      </w:r>
      <w:r w:rsidRPr="00555C9B">
        <w:rPr>
          <w:b/>
          <w:bCs/>
        </w:rPr>
        <w:t xml:space="preserve">. </w:t>
      </w:r>
    </w:p>
    <w:p w:rsidRPr="00555C9B" w:rsidR="00B452ED" w:rsidP="00B452ED" w:rsidRDefault="00B452ED" w14:paraId="07BD1270" w14:textId="77777777">
      <w:pPr>
        <w:suppressAutoHyphens/>
        <w:ind w:left="720"/>
        <w:rPr>
          <w:b/>
          <w:bCs/>
        </w:rPr>
      </w:pPr>
    </w:p>
    <w:p w:rsidRPr="00555C9B" w:rsidR="00B452ED" w:rsidP="00B452ED" w:rsidRDefault="00B452ED" w14:paraId="7B790E41" w14:textId="77777777">
      <w:pPr>
        <w:suppressAutoHyphens/>
        <w:ind w:left="720"/>
      </w:pPr>
      <w:r w:rsidRPr="00555C9B">
        <w:rPr>
          <w:b/>
          <w:bCs/>
        </w:rPr>
        <w:t xml:space="preserve">Het belang van dit voorschrift (en de daarop gestelde sanctie) is gelegen in het feit dat als gevolg van administratieve processen het enige tijd kan duren voordat de dagvaarding intern bij de juiste persoon terecht komt. Voorkomen moet worden dat de </w:t>
      </w:r>
      <w:r>
        <w:rPr>
          <w:b/>
          <w:bCs/>
        </w:rPr>
        <w:t>O</w:t>
      </w:r>
      <w:r w:rsidRPr="00555C9B">
        <w:rPr>
          <w:b/>
          <w:bCs/>
        </w:rPr>
        <w:t>pdracht gedurende deze administratieve verwerking (ten onrechte) definitief wordt gegund, zulks met alle gevolgen van dien.</w:t>
      </w:r>
    </w:p>
    <w:p w:rsidRPr="00555C9B" w:rsidR="00B452ED" w:rsidP="00B452ED" w:rsidRDefault="00B452ED" w14:paraId="6E24BCF6" w14:textId="77777777">
      <w:pPr>
        <w:suppressAutoHyphens/>
      </w:pPr>
    </w:p>
    <w:p w:rsidR="00E0634D" w:rsidP="00E0634D" w:rsidRDefault="00E0634D" w14:paraId="12721232" w14:textId="77777777">
      <w:pPr>
        <w:suppressAutoHyphens/>
      </w:pPr>
      <w:r w:rsidRPr="00555C9B">
        <w:t xml:space="preserve">De Aanbestedende Dienst </w:t>
      </w:r>
      <w:r>
        <w:t>stelt</w:t>
      </w:r>
      <w:r w:rsidRPr="00555C9B">
        <w:t xml:space="preserve"> de overige Inschrijvers op de hoogte indien en voor zover er een kort geding aanhangig is gemaakt. </w:t>
      </w:r>
    </w:p>
    <w:p w:rsidR="00E0634D" w:rsidP="00E0634D" w:rsidRDefault="00E0634D" w14:paraId="3D30C023" w14:textId="77777777">
      <w:pPr>
        <w:suppressAutoHyphens/>
      </w:pPr>
    </w:p>
    <w:p w:rsidRPr="00555C9B" w:rsidR="00B452ED" w:rsidP="00E0634D" w:rsidRDefault="00E0634D" w14:paraId="1247CC7E" w14:textId="30C06B09">
      <w:pPr>
        <w:suppressAutoHyphens/>
      </w:pPr>
      <w:r>
        <w:t>De</w:t>
      </w:r>
      <w:r w:rsidRPr="00555C9B">
        <w:t xml:space="preserve"> Inschrijver</w:t>
      </w:r>
      <w:r>
        <w:t xml:space="preserve"> aan wie </w:t>
      </w:r>
      <w:r w:rsidRPr="00555C9B">
        <w:t xml:space="preserve">de Aanbestedende Dienst de </w:t>
      </w:r>
      <w:r>
        <w:t>O</w:t>
      </w:r>
      <w:r w:rsidRPr="00555C9B">
        <w:t xml:space="preserve">pdracht voorlopig heeft gegund, </w:t>
      </w:r>
      <w:r>
        <w:t>moet</w:t>
      </w:r>
      <w:r w:rsidRPr="00555C9B">
        <w:t xml:space="preserve"> in het kortgeding </w:t>
      </w:r>
      <w:r>
        <w:t>interveniëren</w:t>
      </w:r>
      <w:r w:rsidRPr="00555C9B">
        <w:t xml:space="preserve">, op straffe van verval van recht om - nadien - nog op te mogen komen tegen een eventueel gewijzigd gunningsvoornemen van de Aanbestedende Dienst. </w:t>
      </w:r>
      <w:r w:rsidRPr="00555C9B" w:rsidR="00B452ED">
        <w:t xml:space="preserve"> Andere Inschrijvers dienen binnen de voornoemde vervaltermijn van 20 dagen zelfstandig een kortgeding te entameren, zulks op straffe van verval van recht. Meeliften (bijvoorbeeld door middel van een interventie) op door andere Inschrijvers wel tijdig in kortgeding opgeworpen klachten is niet toegestaan.</w:t>
      </w:r>
    </w:p>
    <w:p w:rsidRPr="00555C9B" w:rsidR="00B452ED" w:rsidP="00B452ED" w:rsidRDefault="00B452ED" w14:paraId="677CC614" w14:textId="77777777">
      <w:pPr>
        <w:tabs>
          <w:tab w:val="left" w:pos="426"/>
          <w:tab w:val="left" w:pos="1134"/>
          <w:tab w:val="left" w:pos="1276"/>
          <w:tab w:val="left" w:pos="1418"/>
          <w:tab w:val="left" w:pos="1560"/>
        </w:tabs>
        <w:suppressAutoHyphens/>
        <w:ind w:left="1418"/>
      </w:pPr>
    </w:p>
    <w:p w:rsidRPr="00555C9B" w:rsidR="00B452ED" w:rsidP="00B452ED" w:rsidRDefault="00B452ED" w14:paraId="38C7D1F8" w14:textId="77777777">
      <w:pPr>
        <w:suppressAutoHyphens/>
      </w:pPr>
      <w:r w:rsidRPr="00555C9B">
        <w:t xml:space="preserve">Indien niet binnen de genoemde vervaltermijn een kort geding aanhangig is gemaakt, kunnen de Inschrijvers geen bezwaar meer maken tegen de (uitkomst van de) aanbestedingsprocedure en hebben zij hun eventuele rechten ter zake daarvan verwerkt. De Aanbestedende Dienst is in dat geval dan ook vrij om eventueel gevolg te geven aan de gunningsbeslissing. </w:t>
      </w:r>
    </w:p>
    <w:p w:rsidRPr="00555C9B" w:rsidR="00B452ED" w:rsidP="00B452ED" w:rsidRDefault="00B452ED" w14:paraId="64CEF5BA" w14:textId="77777777">
      <w:pPr>
        <w:suppressAutoHyphens/>
      </w:pPr>
    </w:p>
    <w:p w:rsidR="00B452ED" w:rsidP="00B452ED" w:rsidRDefault="00B452ED" w14:paraId="431BA487" w14:textId="0FD20DEE">
      <w:pPr>
        <w:suppressAutoHyphens/>
      </w:pPr>
      <w:r w:rsidRPr="00555C9B">
        <w:t>De Inschrijvers hebben in genoemd geval evenzeer hun rechten verwerkt om in een (bodem)procedure een vordering tot schadevergoeding in te stellen.</w:t>
      </w:r>
    </w:p>
    <w:p w:rsidR="00B452ED" w:rsidP="00B452ED" w:rsidRDefault="00B452ED" w14:paraId="1683B553" w14:textId="77777777">
      <w:pPr>
        <w:pStyle w:val="Kop2"/>
      </w:pPr>
      <w:bookmarkStart w:name="_Toc205383335" w:id="45"/>
      <w:r>
        <w:t>Taal</w:t>
      </w:r>
      <w:bookmarkEnd w:id="45"/>
    </w:p>
    <w:p w:rsidRPr="00555C9B" w:rsidR="00B452ED" w:rsidP="00B452ED" w:rsidRDefault="00B452ED" w14:paraId="55CFE24E" w14:textId="77777777">
      <w:pPr>
        <w:suppressAutoHyphens/>
      </w:pPr>
      <w:r w:rsidRPr="00555C9B">
        <w:t xml:space="preserve">Alle bij deze aanbesteding te voeren correspondentie en in te dienen stukken dienen in de Nederlandse taal te worden opgesteld, dan wel voorzien te worden van een vertaling in de Nederlandse taal. In het laatste geval is de vertaling in het Nederlands leidend. De </w:t>
      </w:r>
      <w:r w:rsidRPr="00555C9B">
        <w:t>Aanbestedende Dienst kan, op verzoek, voorafgaande dispensatie verlenen voor deze eis. De Aanbestedende Dienst zal deze dispensatie niet op onredelijke gronden onthouden.</w:t>
      </w:r>
    </w:p>
    <w:p w:rsidRPr="00555C9B" w:rsidR="00B452ED" w:rsidP="00B452ED" w:rsidRDefault="00B452ED" w14:paraId="2329AA2C" w14:textId="77777777">
      <w:pPr>
        <w:tabs>
          <w:tab w:val="left" w:pos="426"/>
          <w:tab w:val="left" w:pos="1134"/>
          <w:tab w:val="left" w:pos="1276"/>
          <w:tab w:val="left" w:pos="1418"/>
          <w:tab w:val="left" w:pos="1560"/>
        </w:tabs>
        <w:suppressAutoHyphens/>
        <w:ind w:left="1418"/>
      </w:pPr>
    </w:p>
    <w:p w:rsidR="00B452ED" w:rsidP="00C34F80" w:rsidRDefault="00B452ED" w14:paraId="044FC476" w14:textId="358A6EDE">
      <w:pPr>
        <w:suppressAutoHyphens/>
      </w:pPr>
      <w:r w:rsidRPr="00555C9B">
        <w:t>Correspondentie en/of stukken opgesteld in een andere taal dan de Nederlandse taal of niet voorzien van een vertaling in de Nederlandse taal, worden geacht niet te zijn ontvangen door de Aanbestedende Dienst. Dit gevolg kan ertoe leiden dat de Inschrijving onvolledig is en dus terzijde wordt geschoven.</w:t>
      </w:r>
    </w:p>
    <w:p w:rsidR="00B452ED" w:rsidP="00B452ED" w:rsidRDefault="00B452ED" w14:paraId="0330A8B4" w14:textId="77777777">
      <w:pPr>
        <w:pStyle w:val="Kop2"/>
      </w:pPr>
      <w:bookmarkStart w:name="_Toc205383336" w:id="46"/>
      <w:r>
        <w:t>Termijn van gestanddoening</w:t>
      </w:r>
      <w:bookmarkEnd w:id="46"/>
    </w:p>
    <w:p w:rsidRPr="00555C9B" w:rsidR="00B452ED" w:rsidP="00B452ED" w:rsidRDefault="00B452ED" w14:paraId="7CC4BFF4" w14:textId="77777777">
      <w:pPr>
        <w:suppressAutoHyphens/>
      </w:pPr>
      <w:r w:rsidRPr="00555C9B">
        <w:t>De termijn van gestanddoening van de Inschrijving is 120 kalenderdagen na de dag waarop de Inschrijving heeft plaatsgevonden.</w:t>
      </w:r>
    </w:p>
    <w:p w:rsidRPr="00555C9B" w:rsidR="00B452ED" w:rsidP="00B452ED" w:rsidRDefault="00B452ED" w14:paraId="2304E72F" w14:textId="77777777">
      <w:pPr>
        <w:tabs>
          <w:tab w:val="left" w:pos="426"/>
          <w:tab w:val="left" w:pos="1134"/>
          <w:tab w:val="left" w:pos="1276"/>
          <w:tab w:val="left" w:pos="1418"/>
          <w:tab w:val="left" w:pos="1560"/>
        </w:tabs>
        <w:suppressAutoHyphens/>
        <w:ind w:left="1418"/>
      </w:pPr>
    </w:p>
    <w:p w:rsidRPr="00555C9B" w:rsidR="00B452ED" w:rsidP="00B452ED" w:rsidRDefault="00B452ED" w14:paraId="0E25C414" w14:textId="14EA5208">
      <w:pPr>
        <w:suppressAutoHyphens/>
      </w:pPr>
      <w:bookmarkStart w:name="_Hlk185500081" w:id="47"/>
      <w:r w:rsidRPr="00555C9B">
        <w:t xml:space="preserve">In het geval een kort geding aanhangig is gemaakt en de gestanddoeningstermijn verloopt voordat vonnis is gewezen, wordt de gestanddoeningstermijn van rechtswege verlengd tot </w:t>
      </w:r>
      <w:r>
        <w:t>6</w:t>
      </w:r>
      <w:r w:rsidRPr="00555C9B">
        <w:t xml:space="preserve">0 kalenderdagen na de dag waarop het vonnis  </w:t>
      </w:r>
      <w:r w:rsidR="002E1027">
        <w:t>i</w:t>
      </w:r>
      <w:r w:rsidR="000A5CF4">
        <w:t>n kracht van gewijsde is gegaan</w:t>
      </w:r>
      <w:r w:rsidRPr="00555C9B" w:rsidR="000A5CF4">
        <w:t>.</w:t>
      </w:r>
    </w:p>
    <w:bookmarkEnd w:id="47"/>
    <w:p w:rsidRPr="00555C9B" w:rsidR="00B452ED" w:rsidP="00B452ED" w:rsidRDefault="00B452ED" w14:paraId="59DFEA1D" w14:textId="77777777">
      <w:pPr>
        <w:suppressAutoHyphens/>
      </w:pPr>
    </w:p>
    <w:p w:rsidR="00B452ED" w:rsidP="00C34F80" w:rsidRDefault="00B452ED" w14:paraId="741D9B21" w14:textId="4723BAA5">
      <w:pPr>
        <w:suppressAutoHyphens/>
      </w:pPr>
      <w:r w:rsidRPr="00555C9B">
        <w:t>De Aanbestedende Dienst kan Inschrijvers ook verzoeken om de gestanddoeningstermijn van hun Inschrijving expliciet te verlengen. Daaraan kan een Inschrijver geen recht op gunning van de Opdracht ontlenen.</w:t>
      </w:r>
    </w:p>
    <w:p w:rsidR="006C340F" w:rsidP="006C340F" w:rsidRDefault="006C340F" w14:paraId="2ED54696" w14:textId="77777777">
      <w:pPr>
        <w:pStyle w:val="Kop2"/>
      </w:pPr>
      <w:bookmarkStart w:name="_Toc205383337" w:id="48"/>
      <w:r>
        <w:t>Valse verklaringen</w:t>
      </w:r>
      <w:bookmarkEnd w:id="48"/>
    </w:p>
    <w:p w:rsidRPr="00555C9B" w:rsidR="006C340F" w:rsidP="006C340F" w:rsidRDefault="006C340F" w14:paraId="4701BD3C" w14:textId="77777777">
      <w:pPr>
        <w:spacing w:before="100" w:beforeAutospacing="1" w:after="100" w:afterAutospacing="1"/>
      </w:pPr>
      <w:r w:rsidRPr="00555C9B">
        <w:t>De Aanbestedende Dienst behoudt zich het recht voor om alle verstrekte informatie op juistheid te controleren, al dan niet in overleg met de Inschrijver. De Aanbestede</w:t>
      </w:r>
      <w:r>
        <w:t>nde Dienst</w:t>
      </w:r>
      <w:r w:rsidRPr="00555C9B">
        <w:t xml:space="preserve"> behoudt zich in dat kader het recht voor om de deugdelijkheid van alle verstrekte informatie te (laten) verifiëren, door middel van bijvoorbeeld een gesprek, bedrijfsbezoeken, het inwinnen van nadere informatie en/of het verkrijgen van inzicht in de te leveren producten en/of diensten. De Inschrijver is verplicht hieraan medewerking te verlenen. Deze verificatie kan zich ook uitstrekken tot de in de voorgaande fasen aangeleverde informatie.</w:t>
      </w:r>
    </w:p>
    <w:p w:rsidRPr="00555C9B" w:rsidR="006C340F" w:rsidP="006C340F" w:rsidRDefault="006C340F" w14:paraId="28C59159" w14:textId="77777777">
      <w:pPr>
        <w:suppressAutoHyphens/>
      </w:pPr>
      <w:r w:rsidRPr="00555C9B">
        <w:t xml:space="preserve">De Aanbestedende Dienst wijst er met klem op dat verklaringen die achteraf onjuistheden blijken te bevatten of toezeggingen bevatten die niet (kunnen) worden waargemaakt, door de Aanbestedende Dienst worden aangemerkt als valse verklaringen in de zin van artikel 2.87 lid 1 sub h Aanbestedingswet. De gevraagde informatie dient om deze reden zeer zorgvuldig te worden aangeleverd. Valse verklaringen in of tijdens de aanbestedingsprocedure kunnen ook een reden vormen voor de Aanbestedende Dienst om over te gaan tot ontbinding en/of opzegging (per direct) van de gesloten </w:t>
      </w:r>
      <w:r>
        <w:t>O</w:t>
      </w:r>
      <w:r w:rsidRPr="00555C9B">
        <w:t xml:space="preserve">vereenkomst. </w:t>
      </w:r>
    </w:p>
    <w:p w:rsidRPr="00555C9B" w:rsidR="006C340F" w:rsidP="006C340F" w:rsidRDefault="006C340F" w14:paraId="3E65C20C" w14:textId="77777777">
      <w:pPr>
        <w:spacing w:before="100" w:beforeAutospacing="1" w:after="100" w:afterAutospacing="1"/>
      </w:pPr>
      <w:r w:rsidRPr="00555C9B">
        <w:t xml:space="preserve">Van een verificatie(gesprek) wordt een verslag gemaakt dat deel uitmaakt van de </w:t>
      </w:r>
      <w:r w:rsidRPr="00555C9B">
        <w:br/>
      </w:r>
      <w:r>
        <w:t>O</w:t>
      </w:r>
      <w:r w:rsidRPr="00555C9B">
        <w:t>vereenkomst.</w:t>
      </w:r>
    </w:p>
    <w:p w:rsidR="006C340F" w:rsidP="006C340F" w:rsidRDefault="006C340F" w14:paraId="60D22178" w14:textId="77777777">
      <w:pPr>
        <w:pStyle w:val="Kop2"/>
      </w:pPr>
      <w:bookmarkStart w:name="_Toc205383338" w:id="49"/>
      <w:r>
        <w:t>Onduidelijkheden en onregelmatigheden</w:t>
      </w:r>
      <w:bookmarkEnd w:id="49"/>
    </w:p>
    <w:p w:rsidR="0090736D" w:rsidP="006C340F" w:rsidRDefault="006C340F" w14:paraId="49828CFF" w14:textId="6F46A37A">
      <w:pPr>
        <w:spacing w:before="100" w:beforeAutospacing="1" w:after="100" w:afterAutospacing="1"/>
      </w:pPr>
      <w:bookmarkStart w:name="_Hlk185500156" w:id="50"/>
      <w:r w:rsidRPr="00D8278C">
        <w:t xml:space="preserve">LET OP: Door het indienen van een Inschrijving </w:t>
      </w:r>
      <w:r w:rsidR="005964F7">
        <w:t xml:space="preserve">en het rechtsgeldig ondertekenen van het UEA </w:t>
      </w:r>
      <w:r w:rsidRPr="00D8278C">
        <w:t xml:space="preserve">verklaart een Inschrijver zich onvoorwaardelijk en zonder enig voorbehoud akkoord met </w:t>
      </w:r>
      <w:r w:rsidRPr="00D8278C">
        <w:t>alle bepalingen van de definitieve Overeenkomst[en] en de van toepassing zijnde Inkoopvoorwaarden</w:t>
      </w:r>
      <w:r w:rsidR="00423BA4">
        <w:t>.</w:t>
      </w:r>
      <w:r w:rsidRPr="00D8278C">
        <w:t xml:space="preserve"> </w:t>
      </w:r>
      <w:r w:rsidR="0090736D">
        <w:t xml:space="preserve">Het niet rechtsgeldig ondertekenen van een UEA leidt tot het terzijde leggen van de Inschrijving. </w:t>
      </w:r>
    </w:p>
    <w:bookmarkEnd w:id="50"/>
    <w:p w:rsidR="006C340F" w:rsidP="006C340F" w:rsidRDefault="006C340F" w14:paraId="785AF3FF" w14:textId="77F6936C">
      <w:pPr>
        <w:spacing w:before="100" w:beforeAutospacing="1" w:after="100" w:afterAutospacing="1"/>
      </w:pPr>
      <w:r w:rsidRPr="00D8278C">
        <w:t xml:space="preserve">Dat heeft tot gevolg dat Inschrijvers die onduidelijkheden, tegenstrijdigheden en/of onrechtmatigheden in de Aanbestedingsstukken niet uiterlijk via de Nota van Inlichtingen onder de aandacht brengen bij de Aanbestedende Dienst hun recht verwerken om op een later moment een beroep te doen op deze onduidelijkheden, tegenstrijdigheden en/of onrechtmatigheden. </w:t>
      </w:r>
    </w:p>
    <w:p w:rsidRPr="00D8278C" w:rsidR="00E0634D" w:rsidP="006C340F" w:rsidRDefault="00E0634D" w14:paraId="544F840F" w14:textId="189761B9">
      <w:pPr>
        <w:spacing w:before="100" w:beforeAutospacing="1" w:after="100" w:afterAutospacing="1"/>
      </w:pPr>
      <w:r>
        <w:t xml:space="preserve">De verplichting om onduidelijkheden, onjuistheden en/ of onregelmatigheden uiterlijk in de Nota van Inlichtingen op de in dit Beschrijvend Document beschreven manier onder de aandacht van de Aanbestedende Dienst te brengen, geldt ook voor ondernemers die </w:t>
      </w:r>
      <w:r w:rsidR="008870C1">
        <w:t xml:space="preserve">wel vragen stellen, maar </w:t>
      </w:r>
      <w:r>
        <w:t>uiteindelijk besluiten geen Inschrijving in te dienen. Ook zij verwerken hun rechten als zij niet uiterlijk in de Nota van Inlichtingen hun bezwaren kenbaar hebben gemaakt.</w:t>
      </w:r>
    </w:p>
    <w:p w:rsidR="006C340F" w:rsidP="006C340F" w:rsidRDefault="006C340F" w14:paraId="098A0832" w14:textId="77777777">
      <w:pPr>
        <w:pStyle w:val="Kop2"/>
      </w:pPr>
      <w:bookmarkStart w:name="_Toc205383339" w:id="51"/>
      <w:r>
        <w:t>Vertrouwelijkheid</w:t>
      </w:r>
      <w:bookmarkEnd w:id="51"/>
    </w:p>
    <w:p w:rsidR="006C340F" w:rsidP="00C34F80" w:rsidRDefault="006C340F" w14:paraId="508A7D69" w14:textId="5E608E20">
      <w:pPr>
        <w:suppressAutoHyphens/>
      </w:pPr>
      <w:r w:rsidRPr="00555C9B">
        <w:t xml:space="preserve">De Inschrijver dient dit Beschrijvend Document en de overige Aanbestedingsstukken vertrouwelijk te behandelen en slechts aan personen te verstrekken die voor het indienen van de Inschrijving daarvan kennis moeten nemen. </w:t>
      </w:r>
    </w:p>
    <w:p w:rsidR="006C340F" w:rsidP="006C340F" w:rsidRDefault="006C340F" w14:paraId="6BFA0041" w14:textId="77777777">
      <w:pPr>
        <w:pStyle w:val="Kop2"/>
      </w:pPr>
      <w:bookmarkStart w:name="_Toc205383340" w:id="52"/>
      <w:r>
        <w:t>Algemene voorwaarden</w:t>
      </w:r>
      <w:bookmarkEnd w:id="52"/>
    </w:p>
    <w:p w:rsidRPr="00555C9B" w:rsidR="006C340F" w:rsidP="006C340F" w:rsidRDefault="006C340F" w14:paraId="70E8B904" w14:textId="77777777">
      <w:pPr>
        <w:suppressAutoHyphens/>
      </w:pPr>
      <w:r w:rsidRPr="00555C9B">
        <w:t xml:space="preserve">Van toepassing zijn de Inkoopvoorwaarden. </w:t>
      </w:r>
    </w:p>
    <w:p w:rsidRPr="00555C9B" w:rsidR="006C340F" w:rsidP="006C340F" w:rsidRDefault="006C340F" w14:paraId="2B0ED4F3" w14:textId="77777777">
      <w:pPr>
        <w:suppressAutoHyphens/>
      </w:pPr>
    </w:p>
    <w:p w:rsidR="006C340F" w:rsidP="00C34F80" w:rsidRDefault="006C340F" w14:paraId="397C7578" w14:textId="564036B3">
      <w:pPr>
        <w:suppressAutoHyphens/>
      </w:pPr>
      <w:r w:rsidRPr="00555C9B">
        <w:t>Algemene voorwaarden van de Inschrijver, in welke vorm of met welke benaming dan ook, zijn uitdrukkelijk niet van toepassing en worden (op voorhand) uitdrukkelijk van de hand gewezen. Een Inschrijver die algemene voorwaarden op zijn Inschrijving van toepassing verklaart, wordt uitgesloten van verdere deelname aan de aanbestedingsprocedure.</w:t>
      </w:r>
    </w:p>
    <w:p w:rsidR="006C340F" w:rsidP="006C340F" w:rsidRDefault="006C340F" w14:paraId="76B33FF4" w14:textId="77777777">
      <w:pPr>
        <w:pStyle w:val="Kop2"/>
      </w:pPr>
      <w:bookmarkStart w:name="_Toc205383341" w:id="53"/>
      <w:r>
        <w:t>Intrekken aanbestedingsprocedure</w:t>
      </w:r>
      <w:bookmarkEnd w:id="53"/>
    </w:p>
    <w:p w:rsidRPr="00555C9B" w:rsidR="006C340F" w:rsidP="00E0634D" w:rsidRDefault="006C340F" w14:paraId="55A958CB" w14:textId="77777777">
      <w:pPr>
        <w:suppressAutoHyphens/>
        <w:jc w:val="both"/>
      </w:pPr>
      <w:r w:rsidRPr="00555C9B">
        <w:t xml:space="preserve">De Aanbestedende Dienst behoudt zich het recht voor om tot het moment van definitieve gunning de aanbestedingsprocedure tijdelijk op te schorten en/of in te trekken. </w:t>
      </w:r>
    </w:p>
    <w:p w:rsidR="00E63D77" w:rsidP="00E63D77" w:rsidRDefault="00E63D77" w14:paraId="5CC045FA" w14:textId="5358012D">
      <w:pPr>
        <w:pStyle w:val="Kop2"/>
      </w:pPr>
      <w:bookmarkStart w:name="_Toc205383342" w:id="54"/>
      <w:r>
        <w:t>Klachtenprocedure aanbestedingen NIPV</w:t>
      </w:r>
      <w:bookmarkEnd w:id="54"/>
    </w:p>
    <w:p w:rsidRPr="00CC4BB0" w:rsidR="00CC4BB0" w:rsidP="001D0921" w:rsidRDefault="00CC4BB0" w14:paraId="3C5C25A0" w14:textId="2268E576">
      <w:bookmarkStart w:name="_Hlk185500230" w:id="55"/>
      <w:r w:rsidRPr="00CC4BB0">
        <w:t>In het kader van het flankerend beleid bij de Aanbestedingswet heeft het Ministerie van</w:t>
      </w:r>
      <w:r w:rsidR="00926C73">
        <w:t xml:space="preserve"> </w:t>
      </w:r>
      <w:r w:rsidRPr="00CC4BB0">
        <w:t>Economische Zaken en Klimaat in samenwerking met PIANOo het advies ‘Klachtafhandeling</w:t>
      </w:r>
      <w:r w:rsidR="00926C73">
        <w:t xml:space="preserve"> </w:t>
      </w:r>
      <w:r w:rsidRPr="00CC4BB0">
        <w:t>bij Aanbesteden’ opgesteld. Dit advies biedt ondernemers en aanbestedende diensten een</w:t>
      </w:r>
      <w:r w:rsidR="00926C73">
        <w:t xml:space="preserve"> </w:t>
      </w:r>
      <w:r w:rsidRPr="00CC4BB0">
        <w:t>laagdrempelig instrument voor het oplossen van geschillen met betrekking tot</w:t>
      </w:r>
      <w:r w:rsidR="00926C73">
        <w:t xml:space="preserve"> </w:t>
      </w:r>
      <w:r w:rsidRPr="00CC4BB0">
        <w:t>aanbestedingsprocedures waarop de Aanbestedingswet van toepassing is.</w:t>
      </w:r>
    </w:p>
    <w:p w:rsidRPr="00CC4BB0" w:rsidR="00CC4BB0" w:rsidP="001D0921" w:rsidRDefault="00CC4BB0" w14:paraId="361C32D5" w14:textId="77777777"/>
    <w:p w:rsidRPr="00CC4BB0" w:rsidR="00CC4BB0" w:rsidP="001D0921" w:rsidRDefault="00CC4BB0" w14:paraId="39A9F445" w14:textId="66CB5D9E">
      <w:r w:rsidRPr="00CC4BB0">
        <w:t>Een Inschrijver die klachten heeft over de Aanbestedende Dienst of de handelswijze (een</w:t>
      </w:r>
      <w:r w:rsidR="00926C73">
        <w:t xml:space="preserve"> </w:t>
      </w:r>
      <w:r w:rsidRPr="00CC4BB0">
        <w:t>handelen of nalaten) van de Aanbestedende Dienst in het kader van deze</w:t>
      </w:r>
    </w:p>
    <w:p w:rsidRPr="00CC4BB0" w:rsidR="00CC4BB0" w:rsidP="001D0921" w:rsidRDefault="00CC4BB0" w14:paraId="2B7F45ED" w14:textId="49A9B3F0">
      <w:r w:rsidRPr="00CC4BB0">
        <w:t>aanbestedingsprocedure, kan zijn klachten voorleggen aan het klachtenmeldpunt van de</w:t>
      </w:r>
      <w:r w:rsidR="00926C73">
        <w:t xml:space="preserve"> </w:t>
      </w:r>
      <w:r w:rsidRPr="00CC4BB0">
        <w:t xml:space="preserve">Aanbestedende Dienst via </w:t>
      </w:r>
      <w:hyperlink w:history="1" r:id="rId16">
        <w:r w:rsidRPr="00CC4BB0">
          <w:rPr>
            <w:rStyle w:val="Hyperlink"/>
          </w:rPr>
          <w:t>klachtenmeldpunt.aanbestedingen@nipv.nl</w:t>
        </w:r>
      </w:hyperlink>
      <w:r w:rsidRPr="00CC4BB0">
        <w:t xml:space="preserve"> .</w:t>
      </w:r>
    </w:p>
    <w:p w:rsidRPr="00CC4BB0" w:rsidR="00CC4BB0" w:rsidP="001D0921" w:rsidRDefault="00CC4BB0" w14:paraId="4CAA5C34" w14:textId="77777777"/>
    <w:p w:rsidRPr="00CC4BB0" w:rsidR="00CC4BB0" w:rsidP="001D0921" w:rsidRDefault="00CC4BB0" w14:paraId="530A16F0" w14:textId="522CB7D9">
      <w:r w:rsidRPr="00CC4BB0">
        <w:t>Inschrijver dient zijn klacht in een zo vroeg mogelijk stadium en digitaal in door gebruik te</w:t>
      </w:r>
      <w:r w:rsidR="00926C73">
        <w:t xml:space="preserve"> </w:t>
      </w:r>
      <w:r w:rsidRPr="00CC4BB0">
        <w:t>maken van het klachtenformulier (bijlage 1</w:t>
      </w:r>
      <w:r w:rsidR="009F7D0D">
        <w:t>1</w:t>
      </w:r>
      <w:r w:rsidRPr="00CC4BB0">
        <w:t>) en deze per e-mail te richten aan het</w:t>
      </w:r>
      <w:r w:rsidR="00926C73">
        <w:t xml:space="preserve"> </w:t>
      </w:r>
      <w:r w:rsidRPr="00CC4BB0">
        <w:t>klachtenmeldpunt via het e-mailadres. Voordat Inschrijver zijn klacht indient bij he</w:t>
      </w:r>
      <w:r w:rsidR="00926C73">
        <w:t xml:space="preserve">t </w:t>
      </w:r>
      <w:r w:rsidRPr="00CC4BB0">
        <w:t>klachtenmeldpunt dient hij de klacht kenbaar te maken aan de contactpersoon van deze</w:t>
      </w:r>
      <w:r w:rsidR="00926C73">
        <w:t xml:space="preserve"> </w:t>
      </w:r>
      <w:r w:rsidRPr="00CC4BB0">
        <w:t>aanbesteding (zie paragraaf 4.2), bijvoorbeeld door het opmerken van de klacht in de Nota</w:t>
      </w:r>
      <w:r w:rsidR="00926C73">
        <w:t xml:space="preserve"> </w:t>
      </w:r>
      <w:r w:rsidRPr="00CC4BB0">
        <w:t>van Inlichtingenfase (zie paragraaf 4.5).</w:t>
      </w:r>
    </w:p>
    <w:p w:rsidRPr="00CC4BB0" w:rsidR="00CC4BB0" w:rsidP="001D0921" w:rsidRDefault="00CC4BB0" w14:paraId="451EE235" w14:textId="77777777"/>
    <w:p w:rsidRPr="00CC4BB0" w:rsidR="00CC4BB0" w:rsidP="001D0921" w:rsidRDefault="00CC4BB0" w14:paraId="20FE82E1" w14:textId="2CDB8CE2">
      <w:r w:rsidRPr="00CC4BB0">
        <w:t>De klacht van Inschrijver wordt onderzocht door de klachtencommissie die bestaat uit</w:t>
      </w:r>
      <w:r w:rsidR="00926C73">
        <w:t xml:space="preserve"> </w:t>
      </w:r>
      <w:r w:rsidRPr="00CC4BB0">
        <w:t>(minstens) twee functionarissen van team inkoop uit Veiligheidsregio’s die deelnemen aan</w:t>
      </w:r>
      <w:r w:rsidR="00926C73">
        <w:t xml:space="preserve"> </w:t>
      </w:r>
      <w:r w:rsidRPr="00CC4BB0">
        <w:t>dit klachtenreglement maar die niet betrokken zijn (geweest) bij de aanbesteding en/of het</w:t>
      </w:r>
      <w:r w:rsidR="00926C73">
        <w:t xml:space="preserve"> </w:t>
      </w:r>
      <w:r w:rsidRPr="00CC4BB0">
        <w:t>opstellen van de Beschrijvend Document waarover de klacht is ingediend. Naar aanleiding van haar onderzoek brengt de klachtencommissie schriftelijk advies uit aan de Aanbestedende Dienst of zij de klacht al dan niet gegrond acht en informeert de Aanbestedende Dienst welke maatregelen zij adviseert te treffen.</w:t>
      </w:r>
    </w:p>
    <w:p w:rsidRPr="00CC4BB0" w:rsidR="00CC4BB0" w:rsidP="001D0921" w:rsidRDefault="00CC4BB0" w14:paraId="5EEFAA88" w14:textId="77777777"/>
    <w:p w:rsidRPr="00CC4BB0" w:rsidR="00CC4BB0" w:rsidP="001D0921" w:rsidRDefault="00CC4BB0" w14:paraId="154ADB48" w14:textId="5DF4E315">
      <w:r w:rsidRPr="00CC4BB0">
        <w:t>Naar aanleiding van het advies van de klachtencommissie beslist de Aanbestedende Dienst</w:t>
      </w:r>
      <w:r w:rsidR="00926C73">
        <w:t xml:space="preserve"> </w:t>
      </w:r>
      <w:r w:rsidRPr="00CC4BB0">
        <w:t>of zij het advies van de klachtencommissie al dan niet opvolgt en welke maatregelen zij treft.</w:t>
      </w:r>
      <w:r w:rsidR="00926C73">
        <w:t xml:space="preserve"> </w:t>
      </w:r>
      <w:r w:rsidRPr="00CC4BB0">
        <w:t>Zie voor meer informatie over de klachtenprocedure van de Aanbestedende Dienst de</w:t>
      </w:r>
      <w:r w:rsidR="00926C73">
        <w:t xml:space="preserve"> </w:t>
      </w:r>
      <w:r w:rsidRPr="00CC4BB0">
        <w:t>procedure klachtenafhandeling bij (EU) aanbestedingen door de Aanbestedende Dienst</w:t>
      </w:r>
      <w:r w:rsidR="00926C73">
        <w:t xml:space="preserve"> </w:t>
      </w:r>
      <w:r w:rsidRPr="00CC4BB0">
        <w:t xml:space="preserve">(bijlage </w:t>
      </w:r>
      <w:r w:rsidR="009F7D0D">
        <w:t>10</w:t>
      </w:r>
      <w:r w:rsidRPr="00CC4BB0">
        <w:t>).</w:t>
      </w:r>
    </w:p>
    <w:bookmarkEnd w:id="55"/>
    <w:p w:rsidR="00D62ED5" w:rsidRDefault="00D62ED5" w14:paraId="08A8EC3E" w14:textId="052F95CA">
      <w:r>
        <w:br w:type="page"/>
      </w:r>
    </w:p>
    <w:p w:rsidR="00E63D77" w:rsidP="00D62ED5" w:rsidRDefault="00D62ED5" w14:paraId="537BBFEB" w14:textId="77777777">
      <w:pPr>
        <w:pStyle w:val="Kop1"/>
      </w:pPr>
      <w:bookmarkStart w:name="_Toc205383343" w:id="56"/>
      <w:r>
        <w:t>Mogelijkheden om in te schrijven</w:t>
      </w:r>
      <w:bookmarkEnd w:id="56"/>
    </w:p>
    <w:p w:rsidR="00D62ED5" w:rsidP="00D62ED5" w:rsidRDefault="00D62ED5" w14:paraId="4D7E7974" w14:textId="77777777">
      <w:pPr>
        <w:pStyle w:val="Kop2"/>
      </w:pPr>
      <w:bookmarkStart w:name="_Toc205383344" w:id="57"/>
      <w:r>
        <w:t>Inleiding</w:t>
      </w:r>
      <w:bookmarkEnd w:id="57"/>
    </w:p>
    <w:p w:rsidRPr="00555C9B" w:rsidR="00D62ED5" w:rsidP="00D62ED5" w:rsidRDefault="00D62ED5" w14:paraId="0806443D" w14:textId="77777777">
      <w:r w:rsidRPr="00555C9B">
        <w:t xml:space="preserve">In dit hoofdstuk zijn de verschillende mogelijkheden en voorwaarden opgenomen ten </w:t>
      </w:r>
    </w:p>
    <w:p w:rsidRPr="00555C9B" w:rsidR="00D62ED5" w:rsidP="00D62ED5" w:rsidRDefault="00D62ED5" w14:paraId="73749D9E" w14:textId="77777777">
      <w:r w:rsidRPr="00555C9B">
        <w:t>aanzien van de wijze waarop een Inschrijving kan worden ingediend.</w:t>
      </w:r>
    </w:p>
    <w:p w:rsidRPr="00555C9B" w:rsidR="00D62ED5" w:rsidP="00D62ED5" w:rsidRDefault="00D62ED5" w14:paraId="5BCF9ED9" w14:textId="77777777"/>
    <w:p w:rsidRPr="00555C9B" w:rsidR="00D62ED5" w:rsidP="00D62ED5" w:rsidRDefault="00D62ED5" w14:paraId="470DCCC3" w14:textId="77777777">
      <w:r w:rsidRPr="00555C9B">
        <w:t>Op de volgende manieren kan worden deelgenomen aan de aanbesteding, namelijk als:</w:t>
      </w:r>
    </w:p>
    <w:p w:rsidRPr="00555C9B" w:rsidR="00D62ED5" w:rsidP="00AA114F" w:rsidRDefault="00D62ED5" w14:paraId="77753E30" w14:textId="77777777">
      <w:pPr>
        <w:pStyle w:val="Lijstalinea"/>
        <w:numPr>
          <w:ilvl w:val="0"/>
          <w:numId w:val="11"/>
        </w:numPr>
        <w:tabs>
          <w:tab w:val="clear" w:pos="397"/>
        </w:tabs>
        <w:suppressAutoHyphens/>
      </w:pPr>
      <w:r w:rsidRPr="00555C9B">
        <w:t>zelfstandige Inschrijver, zonder beroep op een derde / onderaannemer</w:t>
      </w:r>
    </w:p>
    <w:p w:rsidRPr="00555C9B" w:rsidR="00D62ED5" w:rsidP="00AA114F" w:rsidRDefault="00D62ED5" w14:paraId="67DFA01C" w14:textId="77777777">
      <w:pPr>
        <w:pStyle w:val="Lijstalinea"/>
        <w:numPr>
          <w:ilvl w:val="0"/>
          <w:numId w:val="11"/>
        </w:numPr>
        <w:tabs>
          <w:tab w:val="clear" w:pos="397"/>
        </w:tabs>
        <w:suppressAutoHyphens/>
      </w:pPr>
      <w:r w:rsidRPr="00555C9B">
        <w:t>zelfstandige Inschrijver, met een beroep op een derde / onderaannemer</w:t>
      </w:r>
    </w:p>
    <w:p w:rsidRPr="00555C9B" w:rsidR="00D62ED5" w:rsidP="00AA114F" w:rsidRDefault="00D62ED5" w14:paraId="090E48F0" w14:textId="77777777">
      <w:pPr>
        <w:pStyle w:val="Lijstalinea"/>
        <w:numPr>
          <w:ilvl w:val="0"/>
          <w:numId w:val="11"/>
        </w:numPr>
        <w:tabs>
          <w:tab w:val="clear" w:pos="397"/>
        </w:tabs>
        <w:suppressAutoHyphens/>
      </w:pPr>
      <w:r w:rsidRPr="00555C9B">
        <w:t>Samenwerkingsverband, zonder een beroep op een derde / onderaannemer</w:t>
      </w:r>
    </w:p>
    <w:p w:rsidRPr="00555C9B" w:rsidR="00D62ED5" w:rsidP="00AA114F" w:rsidRDefault="00D62ED5" w14:paraId="0410CED9" w14:textId="77777777">
      <w:pPr>
        <w:pStyle w:val="Lijstalinea"/>
        <w:numPr>
          <w:ilvl w:val="0"/>
          <w:numId w:val="11"/>
        </w:numPr>
        <w:tabs>
          <w:tab w:val="clear" w:pos="397"/>
        </w:tabs>
        <w:suppressAutoHyphens/>
      </w:pPr>
      <w:r w:rsidRPr="00555C9B">
        <w:t>Samenwerkingsverband, met een beroep op een derde / onderaannemer</w:t>
      </w:r>
    </w:p>
    <w:p w:rsidRPr="00555C9B" w:rsidR="00D62ED5" w:rsidP="00D62ED5" w:rsidRDefault="00D62ED5" w14:paraId="13DBFC07" w14:textId="77777777">
      <w:pPr>
        <w:spacing w:line="0" w:lineRule="atLeast"/>
      </w:pPr>
    </w:p>
    <w:p w:rsidRPr="00555C9B" w:rsidR="00D62ED5" w:rsidP="00D62ED5" w:rsidRDefault="00D62ED5" w14:paraId="79605DEC" w14:textId="77777777">
      <w:r w:rsidRPr="00555C9B">
        <w:t xml:space="preserve">Een onderneming mag slechts eenmaal betrokken zijn bij een Inschrijving [per perceel]: óf als zelfstandige Inschrijver, óf als lid van een Samenwerkingsverband </w:t>
      </w:r>
      <w:r w:rsidRPr="00555C9B">
        <w:rPr>
          <w:rFonts w:cs="Arial"/>
        </w:rPr>
        <w:t>ó</w:t>
      </w:r>
      <w:r w:rsidRPr="00555C9B">
        <w:t xml:space="preserve">f als onderaannemer. </w:t>
      </w:r>
    </w:p>
    <w:p w:rsidR="00D62ED5" w:rsidP="00D62ED5" w:rsidRDefault="00681D1E" w14:paraId="01002E95" w14:textId="41246B6B">
      <w:bookmarkStart w:name="_Hlk185500992" w:id="58"/>
      <w:r>
        <w:t>Een onderaannemer is een partij die een zelfstandig onderdeel van de opdracht uitvoert.</w:t>
      </w:r>
    </w:p>
    <w:p w:rsidR="00D62ED5" w:rsidP="00D62ED5" w:rsidRDefault="00D62ED5" w14:paraId="7F07C9BD" w14:textId="77777777">
      <w:pPr>
        <w:pStyle w:val="Kop2"/>
      </w:pPr>
      <w:bookmarkStart w:name="_Toc205383345" w:id="59"/>
      <w:bookmarkEnd w:id="58"/>
      <w:r>
        <w:t>Zelfstandige Inschrijver</w:t>
      </w:r>
      <w:bookmarkEnd w:id="59"/>
    </w:p>
    <w:p w:rsidR="00D62ED5" w:rsidP="00D62ED5" w:rsidRDefault="00D62ED5" w14:paraId="1017E867" w14:textId="0D3F911F">
      <w:r w:rsidRPr="00555C9B">
        <w:t xml:space="preserve">Een onderneming kan als zelfstandig Inschrijver een Inschrijving indienen. De zelfstandig Inschrijver dient hiervoor bij zijn Inschrijving (onder meer) het UEA </w:t>
      </w:r>
      <w:bookmarkStart w:name="_Hlk528825688" w:id="60"/>
      <w:r w:rsidRPr="00555C9B">
        <w:t xml:space="preserve">volledig, juist, onvoorwaardelijk en zonder enig voorbehoud </w:t>
      </w:r>
      <w:bookmarkEnd w:id="60"/>
      <w:r w:rsidRPr="00555C9B">
        <w:t xml:space="preserve">in te vullen en rechtsgeldig te ondertekenen. </w:t>
      </w:r>
    </w:p>
    <w:p w:rsidR="00D62ED5" w:rsidP="00D62ED5" w:rsidRDefault="00D62ED5" w14:paraId="003B7490" w14:textId="77777777">
      <w:pPr>
        <w:pStyle w:val="Kop2"/>
      </w:pPr>
      <w:bookmarkStart w:name="_Toc205383346" w:id="61"/>
      <w:r>
        <w:t>Samenwerkingsverband</w:t>
      </w:r>
      <w:bookmarkEnd w:id="61"/>
    </w:p>
    <w:p w:rsidRPr="00555C9B" w:rsidR="00D62ED5" w:rsidP="00D62ED5" w:rsidRDefault="00D62ED5" w14:paraId="03F3742F" w14:textId="0054790C">
      <w:r w:rsidRPr="00555C9B">
        <w:t>Een Samenwerkingsverband</w:t>
      </w:r>
      <w:r w:rsidR="00CB3F83">
        <w:t xml:space="preserve"> (Combinatie)</w:t>
      </w:r>
      <w:r w:rsidRPr="00555C9B">
        <w:t xml:space="preserve"> kan een Inschrijving indienen. Als een Samenwerkingsverband inschrijft, zijn alle leden van het Samenwerkingsverband gezamenlijk en afzonderlijk hoofdelijk aansprakelijk voor de deugdelijke en tijdige uitvoering van de Opdracht. </w:t>
      </w:r>
    </w:p>
    <w:p w:rsidRPr="00555C9B" w:rsidR="00D62ED5" w:rsidP="00D62ED5" w:rsidRDefault="00D62ED5" w14:paraId="2DBCE793" w14:textId="77777777"/>
    <w:p w:rsidRPr="00555C9B" w:rsidR="00D62ED5" w:rsidP="00D62ED5" w:rsidRDefault="00D62ED5" w14:paraId="430CB29A" w14:textId="755729E7">
      <w:r w:rsidRPr="00555C9B">
        <w:t xml:space="preserve">Het Samenwerkingsverband dient bij zijn Inschrijving een door ieder lid – dus van iedere afzonderlijke deelnemende onderneming - volledig, juist, onvoorwaardelijk en zonder enig voorbehoud ingevuld en rechtsgeldig ondertekend UEA in te dienen. </w:t>
      </w:r>
      <w:bookmarkStart w:name="_Hlk185501097" w:id="62"/>
      <w:r w:rsidR="00645F07">
        <w:t>Uit het UEA moet blijken dat sprake van een inschrijving in combinatie.</w:t>
      </w:r>
      <w:bookmarkEnd w:id="62"/>
    </w:p>
    <w:p w:rsidRPr="00555C9B" w:rsidR="00D62ED5" w:rsidP="00D62ED5" w:rsidRDefault="00D62ED5" w14:paraId="592C9A71" w14:textId="77777777">
      <w:pPr>
        <w:suppressAutoHyphens/>
        <w:spacing w:line="284" w:lineRule="atLeast"/>
        <w:rPr>
          <w:rFonts w:ascii="Verdana" w:hAnsi="Verdana" w:cs="Arial"/>
          <w:u w:val="single"/>
        </w:rPr>
      </w:pPr>
    </w:p>
    <w:p w:rsidRPr="00555C9B" w:rsidR="00D62ED5" w:rsidP="00D62ED5" w:rsidRDefault="00D62ED5" w14:paraId="1F2DD724" w14:textId="77777777">
      <w:r w:rsidRPr="00555C9B">
        <w:t xml:space="preserve">Daarnaast dient het Samenwerkingsverband bij Inschrijving een ingevuld en ondertekende ‘Verklaring Samenwerkingsverband’ (bijlage </w:t>
      </w:r>
      <w:r>
        <w:t>15</w:t>
      </w:r>
      <w:r w:rsidRPr="00555C9B">
        <w:t xml:space="preserve">) in te dienen. Uit deze verklaring dient te blijken dat de leden van het Samenwerkingsverband gezamenlijk en hoofdelijk aansprakelijk zijn voor de volledige en juiste uitvoering van de </w:t>
      </w:r>
      <w:r>
        <w:t>O</w:t>
      </w:r>
      <w:r w:rsidRPr="00555C9B">
        <w:t>vereenkomst in al zijn onderdelen. Daarnaast dient in deze verklaring de naam van het lid van het Samenwerkingsverband</w:t>
      </w:r>
      <w:r w:rsidRPr="00555C9B" w:rsidDel="007D76EF">
        <w:t xml:space="preserve"> </w:t>
      </w:r>
      <w:r w:rsidRPr="00555C9B">
        <w:t xml:space="preserve">te </w:t>
      </w:r>
      <w:r w:rsidRPr="00555C9B">
        <w:t xml:space="preserve">worden vermeld die als vertegenwoordiger (penvoerder) namens het Samenwerkingsverband zal optreden en bevoegd is het Samenwerkingsverband te vertegenwoordigen en te binden en die als enig aanspreekpunt voor de Aanbestedende Dienst dient. Ook wenst de Aanbestedende Dienst uit deze verklaring op te maken waarom in Samenwerkingsverband wordt ingeschreven en welk lid van het Samenwerkingsverband welk deel van de Opdracht uitvoert. </w:t>
      </w:r>
    </w:p>
    <w:p w:rsidR="00D62ED5" w:rsidP="00D62ED5" w:rsidRDefault="00D62ED5" w14:paraId="3CA33DBF" w14:textId="77777777">
      <w:pPr>
        <w:rPr>
          <w:rFonts w:eastAsia="Calibri" w:cs="Arial"/>
        </w:rPr>
      </w:pPr>
    </w:p>
    <w:p w:rsidRPr="00555C9B" w:rsidR="00D62ED5" w:rsidP="00D62ED5" w:rsidRDefault="00D62ED5" w14:paraId="5D848EAB" w14:textId="77777777">
      <w:pPr>
        <w:rPr>
          <w:rFonts w:eastAsia="Calibri" w:cs="Arial"/>
        </w:rPr>
      </w:pPr>
      <w:r w:rsidRPr="00555C9B">
        <w:rPr>
          <w:rFonts w:eastAsia="Calibri" w:cs="Arial"/>
        </w:rPr>
        <w:t xml:space="preserve">Combinanten </w:t>
      </w:r>
      <w:r>
        <w:rPr>
          <w:rFonts w:eastAsia="Calibri" w:cs="Arial"/>
        </w:rPr>
        <w:t xml:space="preserve">kunnen </w:t>
      </w:r>
      <w:r w:rsidRPr="00555C9B">
        <w:rPr>
          <w:rFonts w:eastAsia="Calibri" w:cs="Arial"/>
        </w:rPr>
        <w:t>vordering</w:t>
      </w:r>
      <w:r>
        <w:rPr>
          <w:rFonts w:eastAsia="Calibri" w:cs="Arial"/>
        </w:rPr>
        <w:t>en in rechte</w:t>
      </w:r>
      <w:r w:rsidRPr="00555C9B">
        <w:rPr>
          <w:rFonts w:eastAsia="Calibri" w:cs="Arial"/>
        </w:rPr>
        <w:t xml:space="preserve"> gegrond op het niet naleven door de Aanbestedende Dienst van de aanbestedingsvoorschriften in de onderhavige aanbestedingsprocedure louter gezamenlijk </w:t>
      </w:r>
      <w:r>
        <w:rPr>
          <w:rFonts w:eastAsia="Calibri" w:cs="Arial"/>
        </w:rPr>
        <w:t>instellen</w:t>
      </w:r>
      <w:r w:rsidRPr="00555C9B">
        <w:rPr>
          <w:rFonts w:eastAsia="Calibri" w:cs="Arial"/>
        </w:rPr>
        <w:t xml:space="preserve">. Niet naleving van dit voorschrift leidt tot niet-ontvankelijkheid van de procederende combinant(en) en tot verval van recht. </w:t>
      </w:r>
    </w:p>
    <w:p w:rsidRPr="00555C9B" w:rsidR="00D62ED5" w:rsidP="00D62ED5" w:rsidRDefault="00D62ED5" w14:paraId="41621E7F" w14:textId="77777777">
      <w:pPr>
        <w:rPr>
          <w:rFonts w:eastAsia="Calibri" w:cs="Arial"/>
        </w:rPr>
      </w:pPr>
    </w:p>
    <w:p w:rsidRPr="000E3B69" w:rsidR="00D62ED5" w:rsidP="00D62ED5" w:rsidRDefault="00D62ED5" w14:paraId="5981F1CF" w14:textId="1F4B117C">
      <w:pPr>
        <w:rPr>
          <w:rFonts w:eastAsia="Calibri" w:cs="Arial"/>
        </w:rPr>
      </w:pPr>
      <w:r w:rsidRPr="00555C9B">
        <w:t>De Verklaring Samenwerkingsverband kan niet worden uitgelegd als een procesvolmacht. Indien en voor zover een combinant mede namens de andere combinant(en) door middel van een kortgeding opkomt tegen de gunningsbeslissing, dient die bevoegdheid (volmacht) om namens de andere combinant(en) te procederen expliciet te blijken uit het lichaam van de dagvaarding. Niet of niet volledige naleving van dit voorschrift leidt tot verval van recht, want de desbetreffende dagvaarding is alsdan de jure niet uitgebracht.</w:t>
      </w:r>
      <w:r w:rsidRPr="00555C9B">
        <w:rPr>
          <w:rFonts w:eastAsia="Calibri" w:cs="Arial"/>
        </w:rPr>
        <w:t xml:space="preserve"> </w:t>
      </w:r>
    </w:p>
    <w:p w:rsidR="00D62ED5" w:rsidP="00D62ED5" w:rsidRDefault="00D62ED5" w14:paraId="692682D0" w14:textId="77777777">
      <w:pPr>
        <w:pStyle w:val="Kop2"/>
      </w:pPr>
      <w:bookmarkStart w:name="_Toc205383347" w:id="63"/>
      <w:r>
        <w:t>Onderaanneming</w:t>
      </w:r>
      <w:bookmarkEnd w:id="63"/>
    </w:p>
    <w:p w:rsidRPr="00E122F9" w:rsidR="00D62ED5" w:rsidP="00D62ED5" w:rsidRDefault="00D62ED5" w14:paraId="057565FE" w14:textId="1EEF1C34">
      <w:r w:rsidRPr="00555C9B">
        <w:t xml:space="preserve">Het is de Inschrijver toegestaan om </w:t>
      </w:r>
      <w:r w:rsidR="00164D2A">
        <w:t xml:space="preserve">één </w:t>
      </w:r>
      <w:r w:rsidRPr="00555C9B">
        <w:t>of meerdere onderaannemers in te schakelen</w:t>
      </w:r>
      <w:r w:rsidR="008A4266">
        <w:t xml:space="preserve"> in de uitvoering van de opdracht</w:t>
      </w:r>
      <w:r w:rsidRPr="00555C9B">
        <w:t xml:space="preserve">. </w:t>
      </w:r>
      <w:r w:rsidRPr="68473151" w:rsidR="005312EA">
        <w:rPr>
          <w:rFonts w:eastAsia="Calibri" w:cs="Arial"/>
        </w:rPr>
        <w:t xml:space="preserve">Deze onderaannemers dienen te worden vermeld in het UEA bij Deel II D. </w:t>
      </w:r>
      <w:r>
        <w:t xml:space="preserve">Onderaannemers zijn partijen die een zelfstandig onderdeel van de Opdracht uitvoeren, zulks niet te verwarren met toeleveranciers. </w:t>
      </w:r>
      <w:r w:rsidRPr="00555C9B">
        <w:t xml:space="preserve">Deze in de </w:t>
      </w:r>
      <w:r>
        <w:t>I</w:t>
      </w:r>
      <w:r w:rsidRPr="00555C9B">
        <w:t xml:space="preserve">nschrijving genoemde onderaannemers dienen ook daadwerkelijk te worden ingezet bij de uitvoering van de </w:t>
      </w:r>
      <w:r>
        <w:t>O</w:t>
      </w:r>
      <w:r w:rsidRPr="00555C9B">
        <w:t xml:space="preserve">pdracht, tenzij </w:t>
      </w:r>
      <w:r>
        <w:t>de Aanbestedende Dienst</w:t>
      </w:r>
      <w:r w:rsidRPr="00555C9B">
        <w:t xml:space="preserve"> schriftelijk instemt met het alsnog niet inzetten of vervangen van deze onderaannemer. </w:t>
      </w:r>
    </w:p>
    <w:p w:rsidRPr="00555C9B" w:rsidR="00D62ED5" w:rsidP="00D62ED5" w:rsidRDefault="00D62ED5" w14:paraId="03D6817E" w14:textId="77777777">
      <w:pPr>
        <w:rPr>
          <w:rFonts w:eastAsia="Calibri" w:cs="Arial"/>
        </w:rPr>
      </w:pPr>
    </w:p>
    <w:p w:rsidRPr="00555C9B" w:rsidR="00D62ED5" w:rsidP="00D62ED5" w:rsidRDefault="00D62ED5" w14:paraId="5732656F" w14:textId="77777777">
      <w:r w:rsidRPr="00555C9B">
        <w:rPr>
          <w:rFonts w:eastAsia="Calibri" w:cs="Arial"/>
        </w:rPr>
        <w:t xml:space="preserve">Vervanging, inschakeling van andere onderaannemers of het alsnog inschakelen van onderaannemers tijdens de uitvoering van de </w:t>
      </w:r>
      <w:r>
        <w:rPr>
          <w:rFonts w:eastAsia="Calibri" w:cs="Arial"/>
        </w:rPr>
        <w:t>O</w:t>
      </w:r>
      <w:r w:rsidRPr="00555C9B">
        <w:rPr>
          <w:rFonts w:eastAsia="Calibri" w:cs="Arial"/>
        </w:rPr>
        <w:t xml:space="preserve">pdracht behoeft voorafgaande instemming van de Aanbestedende Dienst. </w:t>
      </w:r>
    </w:p>
    <w:p w:rsidRPr="00555C9B" w:rsidR="00D62ED5" w:rsidP="00D62ED5" w:rsidRDefault="00D62ED5" w14:paraId="436A4909" w14:textId="77777777"/>
    <w:p w:rsidRPr="00555C9B" w:rsidR="00D62ED5" w:rsidP="00D62ED5" w:rsidRDefault="00D62ED5" w14:paraId="5F80C5D2" w14:textId="77777777">
      <w:pPr>
        <w:rPr>
          <w:rFonts w:eastAsia="Calibri" w:cs="Arial"/>
        </w:rPr>
      </w:pPr>
      <w:r w:rsidRPr="00555C9B">
        <w:t>De Inschrijver is en blijft de hoofd</w:t>
      </w:r>
      <w:r w:rsidRPr="00555C9B">
        <w:rPr>
          <w:rFonts w:eastAsia="Calibri" w:cs="Arial"/>
        </w:rPr>
        <w:t xml:space="preserve">aannemer en aanspreekpunt voor de Aanbestedende Dienst tijdens de aanbestedingsprocedure en de uitvoering van de Opdracht. De Inschrijver is volledig aansprakelijk voor de naleving van alle uit de Overeenkomst voortvloeiende verplichtingen. </w:t>
      </w:r>
    </w:p>
    <w:p w:rsidRPr="00555C9B" w:rsidR="00D62ED5" w:rsidP="00D62ED5" w:rsidRDefault="00D62ED5" w14:paraId="6A31E42D" w14:textId="77777777"/>
    <w:p w:rsidRPr="00555C9B" w:rsidR="00D62ED5" w:rsidP="00D62ED5" w:rsidRDefault="00D62ED5" w14:paraId="170B78DA" w14:textId="77777777">
      <w:r w:rsidRPr="00555C9B">
        <w:t xml:space="preserve">Indien een Inschrijver bij de uitvoering van de Opdracht onderaannemers betrekt, dan wordt de Opdracht uitsluitend aan deze Inschrijver gegund indien de onderaannemer(s) niet onder een of meer van de gestelde uitsluitingsgronden (paragraaf 6.1) val(t)(len). De Inschrijver dient bij Inschrijving, of in een voorkomend geval bij de uitvoering van de </w:t>
      </w:r>
      <w:r>
        <w:t>O</w:t>
      </w:r>
      <w:r w:rsidRPr="00555C9B">
        <w:t xml:space="preserve">pdracht, voor ieder van deze onderaannemers het UEA in te dienen. </w:t>
      </w:r>
    </w:p>
    <w:p w:rsidRPr="00555C9B" w:rsidR="00D62ED5" w:rsidP="00D62ED5" w:rsidRDefault="00D62ED5" w14:paraId="2E280941" w14:textId="77777777"/>
    <w:p w:rsidRPr="00555C9B" w:rsidR="00D62ED5" w:rsidP="00D62ED5" w:rsidRDefault="00D62ED5" w14:paraId="50F7D615" w14:textId="77777777">
      <w:r w:rsidRPr="00555C9B">
        <w:t xml:space="preserve">Ieder van deze onderaannemers dient in het UEA (onder meer) te verklaren dat hij niet onder een of meer van de gestelde uitsluitingsgronden (paragraaf 6.1) valt. De onderaannemer dient de volgende onderdelen van het UEA volledig in te vullen en rechtsgeldig te ondertekenen: </w:t>
      </w:r>
    </w:p>
    <w:p w:rsidRPr="00555C9B" w:rsidR="00D62ED5" w:rsidP="00AA114F" w:rsidRDefault="00D62ED5" w14:paraId="4EDCCACE" w14:textId="77777777">
      <w:pPr>
        <w:pStyle w:val="Lijstalinea"/>
        <w:numPr>
          <w:ilvl w:val="0"/>
          <w:numId w:val="12"/>
        </w:numPr>
        <w:tabs>
          <w:tab w:val="clear" w:pos="397"/>
        </w:tabs>
      </w:pPr>
      <w:r w:rsidRPr="00555C9B">
        <w:t>Deel II, onderdeel A en B (gegevens onderaannemer)</w:t>
      </w:r>
    </w:p>
    <w:p w:rsidRPr="00555C9B" w:rsidR="00D62ED5" w:rsidP="00AA114F" w:rsidRDefault="00D62ED5" w14:paraId="075D1F40" w14:textId="77777777">
      <w:pPr>
        <w:pStyle w:val="Lijstalinea"/>
        <w:numPr>
          <w:ilvl w:val="0"/>
          <w:numId w:val="12"/>
        </w:numPr>
        <w:tabs>
          <w:tab w:val="clear" w:pos="397"/>
        </w:tabs>
      </w:pPr>
      <w:r w:rsidRPr="00555C9B">
        <w:t>Deel III, onderdeel A, B, en C (uitsluitingsgronden)</w:t>
      </w:r>
    </w:p>
    <w:p w:rsidRPr="00555C9B" w:rsidR="00D62ED5" w:rsidP="00AA114F" w:rsidRDefault="00D62ED5" w14:paraId="1A8488A2" w14:textId="77777777">
      <w:pPr>
        <w:pStyle w:val="Lijstalinea"/>
        <w:numPr>
          <w:ilvl w:val="0"/>
          <w:numId w:val="12"/>
        </w:numPr>
        <w:tabs>
          <w:tab w:val="clear" w:pos="397"/>
        </w:tabs>
      </w:pPr>
      <w:r w:rsidRPr="00555C9B">
        <w:t>Deel VI (ondertekening)</w:t>
      </w:r>
    </w:p>
    <w:p w:rsidRPr="00555C9B" w:rsidR="00D62ED5" w:rsidP="00D62ED5" w:rsidRDefault="00D62ED5" w14:paraId="697A7309" w14:textId="77777777"/>
    <w:p w:rsidRPr="00555C9B" w:rsidR="00D62ED5" w:rsidP="00D62ED5" w:rsidRDefault="00D62ED5" w14:paraId="199C055A" w14:textId="77777777">
      <w:r w:rsidRPr="00555C9B">
        <w:t>Indien een Inschrijver bij de uitvoering van de Opdracht een onderaannemer betrekt waarop een grond voor uitsluiting als bedoeld in paragraaf 6.1 van dit Beschrijvend Document van toepassing is, dan draagt de Inschrijver ervoor zorg dat deze onderaannemer wordt vervangen. Paragraaf 5.5.4 is van toepassing.</w:t>
      </w:r>
    </w:p>
    <w:p w:rsidRPr="00555C9B" w:rsidR="00D62ED5" w:rsidP="00D62ED5" w:rsidRDefault="00D62ED5" w14:paraId="11860273" w14:textId="77777777">
      <w:pPr>
        <w:pStyle w:val="Alinea0"/>
        <w:tabs>
          <w:tab w:val="left" w:pos="1418"/>
        </w:tabs>
        <w:rPr>
          <w:lang w:val="nl-NL"/>
        </w:rPr>
      </w:pPr>
    </w:p>
    <w:p w:rsidRPr="00555C9B" w:rsidR="00D62ED5" w:rsidP="00D62ED5" w:rsidRDefault="00D62ED5" w14:paraId="5D18A475" w14:textId="77777777">
      <w:r w:rsidRPr="00555C9B">
        <w:t xml:space="preserve">Let op: van de Inschrijver aan wie de Aanbestedende Dienst de Opdracht voornemens is te gunnen, wordt in de gunningsbeslissing de volgende bewijsmiddelen opgevraagd: </w:t>
      </w:r>
    </w:p>
    <w:p w:rsidRPr="00555C9B" w:rsidR="00D62ED5" w:rsidP="00AA114F" w:rsidRDefault="00D62ED5" w14:paraId="1569FC91" w14:textId="77777777">
      <w:pPr>
        <w:pStyle w:val="Lijstalinea"/>
        <w:numPr>
          <w:ilvl w:val="0"/>
          <w:numId w:val="12"/>
        </w:numPr>
        <w:tabs>
          <w:tab w:val="clear" w:pos="397"/>
        </w:tabs>
      </w:pPr>
      <w:r w:rsidRPr="00555C9B">
        <w:t>Een uittreksel uit het Handelsregister van de onderaannemer(s), dat op het tijdstip van het indienen van de Inschrijving niet ouder mag zijn dan zes maanden.</w:t>
      </w:r>
    </w:p>
    <w:p w:rsidRPr="00555C9B" w:rsidR="00D62ED5" w:rsidP="00AA114F" w:rsidRDefault="00D62ED5" w14:paraId="1E0AF4E9" w14:textId="77777777">
      <w:pPr>
        <w:pStyle w:val="Lijstalinea"/>
        <w:numPr>
          <w:ilvl w:val="0"/>
          <w:numId w:val="12"/>
        </w:numPr>
        <w:tabs>
          <w:tab w:val="clear" w:pos="397"/>
        </w:tabs>
      </w:pPr>
      <w:r w:rsidRPr="00555C9B">
        <w:t xml:space="preserve">De namen van de wettelijke vertegenwoordigers van de onderaannemer(s), die bij de uitvoering van de Opdracht zijn betrokken. </w:t>
      </w:r>
    </w:p>
    <w:p w:rsidRPr="00555C9B" w:rsidR="00D62ED5" w:rsidP="00D62ED5" w:rsidRDefault="00D62ED5" w14:paraId="256244E5" w14:textId="77777777"/>
    <w:p w:rsidR="00D62ED5" w:rsidP="00D62ED5" w:rsidRDefault="00D62ED5" w14:paraId="1B19A82C" w14:textId="552AB6D5">
      <w:r w:rsidRPr="00555C9B">
        <w:t xml:space="preserve">De Aanbestedende Dienst verlangt van de Inschrijver aan wie de Aanbestedende Dienst de Opdracht gunt, dat hij de Aanbestedende Dienst in kennis stelt van alle wijzigingen in de voornoemde gegevens van de onderaannemer tijdens de uitvoering van de Opdracht. </w:t>
      </w:r>
    </w:p>
    <w:p w:rsidR="00D62ED5" w:rsidP="00D62ED5" w:rsidRDefault="00D62ED5" w14:paraId="425555B5" w14:textId="77777777">
      <w:pPr>
        <w:pStyle w:val="Kop2"/>
      </w:pPr>
      <w:bookmarkStart w:name="_Toc205383348" w:id="64"/>
      <w:r>
        <w:t>Beroep op derden in het kader van het voldoen aan de geschiktheidseisen</w:t>
      </w:r>
      <w:bookmarkEnd w:id="64"/>
    </w:p>
    <w:p w:rsidR="00D62ED5" w:rsidP="00D62ED5" w:rsidRDefault="00D62ED5" w14:paraId="5EC5E3A8" w14:textId="77777777">
      <w:pPr>
        <w:pStyle w:val="Kop3"/>
      </w:pPr>
      <w:r>
        <w:t>Algemeen</w:t>
      </w:r>
    </w:p>
    <w:p w:rsidRPr="00555C9B" w:rsidR="00D62ED5" w:rsidP="00D62ED5" w:rsidRDefault="00D62ED5" w14:paraId="68BB9B3D" w14:textId="691782C4">
      <w:r w:rsidRPr="00555C9B">
        <w:t>Een Inschrijver die niet zelfstandig aan de gestelde geschiktheidseisen van hoofdstuk 7 van dit Beschrijvend Document</w:t>
      </w:r>
      <w:r w:rsidR="00885A45">
        <w:t xml:space="preserve"> </w:t>
      </w:r>
      <w:r w:rsidR="00204D88">
        <w:t>voldoet</w:t>
      </w:r>
      <w:r w:rsidRPr="00555C9B">
        <w:t>, kan een beroep doen op de financiële en economische draagkracht en/of technische bekwaamheid of beroepsbekwaamheid van een of meer derden. Een derde kan ieder ander natuurlijke persoon of rechtspersoon zijn, ongeacht de juridische aard van de banden van de Inschrijver (waaronder de leden van het Samenwerkingsverband) met die natuurlijke persoon of rechtspersoon.</w:t>
      </w:r>
    </w:p>
    <w:p w:rsidRPr="00555C9B" w:rsidR="00D62ED5" w:rsidP="00D62ED5" w:rsidRDefault="00D62ED5" w14:paraId="003F72FE" w14:textId="77777777"/>
    <w:p w:rsidRPr="00555C9B" w:rsidR="00D62ED5" w:rsidP="00D62ED5" w:rsidRDefault="00D62ED5" w14:paraId="1D2B291B" w14:textId="7E3BADBB">
      <w:r w:rsidRPr="00555C9B">
        <w:t xml:space="preserve">Indien wordt ingeschreven met (een) derde(n), dan dient de Inschrijver bij de Inschrijving een door (ieder van) deze derde(n) afzonderlijk ingevuld </w:t>
      </w:r>
      <w:r w:rsidR="00E45F74">
        <w:t xml:space="preserve">en ondertekend </w:t>
      </w:r>
      <w:r w:rsidRPr="00555C9B">
        <w:t xml:space="preserve">UEA in te dienen. </w:t>
      </w:r>
    </w:p>
    <w:p w:rsidRPr="00073CA2" w:rsidR="00D62ED5" w:rsidP="00D62ED5" w:rsidRDefault="00D62ED5" w14:paraId="1BD4B872" w14:textId="77777777"/>
    <w:p w:rsidRPr="00555C9B" w:rsidR="00D62ED5" w:rsidP="00D62ED5" w:rsidRDefault="00D62ED5" w14:paraId="4AB4A1CA" w14:textId="77777777">
      <w:r w:rsidRPr="00555C9B">
        <w:t>Zowel de Inschrijver als de derde(n) dienen het UEA volledig in te vullen en rechtsgeldig te ondertekenen.</w:t>
      </w:r>
    </w:p>
    <w:p w:rsidRPr="00555C9B" w:rsidR="00D62ED5" w:rsidP="00D62ED5" w:rsidRDefault="00D62ED5" w14:paraId="0EAF9AF4" w14:textId="77777777"/>
    <w:p w:rsidRPr="00555C9B" w:rsidR="00D62ED5" w:rsidP="00D62ED5" w:rsidRDefault="00D62ED5" w14:paraId="01D82A95" w14:textId="77777777">
      <w:r w:rsidRPr="00555C9B">
        <w:t xml:space="preserve">De Inschrijver dient de volgende delen van het UEA in te vullen: </w:t>
      </w:r>
    </w:p>
    <w:p w:rsidRPr="00D35FCC" w:rsidR="00D62ED5" w:rsidP="00B608AB" w:rsidRDefault="00D62ED5" w14:paraId="5CE6427C" w14:textId="77777777">
      <w:pPr>
        <w:pStyle w:val="Lijstalinea"/>
        <w:numPr>
          <w:ilvl w:val="0"/>
          <w:numId w:val="30"/>
        </w:numPr>
        <w:spacing w:line="240" w:lineRule="auto"/>
        <w:rPr>
          <w:rFonts w:cs="Trebuchet MS"/>
          <w:i/>
          <w:iCs/>
        </w:rPr>
      </w:pPr>
      <w:r w:rsidRPr="00D35FCC">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rsidRPr="00D35FCC" w:rsidR="00D62ED5" w:rsidP="00B608AB" w:rsidRDefault="00D62ED5" w14:paraId="08917D46" w14:textId="77777777">
      <w:pPr>
        <w:pStyle w:val="Lijstalinea"/>
        <w:numPr>
          <w:ilvl w:val="0"/>
          <w:numId w:val="30"/>
        </w:numPr>
        <w:spacing w:line="240" w:lineRule="auto"/>
        <w:rPr>
          <w:rFonts w:cs="Trebuchet MS"/>
          <w:i/>
          <w:iCs/>
        </w:rPr>
      </w:pPr>
      <w:r w:rsidRPr="00D35FCC">
        <w:rPr>
          <w:rFonts w:cs="Trebuchet MS"/>
          <w:i/>
          <w:iCs/>
        </w:rPr>
        <w:t>Deel III, onderdelen A, B en C (uitsluitingsgronden)</w:t>
      </w:r>
    </w:p>
    <w:p w:rsidRPr="00D35FCC" w:rsidR="00D62ED5" w:rsidP="00B608AB" w:rsidRDefault="00D62ED5" w14:paraId="507F91F6" w14:textId="77777777">
      <w:pPr>
        <w:pStyle w:val="Lijstalinea"/>
        <w:numPr>
          <w:ilvl w:val="0"/>
          <w:numId w:val="30"/>
        </w:numPr>
        <w:spacing w:line="240" w:lineRule="auto"/>
        <w:rPr>
          <w:rFonts w:cs="Trebuchet MS"/>
          <w:i/>
          <w:iCs/>
        </w:rPr>
      </w:pPr>
      <w:r w:rsidRPr="00D35FCC">
        <w:rPr>
          <w:rFonts w:cs="Trebuchet MS"/>
          <w:i/>
          <w:iCs/>
        </w:rPr>
        <w:t>Deel IV</w:t>
      </w:r>
    </w:p>
    <w:p w:rsidRPr="00D35FCC" w:rsidR="00D62ED5" w:rsidP="00B608AB" w:rsidRDefault="00D62ED5" w14:paraId="490F78A9" w14:textId="77777777">
      <w:pPr>
        <w:pStyle w:val="Lijstalinea"/>
        <w:numPr>
          <w:ilvl w:val="0"/>
          <w:numId w:val="30"/>
        </w:numPr>
        <w:spacing w:line="240" w:lineRule="auto"/>
        <w:rPr>
          <w:rFonts w:cs="Trebuchet MS"/>
          <w:i/>
          <w:iCs/>
        </w:rPr>
      </w:pPr>
      <w:r w:rsidRPr="00D35FCC">
        <w:rPr>
          <w:rFonts w:cs="Trebuchet MS"/>
          <w:i/>
          <w:iCs/>
        </w:rPr>
        <w:t>Deel VI (ondertekening).</w:t>
      </w:r>
    </w:p>
    <w:p w:rsidRPr="00555C9B" w:rsidR="00D62ED5" w:rsidP="00D62ED5" w:rsidRDefault="00D62ED5" w14:paraId="7194D39E" w14:textId="77777777">
      <w:pPr>
        <w:ind w:left="927"/>
        <w:rPr>
          <w:rFonts w:cs="Trebuchet MS"/>
          <w:i/>
          <w:iCs/>
        </w:rPr>
      </w:pPr>
    </w:p>
    <w:p w:rsidRPr="00555C9B" w:rsidR="00D62ED5" w:rsidP="00D62ED5" w:rsidRDefault="00D62ED5" w14:paraId="758747A3" w14:textId="77777777">
      <w:r w:rsidRPr="00555C9B">
        <w:t>De derde(n) dient/dienen de volgende delen van het UEA in te vullen:</w:t>
      </w:r>
    </w:p>
    <w:p w:rsidRPr="00D35FCC" w:rsidR="00D62ED5" w:rsidP="00B608AB" w:rsidRDefault="00D62ED5" w14:paraId="61D42023" w14:textId="77777777">
      <w:pPr>
        <w:pStyle w:val="Lijstalinea"/>
        <w:numPr>
          <w:ilvl w:val="0"/>
          <w:numId w:val="31"/>
        </w:numPr>
        <w:spacing w:line="240" w:lineRule="auto"/>
        <w:rPr>
          <w:rFonts w:cs="Trebuchet MS"/>
          <w:i/>
          <w:iCs/>
        </w:rPr>
      </w:pPr>
      <w:r w:rsidRPr="00D35FCC">
        <w:rPr>
          <w:rFonts w:cs="Trebuchet MS"/>
          <w:i/>
          <w:iCs/>
        </w:rPr>
        <w:t>Deel II, onderdeel A en B (gegevens derde)</w:t>
      </w:r>
    </w:p>
    <w:p w:rsidRPr="00D35FCC" w:rsidR="00D62ED5" w:rsidP="00B608AB" w:rsidRDefault="00D62ED5" w14:paraId="21E1DC86" w14:textId="77777777">
      <w:pPr>
        <w:pStyle w:val="Lijstalinea"/>
        <w:numPr>
          <w:ilvl w:val="0"/>
          <w:numId w:val="31"/>
        </w:numPr>
        <w:spacing w:line="240" w:lineRule="auto"/>
        <w:rPr>
          <w:rFonts w:cs="Trebuchet MS"/>
          <w:i/>
          <w:iCs/>
        </w:rPr>
      </w:pPr>
      <w:r w:rsidRPr="00D35FCC">
        <w:rPr>
          <w:rFonts w:cs="Trebuchet MS"/>
          <w:i/>
          <w:iCs/>
        </w:rPr>
        <w:t>Deel III, onderdeel A, B en C (uitsluitingsgronden)</w:t>
      </w:r>
    </w:p>
    <w:p w:rsidRPr="00D35FCC" w:rsidR="00D62ED5" w:rsidP="00B608AB" w:rsidRDefault="00D62ED5" w14:paraId="70D5B32E" w14:textId="77777777">
      <w:pPr>
        <w:pStyle w:val="Lijstalinea"/>
        <w:numPr>
          <w:ilvl w:val="0"/>
          <w:numId w:val="31"/>
        </w:numPr>
        <w:spacing w:line="240" w:lineRule="auto"/>
        <w:rPr>
          <w:rFonts w:cs="Trebuchet MS"/>
          <w:i/>
          <w:iCs/>
        </w:rPr>
      </w:pPr>
      <w:r w:rsidRPr="00D35FCC">
        <w:rPr>
          <w:rFonts w:cs="Trebuchet MS"/>
          <w:i/>
          <w:iCs/>
        </w:rPr>
        <w:t>Deel IV (geschiktheidseisen) voor zover relevant voor het beroep op de middelen van deze derde</w:t>
      </w:r>
    </w:p>
    <w:p w:rsidRPr="00D35FCC" w:rsidR="00D62ED5" w:rsidP="00B608AB" w:rsidRDefault="00D62ED5" w14:paraId="5147D5E2" w14:textId="77777777">
      <w:pPr>
        <w:pStyle w:val="Lijstalinea"/>
        <w:numPr>
          <w:ilvl w:val="0"/>
          <w:numId w:val="31"/>
        </w:numPr>
        <w:spacing w:line="240" w:lineRule="auto"/>
        <w:rPr>
          <w:rFonts w:cs="Trebuchet MS"/>
          <w:i/>
          <w:iCs/>
        </w:rPr>
      </w:pPr>
      <w:r w:rsidRPr="00D35FCC">
        <w:rPr>
          <w:rFonts w:cs="Trebuchet MS"/>
          <w:i/>
          <w:iCs/>
        </w:rPr>
        <w:t xml:space="preserve">Deel VI (ondertekening). </w:t>
      </w:r>
    </w:p>
    <w:p w:rsidRPr="00555C9B" w:rsidR="00D62ED5" w:rsidP="00D62ED5" w:rsidRDefault="00D62ED5" w14:paraId="4BE527C7" w14:textId="77777777">
      <w:pPr>
        <w:ind w:left="927"/>
        <w:rPr>
          <w:rFonts w:cs="Trebuchet MS"/>
          <w:i/>
          <w:iCs/>
        </w:rPr>
      </w:pPr>
    </w:p>
    <w:p w:rsidRPr="00555C9B" w:rsidR="00D62ED5" w:rsidP="00D62ED5" w:rsidRDefault="00D62ED5" w14:paraId="3133CD9E" w14:textId="07E89B01">
      <w:bookmarkStart w:name="_Hlk33523200" w:id="65"/>
      <w:bookmarkStart w:name="_Hlk185501287" w:id="66"/>
      <w:bookmarkStart w:name="_Hlk33523503" w:id="67"/>
      <w:r w:rsidRPr="00555C9B">
        <w:t xml:space="preserve">De Inschrijver </w:t>
      </w:r>
      <w:bookmarkEnd w:id="65"/>
      <w:r w:rsidRPr="00555C9B">
        <w:t xml:space="preserve">dient de door hemzelf en de derde ingevulde </w:t>
      </w:r>
      <w:r w:rsidRPr="00555C9B" w:rsidR="000F6492">
        <w:t xml:space="preserve">en ondertekende ‘Verklaring middelen derde’ (bijlage </w:t>
      </w:r>
      <w:r w:rsidR="000E7236">
        <w:t>9</w:t>
      </w:r>
      <w:r w:rsidRPr="00555C9B" w:rsidR="000F6492">
        <w:t xml:space="preserve">) </w:t>
      </w:r>
      <w:r w:rsidR="0029417D">
        <w:t xml:space="preserve">bij Inschrijving </w:t>
      </w:r>
      <w:r w:rsidRPr="00555C9B" w:rsidR="000F6492">
        <w:t>in te dienen, op basis waarvan de derde verklaart dat de Inschrijver kan beschikken over de voor de uitvoering van de Opdracht noodzakelijke middelen van deze derde</w:t>
      </w:r>
      <w:r w:rsidR="000F6492">
        <w:t>.</w:t>
      </w:r>
      <w:bookmarkEnd w:id="66"/>
      <w:r w:rsidR="000F6492">
        <w:t xml:space="preserve"> </w:t>
      </w:r>
      <w:r w:rsidRPr="00555C9B">
        <w:t xml:space="preserve">Daarnaast dient de Inschrijver alle bewijsstukken in te dienen waarmee hij aantoont dat de uitsluitingsgronden niet van toepassing zijn op derde op wiens technische en beroepsbekwaamheid hij zich beroept (zie ook paragraaf 6.2 Beschrijvend Document). </w:t>
      </w:r>
    </w:p>
    <w:bookmarkEnd w:id="67"/>
    <w:p w:rsidRPr="00D62ED5" w:rsidR="00D62ED5" w:rsidP="00D62ED5" w:rsidRDefault="00D62ED5" w14:paraId="2B63F573" w14:textId="77777777"/>
    <w:p w:rsidR="00E63D77" w:rsidP="009077BE" w:rsidRDefault="00D62ED5" w14:paraId="34CC0875" w14:textId="77777777">
      <w:pPr>
        <w:pStyle w:val="Kop3"/>
      </w:pPr>
      <w:r>
        <w:t>Beroep op de technische en beroepsbekwaamheid</w:t>
      </w:r>
    </w:p>
    <w:p w:rsidRPr="00555C9B" w:rsidR="009077BE" w:rsidP="009077BE" w:rsidRDefault="009077BE" w14:paraId="126D3584" w14:textId="77777777">
      <w:r w:rsidRPr="00555C9B">
        <w:t xml:space="preserve">Indien in het kader van de geschiktheidseisen voor de technische bekwaamheid en </w:t>
      </w:r>
    </w:p>
    <w:p w:rsidRPr="00555C9B" w:rsidR="009077BE" w:rsidP="009077BE" w:rsidRDefault="009077BE" w14:paraId="6CB7E65C" w14:textId="460086E6">
      <w:r w:rsidRPr="00555C9B">
        <w:t xml:space="preserve">beroepsbekwaamheid - paragraaf </w:t>
      </w:r>
      <w:r w:rsidR="00BA5AE2">
        <w:t>7.4</w:t>
      </w:r>
      <w:r w:rsidRPr="00555C9B">
        <w:t xml:space="preserve"> (referentie-eis) en paragraaf 7.5 (kwaliteitsmanagementsysteem) - een beroep wordt gedaan op de </w:t>
      </w:r>
      <w:r w:rsidR="005D715A">
        <w:t>capaciteiten</w:t>
      </w:r>
      <w:r w:rsidRPr="00555C9B">
        <w:t xml:space="preserve"> van een derde, dan moet deze derde door daadwerkelijk voor de uitvoering van </w:t>
      </w:r>
      <w:r w:rsidR="009B7083">
        <w:t xml:space="preserve">het desbetreffende onderdeel van </w:t>
      </w:r>
      <w:r w:rsidRPr="00555C9B">
        <w:t>de Opdracht worden ingezet</w:t>
      </w:r>
      <w:r w:rsidR="003C525C">
        <w:t xml:space="preserve"> als onderaannemer</w:t>
      </w:r>
      <w:r w:rsidRPr="00555C9B">
        <w:t xml:space="preserve">. </w:t>
      </w:r>
    </w:p>
    <w:p w:rsidRPr="00555C9B" w:rsidR="009077BE" w:rsidP="009077BE" w:rsidRDefault="009077BE" w14:paraId="660D56F3" w14:textId="77777777"/>
    <w:p w:rsidRPr="00555C9B" w:rsidR="009077BE" w:rsidP="009077BE" w:rsidRDefault="009077BE" w14:paraId="28CD9F0A" w14:textId="3B94B78A">
      <w:r w:rsidRPr="00555C9B">
        <w:t xml:space="preserve">Deze derde kan tijdens de uitvoering van de </w:t>
      </w:r>
      <w:r>
        <w:t>O</w:t>
      </w:r>
      <w:r w:rsidRPr="00555C9B">
        <w:t>pdracht niet worden vervangen, tenzij de Aanbestedende Dienst daartoe voorafgaande toestemming geeft. Toestemming zal in ieder geval worden onthouden in het geval vervanging van de derde leidt tot een wijziging als bedoeld in artikel 2.163a Aw en geen beroep kan worden gedaan op één of meerde</w:t>
      </w:r>
      <w:r w:rsidR="008636A5">
        <w:t>re</w:t>
      </w:r>
      <w:r w:rsidRPr="00555C9B">
        <w:t xml:space="preserve"> van de artikelen 2.163b t/m 2.163g Aw.</w:t>
      </w:r>
      <w:r w:rsidR="00E0634D">
        <w:t xml:space="preserve"> </w:t>
      </w:r>
      <w:bookmarkStart w:name="_Hlk185501527" w:id="68"/>
      <w:r w:rsidR="00E0634D">
        <w:t>Toestemming kan bovendien alleen worden gegeven als de nieuwe derde voldoet aan dezelfde geschiktheidseis als die waarvoor een beroep op de oorspronkelijke derde nodig was</w:t>
      </w:r>
      <w:r w:rsidR="003850B0">
        <w:t xml:space="preserve"> en op de vervangende derde geen van de toepasselijke uitsluitingsgronden van toepassing is.</w:t>
      </w:r>
      <w:bookmarkEnd w:id="68"/>
    </w:p>
    <w:p w:rsidRPr="009077BE" w:rsidR="009077BE" w:rsidP="009077BE" w:rsidRDefault="009077BE" w14:paraId="4FA32487" w14:textId="77777777"/>
    <w:p w:rsidR="00E63D77" w:rsidP="009077BE" w:rsidRDefault="009077BE" w14:paraId="40BD377E" w14:textId="77777777">
      <w:pPr>
        <w:pStyle w:val="Kop3"/>
      </w:pPr>
      <w:r>
        <w:t>Beroep op de financiële en economische draagkracht</w:t>
      </w:r>
    </w:p>
    <w:p w:rsidRPr="00555C9B" w:rsidR="009077BE" w:rsidP="009077BE" w:rsidRDefault="009077BE" w14:paraId="3606BE8E" w14:textId="77777777">
      <w:r w:rsidRPr="00555C9B">
        <w:t xml:space="preserve">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w:t>
      </w:r>
      <w:r>
        <w:t>O</w:t>
      </w:r>
      <w:r w:rsidRPr="00555C9B">
        <w:t>pdracht aan de betreffende Inschrijver wordt gegund.</w:t>
      </w:r>
    </w:p>
    <w:p w:rsidRPr="00555C9B" w:rsidR="009077BE" w:rsidP="009077BE" w:rsidRDefault="009077BE" w14:paraId="3BC92900" w14:textId="77777777"/>
    <w:p w:rsidRPr="00555C9B" w:rsidR="009077BE" w:rsidP="009077BE" w:rsidRDefault="009077BE" w14:paraId="2F36AF8E" w14:textId="77777777">
      <w:r w:rsidRPr="00555C9B">
        <w:t xml:space="preserve">De Inschrijver aan wie de Aanbestedende Dienst op grond van de gunningsbeslissing voornemens is de </w:t>
      </w:r>
      <w:r>
        <w:t>O</w:t>
      </w:r>
      <w:r w:rsidRPr="00555C9B">
        <w:t>pdracht te gunnen en die een beroep doet op de financiële en economische draagkracht van (een) derde(n), dient binnen zeven kalenderdagen gerekend van de dagtekening van de gunningsbeslissing tevens in te dienen de stukken die in de plaats komen van hetgeen de Inschrijver moet indienen ten bewijze dat hij voldoet aan de geschiktheidseisen ter zake van financiële en economische draagkracht (paragraaf 7.3 Beschrijvend Document).</w:t>
      </w:r>
    </w:p>
    <w:p w:rsidR="009077BE" w:rsidP="009077BE" w:rsidRDefault="009077BE" w14:paraId="5FF9AA28" w14:textId="77777777"/>
    <w:p w:rsidR="009077BE" w:rsidP="009077BE" w:rsidRDefault="009077BE" w14:paraId="0801BCFE" w14:textId="77777777">
      <w:pPr>
        <w:pStyle w:val="Kop3"/>
      </w:pPr>
      <w:r>
        <w:t>Vervangende derde(n)</w:t>
      </w:r>
    </w:p>
    <w:p w:rsidRPr="00555C9B" w:rsidR="009077BE" w:rsidP="009077BE" w:rsidRDefault="009077BE" w14:paraId="45BC046F" w14:textId="77777777">
      <w:r w:rsidRPr="00555C9B">
        <w:t xml:space="preserve">Indien een Inschrijver </w:t>
      </w:r>
      <w:r w:rsidRPr="00555C9B">
        <w:rPr>
          <w:u w:val="single"/>
        </w:rPr>
        <w:t>bij de uitvoering van de Opdracht</w:t>
      </w:r>
      <w:r w:rsidRPr="00555C9B">
        <w:t xml:space="preserve"> een beroep doet op een derde waarop een </w:t>
      </w:r>
      <w:r w:rsidR="00E0634D">
        <w:t>uitsluitingsgrond</w:t>
      </w:r>
      <w:r w:rsidRPr="00555C9B">
        <w:t xml:space="preserve"> als bedoeld in paragraaf 6.1 van dit Beschrijvend Document van toepassing is, wijst de Aanbestedende Dienst het beroep op de geschiktheid van de betreffende derde(n) schriftelijk af en stelt de Aanbestedende Dienst de Inschrijver eenmalig </w:t>
      </w:r>
      <w:r w:rsidRPr="00555C9B">
        <w:t>in de gelegenheid de betreffende afgewezen derde te vervangen. Vervanging zal evenwel niet worden toegestaan in het geval vervanging van de derde leidt tot een wijziging als bedoeld in artikel 2.163a Aw en geen beroep kan worden gedaan op één of meerde</w:t>
      </w:r>
      <w:r w:rsidR="00D917C3">
        <w:t>re</w:t>
      </w:r>
      <w:r w:rsidRPr="00555C9B">
        <w:t xml:space="preserve"> van de artikelen 2.163b t/m 2.163g Aw.</w:t>
      </w:r>
    </w:p>
    <w:p w:rsidRPr="00555C9B" w:rsidR="009077BE" w:rsidP="009077BE" w:rsidRDefault="009077BE" w14:paraId="5902FDF3" w14:textId="77777777"/>
    <w:p w:rsidRPr="00555C9B" w:rsidR="009077BE" w:rsidP="009077BE" w:rsidRDefault="009077BE" w14:paraId="62D53522" w14:textId="77777777">
      <w:r w:rsidRPr="00555C9B">
        <w:t xml:space="preserve">Voor het beroep op de vervangende derde(n) gelden voorts alle voorschriften zoals in de paragrafen 5.5.1 tot en met 5.5.3 genoemd. </w:t>
      </w:r>
    </w:p>
    <w:p w:rsidRPr="00555C9B" w:rsidR="009077BE" w:rsidP="009077BE" w:rsidRDefault="009077BE" w14:paraId="28643BBC" w14:textId="77777777"/>
    <w:p w:rsidRPr="00555C9B" w:rsidR="009077BE" w:rsidP="009077BE" w:rsidRDefault="009077BE" w14:paraId="285461BB" w14:textId="77777777">
      <w:r w:rsidRPr="00555C9B">
        <w:t xml:space="preserve">Een beroep op (een) vervangende derde(n) dient in voorkomend geval te worden ingediend binnen zeven kalenderdagen gerekend vanaf de dagtekening van de afwijzing van de derde(n) op wie de Inschrijver bij Inschrijving een beroep heeft gedaan, tenzij de Aanbestedende Dienst anderszins communiceert. Binnen de geldende reactietermijn moeten dus alle documenten die de Aanbestedende Dienst vereist voor het beroep op de vervangende derde(n) te zijn geüpload in TenderNed en beschikbaar te zijn voor beoordeling door de Aanbestedende Dienst. Niet of niet tijdige aanleveringen van de vereiste documenten leidt tot terzijdeleging van de </w:t>
      </w:r>
      <w:r>
        <w:t>I</w:t>
      </w:r>
      <w:r w:rsidRPr="00555C9B">
        <w:t xml:space="preserve">nschrijving. </w:t>
      </w:r>
    </w:p>
    <w:p w:rsidR="009077BE" w:rsidRDefault="009077BE" w14:paraId="483612E2" w14:textId="77777777">
      <w:r>
        <w:br w:type="page"/>
      </w:r>
    </w:p>
    <w:p w:rsidR="009077BE" w:rsidP="009077BE" w:rsidRDefault="009077BE" w14:paraId="5D7F3AAC" w14:textId="77777777">
      <w:pPr>
        <w:pStyle w:val="Kop1"/>
      </w:pPr>
      <w:bookmarkStart w:name="_Toc205383349" w:id="69"/>
      <w:r>
        <w:t>Uitsluitingsgronden</w:t>
      </w:r>
      <w:bookmarkEnd w:id="69"/>
    </w:p>
    <w:p w:rsidR="009077BE" w:rsidP="009077BE" w:rsidRDefault="009077BE" w14:paraId="74FAB8C4" w14:textId="77777777">
      <w:pPr>
        <w:pStyle w:val="Kop2"/>
      </w:pPr>
      <w:bookmarkStart w:name="_Toc205383350" w:id="70"/>
      <w:r>
        <w:t>Uitsluitingsgronden</w:t>
      </w:r>
      <w:bookmarkEnd w:id="70"/>
    </w:p>
    <w:p w:rsidRPr="00555C9B" w:rsidR="009077BE" w:rsidP="009077BE" w:rsidRDefault="009077BE" w14:paraId="518F20B4" w14:textId="77777777">
      <w:r w:rsidRPr="00555C9B">
        <w:t xml:space="preserve">De Inschrijver wordt beoordeeld op de uitsluitingsgronden. De Inschrijver verklaart door middel van een rechtsgeldige ondertekening van het UEA of de uitsluitingsgronden al dan niet op hem van toepassing zijn. Indien één of meer van de uitsluitingsgronden op de Inschrijver van toepassing is/zijn, wordt de Inschrijver van deelneming aan de aanbestedingsprocedure uitgesloten, tenzij uitsluiting disproportioneel zou zijn. </w:t>
      </w:r>
    </w:p>
    <w:p w:rsidRPr="00555C9B" w:rsidR="009077BE" w:rsidP="009077BE" w:rsidRDefault="009077BE" w14:paraId="7AE669A3" w14:textId="77777777"/>
    <w:p w:rsidRPr="00555C9B" w:rsidR="009077BE" w:rsidP="009077BE" w:rsidRDefault="009077BE" w14:paraId="746F80A8" w14:textId="77777777">
      <w:r w:rsidRPr="00555C9B">
        <w:t>Ingeval één of meer uitsluitingsgronden van toepassing zijn, kan de Inschrijver in het UEA toelichten waarom uitsluiting disproportioneel is. De Inschrijver moet daarbij in ieder geval toelichten welke zelfreinigende maatregelen als bedoeld in artikel</w:t>
      </w:r>
      <w:r>
        <w:t xml:space="preserve"> </w:t>
      </w:r>
      <w:r w:rsidRPr="00555C9B">
        <w:t xml:space="preserve">2.87a Aanbestedingswet hij/zij heeft genomen om zijn/haar betrouwbaarheid aan te tonen. Deze toelichting dient bij de Inschrijving te worden gevoegd. De Aanbestedende Dienst mag evenwel verduidelijkingsvragen stellen naar aanleiding van de verstrekte toelichting. De antwoorden van Inschrijver op deze vragen mag de Aanbestedende Dienst meenemen in haar beoordeling. </w:t>
      </w:r>
    </w:p>
    <w:p w:rsidRPr="00555C9B" w:rsidR="009077BE" w:rsidP="009077BE" w:rsidRDefault="009077BE" w14:paraId="74A7A357" w14:textId="77777777"/>
    <w:p w:rsidR="009077BE" w:rsidP="009077BE" w:rsidRDefault="009077BE" w14:paraId="47D9235C" w14:textId="42574044">
      <w:r w:rsidRPr="00555C9B">
        <w:t>Indien de Inschrijver een Samenwerkingsverband is en een uitsluitingsgrond van toepassing is op een of meerdere van de leden van dat Samenwerkingsverband, zal het Samenwerkingsverband als geheel worden uitgesloten, tenzij dat disproportioneel zou zijn. Ook in dit geval kan het Samenwerkingsverband een beroep doen op de artikelen 2.87a Aw en/of artikel 2.88 Aw.</w:t>
      </w:r>
    </w:p>
    <w:p w:rsidR="009077BE" w:rsidP="009077BE" w:rsidRDefault="009077BE" w14:paraId="702E6CC4" w14:textId="77777777">
      <w:pPr>
        <w:pStyle w:val="Kop2"/>
      </w:pPr>
      <w:bookmarkStart w:name="_Toc205383351" w:id="71"/>
      <w:r>
        <w:t>Bewijsmiddelen uitsluitingsgronden</w:t>
      </w:r>
      <w:bookmarkEnd w:id="71"/>
    </w:p>
    <w:p w:rsidRPr="00555C9B" w:rsidR="009077BE" w:rsidP="009077BE" w:rsidRDefault="009077BE" w14:paraId="400F8E12" w14:textId="77777777">
      <w:pPr>
        <w:suppressAutoHyphens/>
      </w:pPr>
      <w:r w:rsidRPr="00555C9B">
        <w:t xml:space="preserve">Ten bewijze dat op de Inschrijver (waaronder de leden van het Samenwerkingsverband, onderaannemer en/of derde) geen van de voornoemde uitsluitingsgronden van toepassing is, kan bij Inschrijving worden volstaan met het indienen van het UEA en het daarin verklaren dat geen uitsluitingsgronden van toepassing zijn. </w:t>
      </w:r>
    </w:p>
    <w:p w:rsidRPr="00555C9B" w:rsidR="009077BE" w:rsidP="009077BE" w:rsidRDefault="009077BE" w14:paraId="2FCA0D8D" w14:textId="77777777">
      <w:pPr>
        <w:pStyle w:val="Alinea0"/>
        <w:widowControl/>
        <w:suppressAutoHyphens/>
        <w:ind w:left="0"/>
        <w:rPr>
          <w:lang w:val="nl-NL"/>
        </w:rPr>
      </w:pPr>
    </w:p>
    <w:p w:rsidRPr="00555C9B" w:rsidR="009077BE" w:rsidP="009077BE" w:rsidRDefault="009077BE" w14:paraId="757698DC" w14:textId="77777777">
      <w:pPr>
        <w:suppressAutoHyphens/>
      </w:pPr>
      <w:r w:rsidRPr="00555C9B">
        <w:t xml:space="preserve">Van de Inschrijver aan wie de Aanbestedende Dienst de Opdracht voornemens is te gunnen, worden in de gunningsbeslissing in ieder geval de volgende (Nederlandse) bewijsmiddelen opgevraagd. De Aanbestedende Dienst behoudt zich het recht voor om aanvullende bewijsmiddelen te vragen. </w:t>
      </w:r>
    </w:p>
    <w:p w:rsidRPr="00555C9B" w:rsidR="009077BE" w:rsidP="009077BE" w:rsidRDefault="009077BE" w14:paraId="61D32A6E" w14:textId="77777777">
      <w:pPr>
        <w:suppressAutoHyphens/>
      </w:pPr>
    </w:p>
    <w:p w:rsidRPr="00555C9B" w:rsidR="009077BE" w:rsidP="009077BE" w:rsidRDefault="009077BE" w14:paraId="7D0F9732" w14:textId="77777777">
      <w:pPr>
        <w:suppressAutoHyphens/>
      </w:pPr>
      <w:r w:rsidRPr="00555C9B">
        <w:t>Met de verstrekte bewijsmiddelen dient de Inschrijver binnen zeven kalenderdagen na verzending van de gunningsbeslissing aan te tonen dat de Inschrijver geen van de gestelde uitsluitingsgronden van toepassing zijn. De Aanbestedende Dienst kan een andere reactietermijn hanteren. Niet of niet volledig naleving van deze termijn leidt tot het alsnog terzijdeleggen van de Inschrijving.</w:t>
      </w:r>
    </w:p>
    <w:p w:rsidRPr="00555C9B" w:rsidR="009077BE" w:rsidP="009077BE" w:rsidRDefault="009077BE" w14:paraId="5A28662E" w14:textId="77777777">
      <w:pPr>
        <w:suppressAutoHyphens/>
      </w:pPr>
    </w:p>
    <w:p w:rsidRPr="00555C9B" w:rsidR="009077BE" w:rsidP="009077BE" w:rsidRDefault="009077BE" w14:paraId="5AE4C6DB" w14:textId="77777777">
      <w:pPr>
        <w:suppressAutoHyphens/>
      </w:pPr>
    </w:p>
    <w:p w:rsidRPr="00555C9B" w:rsidR="009077BE" w:rsidP="009077BE" w:rsidRDefault="009077BE" w14:paraId="15AD98BA" w14:textId="77777777">
      <w:pPr>
        <w:suppressAutoHyphens/>
      </w:pPr>
    </w:p>
    <w:p w:rsidRPr="00555C9B" w:rsidR="009077BE" w:rsidP="009077BE" w:rsidRDefault="009077BE" w14:paraId="3FC8D0E4" w14:textId="77777777">
      <w:pPr>
        <w:suppressAutoHyphens/>
      </w:pPr>
    </w:p>
    <w:p w:rsidRPr="00555C9B" w:rsidR="009077BE" w:rsidP="009077BE" w:rsidRDefault="009077BE" w14:paraId="160292F2" w14:textId="77777777">
      <w:pPr>
        <w:pStyle w:val="Alinea0"/>
        <w:widowControl/>
        <w:suppressAutoHyphens/>
        <w:rPr>
          <w:lang w:val="nl-NL"/>
        </w:rPr>
      </w:pPr>
    </w:p>
    <w:tbl>
      <w:tblPr>
        <w:tblStyle w:val="Tabelraster"/>
        <w:tblW w:w="8443" w:type="dxa"/>
        <w:tblLook w:val="04A0" w:firstRow="1" w:lastRow="0" w:firstColumn="1" w:lastColumn="0" w:noHBand="0" w:noVBand="1"/>
      </w:tblPr>
      <w:tblGrid>
        <w:gridCol w:w="2206"/>
        <w:gridCol w:w="6237"/>
      </w:tblGrid>
      <w:tr w:rsidRPr="009077BE" w:rsidR="00A538A4" w:rsidTr="00956C90" w14:paraId="1E4A205B" w14:textId="77777777">
        <w:trPr>
          <w:cnfStyle w:val="100000000000" w:firstRow="1" w:lastRow="0" w:firstColumn="0" w:lastColumn="0" w:oddVBand="0" w:evenVBand="0" w:oddHBand="0" w:evenHBand="0" w:firstRowFirstColumn="0" w:firstRowLastColumn="0" w:lastRowFirstColumn="0" w:lastRowLastColumn="0"/>
        </w:trPr>
        <w:tc>
          <w:tcPr>
            <w:tcW w:w="2206" w:type="dxa"/>
          </w:tcPr>
          <w:p w:rsidRPr="009077BE" w:rsidR="00A538A4" w:rsidP="00956C90" w:rsidRDefault="00A538A4" w14:paraId="4423B1EF" w14:textId="77777777">
            <w:pPr>
              <w:suppressAutoHyphens/>
              <w:rPr>
                <w:b/>
                <w:bCs/>
              </w:rPr>
            </w:pPr>
            <w:r w:rsidRPr="009077BE">
              <w:rPr>
                <w:b/>
                <w:bCs/>
              </w:rPr>
              <w:t xml:space="preserve">Uitsluitingsgrond </w:t>
            </w:r>
          </w:p>
        </w:tc>
        <w:tc>
          <w:tcPr>
            <w:tcW w:w="6237" w:type="dxa"/>
          </w:tcPr>
          <w:p w:rsidRPr="009077BE" w:rsidR="00A538A4" w:rsidP="00956C90" w:rsidRDefault="00A538A4" w14:paraId="286DFB30" w14:textId="77777777">
            <w:pPr>
              <w:suppressAutoHyphens/>
              <w:rPr>
                <w:b/>
                <w:bCs/>
              </w:rPr>
            </w:pPr>
            <w:r w:rsidRPr="009077BE">
              <w:rPr>
                <w:b/>
                <w:bCs/>
              </w:rPr>
              <w:t>Nederlandse bewijsmiddelen</w:t>
            </w:r>
          </w:p>
        </w:tc>
      </w:tr>
      <w:tr w:rsidRPr="00555C9B" w:rsidR="00A538A4" w:rsidTr="00956C90" w14:paraId="528870D4" w14:textId="77777777">
        <w:trPr>
          <w:cnfStyle w:val="000000100000" w:firstRow="0" w:lastRow="0" w:firstColumn="0" w:lastColumn="0" w:oddVBand="0" w:evenVBand="0" w:oddHBand="1" w:evenHBand="0" w:firstRowFirstColumn="0" w:firstRowLastColumn="0" w:lastRowFirstColumn="0" w:lastRowLastColumn="0"/>
        </w:trPr>
        <w:tc>
          <w:tcPr>
            <w:tcW w:w="2206" w:type="dxa"/>
          </w:tcPr>
          <w:p w:rsidRPr="00555C9B" w:rsidR="00A538A4" w:rsidP="00956C90" w:rsidRDefault="00A538A4" w14:paraId="1CC7F437" w14:textId="77777777">
            <w:pPr>
              <w:suppressAutoHyphens/>
            </w:pPr>
            <w:r w:rsidRPr="00555C9B">
              <w:t>Artikelen 2.86 lid 2 en 3 en 2.87 lid 1 onderdelen c en d Aanbestedingswet</w:t>
            </w:r>
            <w:r w:rsidRPr="00555C9B">
              <w:rPr>
                <w:rFonts w:cs="Arial"/>
              </w:rPr>
              <w:t xml:space="preserve"> </w:t>
            </w:r>
          </w:p>
        </w:tc>
        <w:tc>
          <w:tcPr>
            <w:tcW w:w="6237" w:type="dxa"/>
          </w:tcPr>
          <w:p w:rsidRPr="00555C9B" w:rsidR="00A538A4" w:rsidP="00956C90" w:rsidRDefault="00A538A4" w14:paraId="3DF09B73" w14:textId="77777777">
            <w:pPr>
              <w:suppressAutoHyphens/>
            </w:pPr>
            <w:r w:rsidRPr="00555C9B">
              <w:t>Een Gedragsverklaring Aanbesteden* die niet ouder is dan twee jaar.</w:t>
            </w:r>
            <w:r>
              <w:t xml:space="preserve"> </w:t>
            </w:r>
            <w:bookmarkStart w:name="_Hlk185501645" w:id="72"/>
            <w:r>
              <w:t>De Aanbestedende Dienst accepteert GVA’s die dateren van ná het moment van inschrijven.</w:t>
            </w:r>
            <w:bookmarkEnd w:id="72"/>
          </w:p>
        </w:tc>
      </w:tr>
      <w:tr w:rsidRPr="00555C9B" w:rsidR="00A538A4" w:rsidTr="00956C90" w14:paraId="7143B3BC" w14:textId="77777777">
        <w:trPr>
          <w:cnfStyle w:val="000000010000" w:firstRow="0" w:lastRow="0" w:firstColumn="0" w:lastColumn="0" w:oddVBand="0" w:evenVBand="0" w:oddHBand="0" w:evenHBand="1" w:firstRowFirstColumn="0" w:firstRowLastColumn="0" w:lastRowFirstColumn="0" w:lastRowLastColumn="0"/>
        </w:trPr>
        <w:tc>
          <w:tcPr>
            <w:tcW w:w="2206" w:type="dxa"/>
          </w:tcPr>
          <w:p w:rsidRPr="00555C9B" w:rsidR="00A538A4" w:rsidP="00956C90" w:rsidRDefault="00A538A4" w14:paraId="575D5DFD" w14:textId="77777777">
            <w:pPr>
              <w:suppressAutoHyphens/>
            </w:pPr>
            <w:r w:rsidRPr="00555C9B">
              <w:t>Artikel 2.87, lid 1 onderdeel b Aanbestedingswet</w:t>
            </w:r>
          </w:p>
        </w:tc>
        <w:tc>
          <w:tcPr>
            <w:tcW w:w="6237" w:type="dxa"/>
          </w:tcPr>
          <w:p w:rsidRPr="00555C9B" w:rsidR="00A538A4" w:rsidP="00956C90" w:rsidRDefault="00A538A4" w14:paraId="33EB9F1C" w14:textId="77777777">
            <w:pPr>
              <w:suppressAutoHyphens/>
            </w:pPr>
            <w:r w:rsidRPr="00555C9B">
              <w:t xml:space="preserve">Een uittreksel uit het Handelsregister </w:t>
            </w:r>
            <w:r>
              <w:t>die</w:t>
            </w:r>
            <w:r w:rsidRPr="00555C9B">
              <w:t xml:space="preserve"> niet ouder is dan zes maanden.</w:t>
            </w:r>
          </w:p>
        </w:tc>
      </w:tr>
      <w:tr w:rsidRPr="00555C9B" w:rsidR="00A538A4" w:rsidTr="00956C90" w14:paraId="19375499" w14:textId="77777777">
        <w:trPr>
          <w:cnfStyle w:val="000000100000" w:firstRow="0" w:lastRow="0" w:firstColumn="0" w:lastColumn="0" w:oddVBand="0" w:evenVBand="0" w:oddHBand="1" w:evenHBand="0" w:firstRowFirstColumn="0" w:firstRowLastColumn="0" w:lastRowFirstColumn="0" w:lastRowLastColumn="0"/>
        </w:trPr>
        <w:tc>
          <w:tcPr>
            <w:tcW w:w="2206" w:type="dxa"/>
          </w:tcPr>
          <w:p w:rsidRPr="00555C9B" w:rsidR="00A538A4" w:rsidP="00956C90" w:rsidRDefault="00A538A4" w14:paraId="4D5326D6" w14:textId="77777777">
            <w:pPr>
              <w:suppressAutoHyphens/>
            </w:pPr>
            <w:r w:rsidRPr="00555C9B">
              <w:t>Artikelen 2.86 lid 4 en 2.87, lid 1 onderdeel j Aanbestedingswet</w:t>
            </w:r>
          </w:p>
        </w:tc>
        <w:tc>
          <w:tcPr>
            <w:tcW w:w="6237" w:type="dxa"/>
          </w:tcPr>
          <w:p w:rsidRPr="00555C9B" w:rsidR="00A538A4" w:rsidP="00956C90" w:rsidRDefault="00A538A4" w14:paraId="0A05BD2E" w14:textId="77777777">
            <w:pPr>
              <w:suppressAutoHyphens/>
            </w:pPr>
            <w:r w:rsidRPr="00555C9B">
              <w:t>Een verklaring van de Belastingdienst die niet ouder is dan zes maanden.</w:t>
            </w:r>
            <w:r>
              <w:t xml:space="preserve"> De Aanbestedende Dienst accepteert verklaringen die dateren van ná het moment van inschrijven.</w:t>
            </w:r>
          </w:p>
        </w:tc>
      </w:tr>
    </w:tbl>
    <w:p w:rsidRPr="00555C9B" w:rsidR="009077BE" w:rsidP="009077BE" w:rsidRDefault="009077BE" w14:paraId="471F2F76" w14:textId="77777777">
      <w:pPr>
        <w:pStyle w:val="Alinea0"/>
        <w:widowControl/>
        <w:suppressAutoHyphens/>
        <w:rPr>
          <w:lang w:val="nl-NL"/>
        </w:rPr>
      </w:pPr>
    </w:p>
    <w:p w:rsidRPr="00555C9B" w:rsidR="009077BE" w:rsidP="009077BE" w:rsidRDefault="009077BE" w14:paraId="126C89BA" w14:textId="77777777">
      <w:pPr>
        <w:suppressAutoHyphens/>
        <w:ind w:left="284"/>
        <w:rPr>
          <w:sz w:val="18"/>
          <w:szCs w:val="18"/>
        </w:rPr>
      </w:pPr>
      <w:r w:rsidRPr="00555C9B">
        <w:rPr>
          <w:sz w:val="18"/>
          <w:szCs w:val="18"/>
        </w:rPr>
        <w:t xml:space="preserve">*De Gedragsverklaring Aanbesteden kan worden aangevraagd bij het Centraal Orgaan Verklaring Omtrent het Gedrag (COVOG). Zie voor meer informatie: </w:t>
      </w:r>
      <w:hyperlink w:history="1" r:id="rId17">
        <w:r w:rsidRPr="00555C9B">
          <w:rPr>
            <w:rStyle w:val="Hyperlink"/>
            <w:sz w:val="18"/>
            <w:szCs w:val="18"/>
          </w:rPr>
          <w:t>www.justis.nl</w:t>
        </w:r>
      </w:hyperlink>
      <w:r w:rsidRPr="00555C9B">
        <w:rPr>
          <w:sz w:val="18"/>
          <w:szCs w:val="18"/>
        </w:rPr>
        <w:t xml:space="preserve">, waarop ook het aanvraagformulier voor de Gedragsverklaring Aanbesteden kan worden gedownload. </w:t>
      </w:r>
    </w:p>
    <w:p w:rsidRPr="00555C9B" w:rsidR="009077BE" w:rsidP="009077BE" w:rsidRDefault="009077BE" w14:paraId="68EC5F76" w14:textId="77777777">
      <w:pPr>
        <w:pStyle w:val="Alinea0"/>
        <w:widowControl/>
        <w:tabs>
          <w:tab w:val="left" w:pos="1418"/>
        </w:tabs>
        <w:suppressAutoHyphens/>
        <w:rPr>
          <w:lang w:val="nl-NL"/>
        </w:rPr>
      </w:pPr>
    </w:p>
    <w:p w:rsidRPr="00555C9B" w:rsidR="009077BE" w:rsidP="009077BE" w:rsidRDefault="009077BE" w14:paraId="4F17293A" w14:textId="77777777">
      <w:pPr>
        <w:suppressAutoHyphens/>
      </w:pPr>
      <w:r w:rsidRPr="00555C9B">
        <w:t xml:space="preserve">Daarnaast aanvaardt de Aanbestedende Dienst ook bewijsmiddelen uit een andere lidstaat van de Europese Unie of uit het land van herkomst of vestiging van de Inschrijver (waaronder de leden van het Samenwerkingsverband, onderaannemer, derde). Uit deze bewijsmiddelen moet blijken dat de uitsluitingsgrond niet van toepassing is. </w:t>
      </w:r>
    </w:p>
    <w:p w:rsidRPr="00555C9B" w:rsidR="009077BE" w:rsidP="009077BE" w:rsidRDefault="009077BE" w14:paraId="46957D79" w14:textId="77777777">
      <w:pPr>
        <w:suppressAutoHyphens/>
      </w:pPr>
    </w:p>
    <w:p w:rsidRPr="00555C9B" w:rsidR="009077BE" w:rsidP="009077BE" w:rsidRDefault="009077BE" w14:paraId="6FFB57E8" w14:textId="77777777">
      <w:pPr>
        <w:suppressAutoHyphens/>
      </w:pPr>
      <w:r w:rsidRPr="00555C9B">
        <w:t xml:space="preserve">De Aanbestedende Dienst wijst Inschrijvers erop dat het verkrijgen van sommige bewijsmiddelen enige tijd kan duren. Inschrijvers wordt geadviseerd de bewijsmiddelen in een zo vroeg mogelijk stadium aan te vragen, opdat deze tijdig – na een eventueel verzoek daartoe door de Aanbestedende Dienst – kunnen worden verstrekt. Indien de Inschrijver – na daartoe door de Aanbestedende Dienst te zijn verzocht – de bewijsstukken niet tijdig indient, wordt de Inschrijver terzijde gelegd. </w:t>
      </w:r>
    </w:p>
    <w:p w:rsidRPr="00555C9B" w:rsidR="009077BE" w:rsidP="009077BE" w:rsidRDefault="009077BE" w14:paraId="18684E07" w14:textId="77777777">
      <w:pPr>
        <w:suppressAutoHyphens/>
        <w:rPr>
          <w:i/>
        </w:rPr>
      </w:pPr>
    </w:p>
    <w:p w:rsidRPr="00555C9B" w:rsidR="009077BE" w:rsidP="009077BE" w:rsidRDefault="009077BE" w14:paraId="74862800" w14:textId="77777777"/>
    <w:p w:rsidRPr="00555C9B" w:rsidR="009077BE" w:rsidP="009077BE" w:rsidRDefault="009077BE" w14:paraId="59B97073" w14:textId="77777777">
      <w:pPr>
        <w:suppressAutoHyphens/>
        <w:rPr>
          <w:i/>
        </w:rPr>
      </w:pPr>
    </w:p>
    <w:p w:rsidRPr="009077BE" w:rsidR="009077BE" w:rsidP="009077BE" w:rsidRDefault="009077BE" w14:paraId="3A1BCDB6" w14:textId="77777777"/>
    <w:p w:rsidR="009077BE" w:rsidRDefault="009077BE" w14:paraId="57AF821A" w14:textId="77777777">
      <w:r>
        <w:br w:type="page"/>
      </w:r>
    </w:p>
    <w:p w:rsidR="00B452ED" w:rsidP="009077BE" w:rsidRDefault="009077BE" w14:paraId="031F0820" w14:textId="77777777">
      <w:pPr>
        <w:pStyle w:val="Kop1"/>
      </w:pPr>
      <w:bookmarkStart w:name="_Toc205383352" w:id="73"/>
      <w:r>
        <w:t>Geschiktheidseisen</w:t>
      </w:r>
      <w:bookmarkEnd w:id="73"/>
    </w:p>
    <w:p w:rsidR="009077BE" w:rsidP="009077BE" w:rsidRDefault="009077BE" w14:paraId="58875D95" w14:textId="77777777">
      <w:pPr>
        <w:pStyle w:val="Kop2"/>
      </w:pPr>
      <w:bookmarkStart w:name="_Toc205383353" w:id="74"/>
      <w:r>
        <w:t>Inleiding</w:t>
      </w:r>
      <w:bookmarkEnd w:id="74"/>
    </w:p>
    <w:p w:rsidRPr="00555C9B" w:rsidR="009077BE" w:rsidP="009077BE" w:rsidRDefault="009077BE" w14:paraId="5C1E128B" w14:textId="77777777">
      <w:pPr>
        <w:suppressAutoHyphens/>
      </w:pPr>
      <w:r w:rsidRPr="00555C9B">
        <w:t>In onderhavige aanbesteding zijn voor de volgende onderwerpen geschiktheidseisen van toepassing:</w:t>
      </w:r>
    </w:p>
    <w:p w:rsidRPr="00555C9B" w:rsidR="009077BE" w:rsidP="00AA114F" w:rsidRDefault="009077BE" w14:paraId="08BA412E" w14:textId="77777777">
      <w:pPr>
        <w:pStyle w:val="Lijstalinea"/>
        <w:numPr>
          <w:ilvl w:val="0"/>
          <w:numId w:val="12"/>
        </w:numPr>
        <w:tabs>
          <w:tab w:val="clear" w:pos="397"/>
        </w:tabs>
      </w:pPr>
      <w:r w:rsidRPr="00555C9B">
        <w:t>bevoegdheid de beroepsactiviteiten uit te voeren</w:t>
      </w:r>
    </w:p>
    <w:p w:rsidRPr="00555C9B" w:rsidR="009077BE" w:rsidP="00AA114F" w:rsidRDefault="009077BE" w14:paraId="6C633DA7" w14:textId="77777777">
      <w:pPr>
        <w:pStyle w:val="Lijstalinea"/>
        <w:numPr>
          <w:ilvl w:val="0"/>
          <w:numId w:val="12"/>
        </w:numPr>
        <w:tabs>
          <w:tab w:val="clear" w:pos="397"/>
        </w:tabs>
      </w:pPr>
      <w:r w:rsidRPr="00555C9B">
        <w:t>financiële en economische draagkracht</w:t>
      </w:r>
    </w:p>
    <w:p w:rsidRPr="00555C9B" w:rsidR="009077BE" w:rsidP="00AA114F" w:rsidRDefault="009077BE" w14:paraId="3641157F" w14:textId="77777777">
      <w:pPr>
        <w:pStyle w:val="Lijstalinea"/>
        <w:numPr>
          <w:ilvl w:val="0"/>
          <w:numId w:val="12"/>
        </w:numPr>
        <w:tabs>
          <w:tab w:val="clear" w:pos="397"/>
        </w:tabs>
      </w:pPr>
      <w:r w:rsidRPr="00555C9B">
        <w:t>technische bekwaamheid en beroepsbekwaamheid</w:t>
      </w:r>
    </w:p>
    <w:p w:rsidRPr="00555C9B" w:rsidR="009077BE" w:rsidP="009077BE" w:rsidRDefault="009077BE" w14:paraId="79E27D47" w14:textId="77777777">
      <w:pPr>
        <w:pStyle w:val="broodtekst"/>
        <w:suppressAutoHyphens/>
        <w:spacing w:line="0" w:lineRule="atLeast"/>
      </w:pPr>
    </w:p>
    <w:p w:rsidRPr="00555C9B" w:rsidR="009077BE" w:rsidP="009077BE" w:rsidRDefault="009077BE" w14:paraId="00ED0C53" w14:textId="78681110">
      <w:pPr>
        <w:suppressAutoHyphens/>
      </w:pPr>
      <w:bookmarkStart w:name="_Hlk185501762" w:id="75"/>
      <w:r w:rsidRPr="00555C9B">
        <w:t xml:space="preserve">De Inschrijver dient te voldoen aan alle geschiktheidseisen die in onderstaande subparagrafen zijn opgenomen. </w:t>
      </w:r>
    </w:p>
    <w:p w:rsidRPr="00555C9B" w:rsidR="009077BE" w:rsidP="009077BE" w:rsidRDefault="009077BE" w14:paraId="20FE85A0" w14:textId="77777777">
      <w:pPr>
        <w:suppressAutoHyphens/>
      </w:pPr>
    </w:p>
    <w:p w:rsidRPr="00555C9B" w:rsidR="009077BE" w:rsidP="009077BE" w:rsidRDefault="009077BE" w14:paraId="5F590AD0" w14:textId="4B637904">
      <w:pPr>
        <w:suppressAutoHyphens/>
      </w:pPr>
      <w:r w:rsidRPr="00555C9B">
        <w:t xml:space="preserve">In Deel IV van het UEA dient Inschrijver te verklaren dat </w:t>
      </w:r>
      <w:r w:rsidR="009A2ED8">
        <w:t xml:space="preserve">hij/zij voldoet </w:t>
      </w:r>
      <w:r w:rsidRPr="00555C9B">
        <w:t>aan alle geschiktheidseisen (in het UEA ‘selectiecriteria’ genoemd). Inschrijver verklaart dat door in Deel IV van het UEA het antwoord ‘ja’ aan te kruisen.</w:t>
      </w:r>
      <w:r w:rsidR="009A2ED8">
        <w:t xml:space="preserve"> </w:t>
      </w:r>
      <w:r w:rsidRPr="009A2ED8" w:rsidR="009A2ED8">
        <w:t>Het ten onrechte invullen van Deel IV UEA met “ja” kwalificeert als een “Valse verklaring” en leidt tot uitsluiting van de aanbestedingsprocedure.</w:t>
      </w:r>
    </w:p>
    <w:bookmarkEnd w:id="75"/>
    <w:p w:rsidRPr="00555C9B" w:rsidR="009077BE" w:rsidP="009077BE" w:rsidRDefault="009077BE" w14:paraId="7600C209" w14:textId="77777777">
      <w:pPr>
        <w:suppressAutoHyphens/>
      </w:pPr>
    </w:p>
    <w:p w:rsidR="009077BE" w:rsidP="00D35FCC" w:rsidRDefault="009077BE" w14:paraId="039183D1" w14:textId="01903909">
      <w:pPr>
        <w:suppressAutoHyphens/>
      </w:pPr>
      <w:r w:rsidRPr="00555C9B">
        <w:t xml:space="preserve">Voor Samenwerkingsverbanden die als Inschrijver een Inschrijving indienen, geldt dat het Samenwerkingsverband als geheel moet voldoen aan alle geschiktheidseisen. Ieder van de leden van het Samenwerkingsverband dient in dat geval in Deel IV van het UEA het antwoord ‘ja’ aan te kruisen. </w:t>
      </w:r>
    </w:p>
    <w:p w:rsidR="009077BE" w:rsidP="009077BE" w:rsidRDefault="009077BE" w14:paraId="007A8DA5" w14:textId="77777777">
      <w:pPr>
        <w:pStyle w:val="Kop2"/>
      </w:pPr>
      <w:bookmarkStart w:name="_Toc205383354" w:id="76"/>
      <w:r>
        <w:t>Bevoegdheid de beroepsactiviteiten uit te voeren</w:t>
      </w:r>
      <w:bookmarkEnd w:id="76"/>
    </w:p>
    <w:p w:rsidRPr="00555C9B" w:rsidR="009077BE" w:rsidP="009077BE" w:rsidRDefault="009077BE" w14:paraId="7898A690" w14:textId="77777777">
      <w:pPr>
        <w:pStyle w:val="broodtekst-bold"/>
        <w:suppressAutoHyphens/>
        <w:spacing w:line="0" w:lineRule="atLeast"/>
        <w:rPr>
          <w:rFonts w:ascii="Arial" w:hAnsi="Arial" w:cs="Arial"/>
          <w:b w:val="0"/>
          <w:i/>
          <w:sz w:val="20"/>
          <w:szCs w:val="20"/>
        </w:rPr>
      </w:pPr>
      <w:r w:rsidRPr="00555C9B">
        <w:rPr>
          <w:rFonts w:ascii="Arial" w:hAnsi="Arial" w:cs="Arial"/>
          <w:b w:val="0"/>
          <w:i/>
          <w:sz w:val="20"/>
          <w:szCs w:val="20"/>
        </w:rPr>
        <w:t>Geschiktheidseis 1: Inschrijving in Handelsregister</w:t>
      </w:r>
    </w:p>
    <w:p w:rsidRPr="00555C9B" w:rsidR="009077BE" w:rsidP="009077BE" w:rsidRDefault="009077BE" w14:paraId="133AE84A" w14:textId="77777777">
      <w:pPr>
        <w:suppressAutoHyphens/>
      </w:pPr>
    </w:p>
    <w:p w:rsidRPr="00555C9B" w:rsidR="009077BE" w:rsidP="009077BE" w:rsidRDefault="009077BE" w14:paraId="55EE1534" w14:textId="20A9AF0A">
      <w:pPr>
        <w:suppressAutoHyphens/>
      </w:pPr>
      <w:bookmarkStart w:name="_Hlk185501882" w:id="77"/>
      <w:r w:rsidRPr="00555C9B">
        <w:t>De Inschrijver dient ingeschreven te staan in het in het land van herkomst geldende beroeps- of Handelsregister. Indien wordt ingeschreven als Samenwerkingsverband, dan dienen alle leden van het Samenwerkingsverband op het moment van het indienen van de Inschrijving, ingeschreven te staan in het in het land van herkomst geldende beroeps- of Handelsregister. Indien wordt ingeschreven met een of meerdere onderaannemers, dan dienen ook de onderaannemers op het moment van het indienen van de Inschrijving, ingeschreven te staan in het in het land van herkomst geldende beroeps- of Handelsregister.</w:t>
      </w:r>
    </w:p>
    <w:bookmarkEnd w:id="77"/>
    <w:p w:rsidRPr="00555C9B" w:rsidR="009077BE" w:rsidP="009077BE" w:rsidRDefault="009077BE" w14:paraId="29B0602E" w14:textId="77777777">
      <w:pPr>
        <w:suppressAutoHyphens/>
      </w:pPr>
    </w:p>
    <w:p w:rsidRPr="00555C9B" w:rsidR="009077BE" w:rsidP="009077BE" w:rsidRDefault="009077BE" w14:paraId="6E669AF3" w14:textId="77777777">
      <w:pPr>
        <w:pStyle w:val="Alinea0"/>
        <w:widowControl/>
        <w:tabs>
          <w:tab w:val="left" w:pos="1418"/>
        </w:tabs>
        <w:suppressAutoHyphens/>
        <w:ind w:hanging="1134"/>
        <w:rPr>
          <w:lang w:val="nl-NL"/>
        </w:rPr>
      </w:pPr>
      <w:r w:rsidRPr="00555C9B">
        <w:rPr>
          <w:u w:val="single"/>
          <w:lang w:val="nl-NL"/>
        </w:rPr>
        <w:t>Bewijsmiddelen</w:t>
      </w:r>
      <w:r w:rsidRPr="00555C9B">
        <w:rPr>
          <w:lang w:val="nl-NL"/>
        </w:rPr>
        <w:t>:</w:t>
      </w:r>
    </w:p>
    <w:p w:rsidRPr="00555C9B" w:rsidR="009077BE" w:rsidP="009077BE" w:rsidRDefault="009077BE" w14:paraId="71535F19" w14:textId="77777777">
      <w:pPr>
        <w:suppressAutoHyphens/>
      </w:pPr>
      <w:r w:rsidRPr="00555C9B">
        <w:t xml:space="preserve">Ten bewijze dat de Inschrijver aan deze eis voldoet, kan bij Inschrijving worden volstaan met het indienen van het UEA (Deel IV, onderdeel α aankruisen). </w:t>
      </w:r>
    </w:p>
    <w:p w:rsidRPr="00555C9B" w:rsidR="009077BE" w:rsidP="009077BE" w:rsidRDefault="009077BE" w14:paraId="267447FB" w14:textId="77777777">
      <w:pPr>
        <w:suppressAutoHyphens/>
      </w:pPr>
    </w:p>
    <w:p w:rsidR="009077BE" w:rsidP="009077BE" w:rsidRDefault="009077BE" w14:paraId="7A6DCCC0" w14:textId="3E1423D3">
      <w:r w:rsidRPr="00555C9B">
        <w:t xml:space="preserve">Van de Inschrijver aan wie de Aanbestedende Dienst de Opdracht voornemens is te gunnen wordt in de gunningsbrief een uittreksel uit het beroeps- of Handelsregister gevraagd. Dit uittreksel mag niet ouder zijn dan zes maanden voorafgaand aan het uiterste tijdstip van het indienen van de Inschrijving. De Inschrijver moet binnen zeven kalenderdagen na </w:t>
      </w:r>
      <w:r w:rsidRPr="00555C9B">
        <w:t>verzending van dit voornemen tot gunning dit bewijsmiddel aan de Aanbestedende Dienst</w:t>
      </w:r>
      <w:r w:rsidR="009C5C3B">
        <w:t xml:space="preserve"> verstrekken</w:t>
      </w:r>
      <w:r>
        <w:t>.</w:t>
      </w:r>
    </w:p>
    <w:p w:rsidR="009077BE" w:rsidP="009077BE" w:rsidRDefault="009077BE" w14:paraId="6154C853" w14:textId="77777777">
      <w:pPr>
        <w:pStyle w:val="Kop2"/>
      </w:pPr>
      <w:bookmarkStart w:name="_Toc205383355" w:id="78"/>
      <w:bookmarkStart w:name="_Hlk185502231" w:id="79"/>
      <w:r>
        <w:t>Financiële en economische draagkracht</w:t>
      </w:r>
      <w:bookmarkEnd w:id="78"/>
    </w:p>
    <w:bookmarkEnd w:id="79"/>
    <w:p w:rsidRPr="00555C9B" w:rsidR="009077BE" w:rsidP="009077BE" w:rsidRDefault="009077BE" w14:paraId="0C960B9F" w14:textId="77777777">
      <w:pPr>
        <w:pStyle w:val="broodtekst"/>
        <w:suppressAutoHyphens/>
        <w:spacing w:line="0" w:lineRule="atLeast"/>
        <w:rPr>
          <w:rFonts w:ascii="Arial" w:hAnsi="Arial" w:cs="Arial"/>
          <w:i/>
          <w:sz w:val="20"/>
          <w:szCs w:val="20"/>
        </w:rPr>
      </w:pPr>
      <w:r w:rsidRPr="00555C9B">
        <w:rPr>
          <w:rFonts w:ascii="Arial" w:hAnsi="Arial" w:cs="Arial"/>
          <w:i/>
          <w:sz w:val="20"/>
          <w:szCs w:val="20"/>
        </w:rPr>
        <w:t>Geschiktheidseis 2: Goedkeurende accountantsverklaring zonder continuïteitsparagraaf</w:t>
      </w:r>
    </w:p>
    <w:p w:rsidRPr="00555C9B" w:rsidR="009077BE" w:rsidP="009077BE" w:rsidRDefault="009077BE" w14:paraId="734882B7" w14:textId="77777777">
      <w:pPr>
        <w:suppressAutoHyphens/>
      </w:pPr>
    </w:p>
    <w:p w:rsidRPr="00555C9B" w:rsidR="009077BE" w:rsidP="009077BE" w:rsidRDefault="009077BE" w14:paraId="3FCB89E9" w14:textId="2FC6A471">
      <w:pPr>
        <w:suppressAutoHyphens/>
      </w:pPr>
      <w:bookmarkStart w:name="_Hlk185502278" w:id="80"/>
      <w:r w:rsidRPr="00555C9B">
        <w:t>De Inschrijver dient voldoende financieel en economisch draagkrachtig te zijn</w:t>
      </w:r>
      <w:r w:rsidR="008E6385">
        <w:t>.</w:t>
      </w:r>
      <w:r w:rsidRPr="00555C9B">
        <w:t xml:space="preserve"> De Inschrijver dient daarom te beschikken over een accountantsverklaring betreffende de jaarrekening over het meest recent afgesloten boekjaar. Deze goedkeurende accountantsverklaring mag geen zogenaamde continuïteitsparagraaf </w:t>
      </w:r>
      <w:r w:rsidR="00D01D2B">
        <w:t xml:space="preserve">bevatten </w:t>
      </w:r>
      <w:r w:rsidRPr="00555C9B">
        <w:t>(dat wil zeggen een verplichte toelichtende paragraaf wegens ernstige onzekerheid omtrent de continuïteit van de Inschrijver)</w:t>
      </w:r>
      <w:r w:rsidR="00824A69">
        <w:t>,</w:t>
      </w:r>
      <w:r w:rsidRPr="00555C9B">
        <w:t xml:space="preserve"> </w:t>
      </w:r>
      <w:r w:rsidR="00E0634D">
        <w:t>dan wel een onthouding van oordeel</w:t>
      </w:r>
      <w:r w:rsidRPr="00555C9B">
        <w:t xml:space="preserve">. </w:t>
      </w:r>
    </w:p>
    <w:bookmarkEnd w:id="80"/>
    <w:p w:rsidRPr="00555C9B" w:rsidR="009077BE" w:rsidP="009077BE" w:rsidRDefault="009077BE" w14:paraId="7E768AFB" w14:textId="77777777">
      <w:pPr>
        <w:suppressAutoHyphens/>
      </w:pPr>
    </w:p>
    <w:p w:rsidRPr="00555C9B" w:rsidR="009077BE" w:rsidP="009077BE" w:rsidRDefault="009077BE" w14:paraId="24BEA922" w14:textId="77777777">
      <w:pPr>
        <w:suppressAutoHyphens/>
      </w:pPr>
      <w:r w:rsidRPr="00555C9B">
        <w:t>Indien Inschrijver niet verplicht is om zijn jaarrekening te laten controleren door een externe accountant, omdat zijn onderneming als ‘kleine rechtspersoon’ of als ‘micro-rechtspersoon’ in de zin van afdeling 11 van titel 9 Burgerlijk Wetboek Boek 2 wordt aangemerkt, dan geldt het volgende.</w:t>
      </w:r>
    </w:p>
    <w:p w:rsidRPr="00555C9B" w:rsidR="009077BE" w:rsidP="009077BE" w:rsidRDefault="009077BE" w14:paraId="416B5132" w14:textId="77777777">
      <w:pPr>
        <w:suppressAutoHyphens/>
      </w:pPr>
    </w:p>
    <w:p w:rsidRPr="00555C9B" w:rsidR="009077BE" w:rsidP="009077BE" w:rsidRDefault="009077BE" w14:paraId="4D16CED1" w14:textId="77777777">
      <w:pPr>
        <w:suppressAutoHyphens/>
      </w:pPr>
      <w:bookmarkStart w:name="_Hlk185502290" w:id="81"/>
      <w:r w:rsidRPr="00555C9B">
        <w:t xml:space="preserve">De Inschrijver die een ‘kleine rechtspersoon’ of een ‘micro-rechtspersoon’ is, dient voldoende financieel en economisch draagkrachtig te zijn om de Opdracht met goed resultaat te kunnen uitvoeren. De Inschrijver die een ‘kleine rechtspersoon’ of een </w:t>
      </w:r>
    </w:p>
    <w:p w:rsidRPr="00555C9B" w:rsidR="009077BE" w:rsidP="009077BE" w:rsidRDefault="009077BE" w14:paraId="7F091817" w14:textId="185C996A">
      <w:pPr>
        <w:suppressAutoHyphens/>
      </w:pPr>
      <w:r w:rsidRPr="00555C9B">
        <w:t>‘micro-rechtspersoon’ is, dient daarom te beschikken over een samenstellingsverklaring.</w:t>
      </w:r>
    </w:p>
    <w:bookmarkEnd w:id="81"/>
    <w:p w:rsidR="009077BE" w:rsidP="009077BE" w:rsidRDefault="009077BE" w14:paraId="561CC0DA" w14:textId="77777777">
      <w:pPr>
        <w:suppressAutoHyphens/>
      </w:pPr>
    </w:p>
    <w:p w:rsidR="00824A69" w:rsidP="009077BE" w:rsidRDefault="00824A69" w14:paraId="281F4FAD" w14:textId="77777777">
      <w:pPr>
        <w:suppressAutoHyphens/>
      </w:pPr>
      <w:r>
        <w:t>Voor startende ondernemingen behoudt Aanbestedende Dienst zich het recht voor om gebruik te maken van de bevoegdheid die haar toekomt op grond van artikel 2.91 lid 3 Aw. Aanbestedende Dienst is niet verplicht om gebruik te maken van deze bevoegdheid.</w:t>
      </w:r>
    </w:p>
    <w:p w:rsidRPr="00555C9B" w:rsidR="00824A69" w:rsidP="009077BE" w:rsidRDefault="00824A69" w14:paraId="54406994" w14:textId="77777777">
      <w:pPr>
        <w:suppressAutoHyphens/>
      </w:pPr>
    </w:p>
    <w:p w:rsidRPr="00555C9B" w:rsidR="009077BE" w:rsidP="009077BE" w:rsidRDefault="009077BE" w14:paraId="461F226A" w14:textId="77777777">
      <w:pPr>
        <w:pStyle w:val="Alinea0"/>
        <w:widowControl/>
        <w:tabs>
          <w:tab w:val="left" w:pos="1418"/>
        </w:tabs>
        <w:suppressAutoHyphens/>
        <w:ind w:hanging="1134"/>
        <w:rPr>
          <w:rFonts w:ascii="Verdana" w:hAnsi="Verdana" w:cs="Arial"/>
          <w:lang w:val="nl-NL"/>
        </w:rPr>
      </w:pPr>
      <w:r w:rsidRPr="00555C9B">
        <w:rPr>
          <w:u w:val="single"/>
          <w:lang w:val="nl-NL"/>
        </w:rPr>
        <w:t>Bewijsmiddelen</w:t>
      </w:r>
      <w:r w:rsidRPr="00555C9B">
        <w:rPr>
          <w:rFonts w:ascii="Verdana" w:hAnsi="Verdana" w:cs="Arial"/>
          <w:lang w:val="nl-NL"/>
        </w:rPr>
        <w:t>:</w:t>
      </w:r>
    </w:p>
    <w:p w:rsidRPr="00555C9B" w:rsidR="009077BE" w:rsidP="009077BE" w:rsidRDefault="009077BE" w14:paraId="33781992" w14:textId="77777777">
      <w:pPr>
        <w:suppressAutoHyphens/>
      </w:pPr>
      <w:r w:rsidRPr="00555C9B">
        <w:t>Ten bewijze dat de Inschrijver aan deze eis voldoet, kan bij Inschrijving worden volstaan met het indienen van het UEA (Deel IV, onderdeel α aankruisen).</w:t>
      </w:r>
    </w:p>
    <w:p w:rsidRPr="00555C9B" w:rsidR="009077BE" w:rsidP="009077BE" w:rsidRDefault="009077BE" w14:paraId="2179C072" w14:textId="77777777">
      <w:pPr>
        <w:suppressAutoHyphens/>
      </w:pPr>
    </w:p>
    <w:p w:rsidRPr="00555C9B" w:rsidR="009077BE" w:rsidP="009077BE" w:rsidRDefault="009077BE" w14:paraId="56D8970D" w14:textId="77777777">
      <w:pPr>
        <w:suppressAutoHyphens/>
      </w:pPr>
      <w:r w:rsidRPr="00555C9B">
        <w:t xml:space="preserve">Van de Inschrijver aan wie de Aanbestedende Dienst de Opdracht voornemens is te gunnen, wordt in de gunningsbeslissing een kopie van de accountantsverklaring of kopie van de samenstellingsverklaring opgevraagd. De Inschrijver moet binnen zeven kalenderdagen na verzending van het voornemen tot gunning dit bewijsmiddel aan de Aanbestedende Dienst verstrekken. </w:t>
      </w:r>
    </w:p>
    <w:p w:rsidRPr="00555C9B" w:rsidR="009077BE" w:rsidP="009077BE" w:rsidRDefault="009077BE" w14:paraId="4E27AC0F" w14:textId="77777777">
      <w:pPr>
        <w:suppressAutoHyphens/>
      </w:pPr>
    </w:p>
    <w:p w:rsidRPr="00555C9B" w:rsidR="009077BE" w:rsidP="009077BE" w:rsidRDefault="009077BE" w14:paraId="63008939" w14:textId="77777777">
      <w:pPr>
        <w:tabs>
          <w:tab w:val="left" w:pos="227"/>
          <w:tab w:val="left" w:pos="454"/>
          <w:tab w:val="left" w:pos="680"/>
        </w:tabs>
        <w:suppressAutoHyphens/>
        <w:autoSpaceDE w:val="0"/>
        <w:autoSpaceDN w:val="0"/>
        <w:adjustRightInd w:val="0"/>
        <w:spacing w:line="0" w:lineRule="atLeast"/>
        <w:rPr>
          <w:szCs w:val="18"/>
        </w:rPr>
      </w:pPr>
      <w:bookmarkStart w:name="_Toc351713525" w:id="82"/>
      <w:bookmarkStart w:name="_Toc419285402" w:id="83"/>
      <w:bookmarkStart w:name="_Toc421086898" w:id="84"/>
      <w:bookmarkEnd w:id="82"/>
      <w:r w:rsidRPr="00555C9B">
        <w:rPr>
          <w:i/>
          <w:szCs w:val="18"/>
        </w:rPr>
        <w:t>Geschiktheidseis 3: Verzekering</w:t>
      </w:r>
    </w:p>
    <w:bookmarkEnd w:id="83"/>
    <w:bookmarkEnd w:id="84"/>
    <w:p w:rsidRPr="00555C9B" w:rsidR="009077BE" w:rsidP="009077BE" w:rsidRDefault="009077BE" w14:paraId="269D3E61" w14:textId="77777777">
      <w:pPr>
        <w:suppressAutoHyphens/>
      </w:pPr>
    </w:p>
    <w:p w:rsidRPr="00555C9B" w:rsidR="009077BE" w:rsidP="009077BE" w:rsidRDefault="009077BE" w14:paraId="2AD18567" w14:textId="4E20188C">
      <w:pPr>
        <w:suppressAutoHyphens/>
      </w:pPr>
      <w:r w:rsidRPr="00555C9B">
        <w:t xml:space="preserve">De Inschrijver dient, te beschikken over een beroepsaansprakelijkheidsverzekering met een minimale dekking van € </w:t>
      </w:r>
      <w:r w:rsidR="00535E83">
        <w:t>500.000</w:t>
      </w:r>
      <w:r w:rsidRPr="00555C9B">
        <w:t xml:space="preserve"> per aanspraak gemaximeerd tot € </w:t>
      </w:r>
      <w:r w:rsidR="00535E83">
        <w:t>1.000.000</w:t>
      </w:r>
      <w:r w:rsidRPr="00555C9B">
        <w:t xml:space="preserve"> per verzekeringsjaar. Deze verzekering dient uiterlijk in te gaan op de dag dat de uitvoering van de Overeenkomst aanvangt. De verzekering dient te zijn afgesloten en geldig te zijn gedurende de gehele looptijd van de Overeenkomst, inclusief eventuele verlengingsopties daarin. </w:t>
      </w:r>
    </w:p>
    <w:p w:rsidRPr="00555C9B" w:rsidR="009077BE" w:rsidP="009077BE" w:rsidRDefault="009077BE" w14:paraId="42F783C7" w14:textId="77777777">
      <w:pPr>
        <w:suppressAutoHyphens/>
        <w:spacing w:line="284" w:lineRule="atLeast"/>
        <w:rPr>
          <w:rFonts w:ascii="Verdana" w:hAnsi="Verdana" w:cs="Arial"/>
        </w:rPr>
      </w:pPr>
    </w:p>
    <w:p w:rsidRPr="00555C9B" w:rsidR="009077BE" w:rsidP="009077BE" w:rsidRDefault="009077BE" w14:paraId="2C874E73" w14:textId="77777777">
      <w:pPr>
        <w:pStyle w:val="Alinea0"/>
        <w:widowControl/>
        <w:tabs>
          <w:tab w:val="left" w:pos="1418"/>
        </w:tabs>
        <w:suppressAutoHyphens/>
        <w:ind w:hanging="1134"/>
        <w:rPr>
          <w:rFonts w:ascii="Verdana" w:hAnsi="Verdana" w:cs="Arial"/>
          <w:lang w:val="nl-NL"/>
        </w:rPr>
      </w:pPr>
      <w:r w:rsidRPr="00555C9B">
        <w:rPr>
          <w:u w:val="single"/>
          <w:lang w:val="nl-NL"/>
        </w:rPr>
        <w:t>Bewijsmiddelen</w:t>
      </w:r>
      <w:r w:rsidRPr="00555C9B">
        <w:rPr>
          <w:rFonts w:ascii="Verdana" w:hAnsi="Verdana" w:cs="Arial"/>
          <w:lang w:val="nl-NL"/>
        </w:rPr>
        <w:t>:</w:t>
      </w:r>
    </w:p>
    <w:p w:rsidRPr="00555C9B" w:rsidR="009077BE" w:rsidP="009077BE" w:rsidRDefault="009077BE" w14:paraId="5DD94D7E" w14:textId="77777777">
      <w:pPr>
        <w:suppressAutoHyphens/>
      </w:pPr>
      <w:r w:rsidRPr="00555C9B">
        <w:t>Ten bewijze dat de Inschrijver aan deze eis voldoet, kan bij Inschrijving worden volstaan met het indienen van het UEA (Deel IV, onderdeel α aankruisen).</w:t>
      </w:r>
    </w:p>
    <w:p w:rsidRPr="00555C9B" w:rsidR="009077BE" w:rsidP="009077BE" w:rsidRDefault="009077BE" w14:paraId="747ED20E" w14:textId="77777777">
      <w:pPr>
        <w:suppressAutoHyphens/>
      </w:pPr>
    </w:p>
    <w:p w:rsidR="009077BE" w:rsidP="00D35FCC" w:rsidRDefault="009077BE" w14:paraId="74E3D43F" w14:textId="716C7E8A">
      <w:pPr>
        <w:suppressAutoHyphens/>
      </w:pPr>
      <w:r w:rsidRPr="00555C9B">
        <w:t xml:space="preserve">Van de Inschrijver aan wie de Aanbestedende Dienst de Opdracht voornemens is te gunnen, wordt in de gunningsbeslissing het bewijsmiddel opgevraagd, waaruit ten minste de verzekeringsdekking volgt. Dit bewijsmiddel kan bijvoorbeeld een kopie van het polisblad, of een kopie van de verzekeringsovereenkomst zijn. De Inschrijver moet binnen zeven kalenderdagen na verzending van het voornemen tot gunning dit bewijsmiddel aan de Aanbestedende Dienst verstrekken. </w:t>
      </w:r>
    </w:p>
    <w:p w:rsidR="000B155B" w:rsidP="000B155B" w:rsidRDefault="000B155B" w14:paraId="63526A39" w14:textId="77777777">
      <w:pPr>
        <w:pStyle w:val="Kop2"/>
      </w:pPr>
      <w:bookmarkStart w:name="_Toc205383356" w:id="85"/>
      <w:r>
        <w:t>Technische bekwaamheid en beroepsbekwaamheid</w:t>
      </w:r>
      <w:bookmarkEnd w:id="85"/>
    </w:p>
    <w:p w:rsidRPr="00555C9B" w:rsidR="000B155B" w:rsidP="000B155B" w:rsidRDefault="000B155B" w14:paraId="6BC1F7ED" w14:textId="77777777">
      <w:pPr>
        <w:suppressAutoHyphens/>
      </w:pPr>
      <w:r w:rsidRPr="00555C9B">
        <w:t>In deze aanbesteding zijn de volgende kerncompetenties met betrekking tot de technische bekwaamheid en beroepsbekwaamheid relevant:</w:t>
      </w:r>
    </w:p>
    <w:p w:rsidR="000B155B" w:rsidP="000B155B" w:rsidRDefault="000B155B" w14:paraId="7FA68B1D" w14:textId="77777777">
      <w:pPr>
        <w:suppressAutoHyphens/>
        <w:rPr>
          <w:i/>
        </w:rPr>
      </w:pPr>
    </w:p>
    <w:p w:rsidR="00CE21FC" w:rsidP="00CE21FC" w:rsidRDefault="00CE21FC" w14:paraId="71502A49" w14:textId="77777777">
      <w:r w:rsidRPr="00CB6F1A">
        <w:t xml:space="preserve">De </w:t>
      </w:r>
      <w:r>
        <w:t>I</w:t>
      </w:r>
      <w:r w:rsidRPr="00CB6F1A">
        <w:t xml:space="preserve">nschrijver toont door middel van referenties voor elk van de hieronder beschreven kerncompetenties aan de uitvoering van onderhavige opdracht volledig te beheersen. </w:t>
      </w:r>
    </w:p>
    <w:p w:rsidR="00B07864" w:rsidP="000B155B" w:rsidRDefault="00B07864" w14:paraId="494DB3AD" w14:textId="77777777">
      <w:pPr>
        <w:suppressAutoHyphens/>
        <w:rPr>
          <w:i/>
        </w:rPr>
      </w:pPr>
    </w:p>
    <w:p w:rsidR="002C7F54" w:rsidP="002C7F54" w:rsidRDefault="002C7F54" w14:paraId="6A7B22B4" w14:textId="6024D823">
      <w:pPr>
        <w:rPr>
          <w:b/>
          <w:bCs/>
        </w:rPr>
      </w:pPr>
      <w:r w:rsidRPr="00CB6F1A">
        <w:rPr>
          <w:b/>
          <w:bCs/>
        </w:rPr>
        <w:t xml:space="preserve">Kerncompetentie 1 - Beheersing proces </w:t>
      </w:r>
      <w:r>
        <w:rPr>
          <w:b/>
          <w:bCs/>
        </w:rPr>
        <w:t>voor het inrichten, beheren en beschikbaar stellen van verrijkte en gevalideerde data en metadata</w:t>
      </w:r>
      <w:r w:rsidR="009A0F5E">
        <w:rPr>
          <w:b/>
          <w:bCs/>
        </w:rPr>
        <w:t>.</w:t>
      </w:r>
    </w:p>
    <w:p w:rsidR="002C7F54" w:rsidP="002C7F54" w:rsidRDefault="002C7F54" w14:paraId="10EF5458" w14:textId="77777777"/>
    <w:p w:rsidR="002C7F54" w:rsidP="002C7F54" w:rsidRDefault="002C7F54" w14:paraId="48837E99" w14:textId="08B69CFC">
      <w:r>
        <w:t xml:space="preserve">De inschrijver heeft </w:t>
      </w:r>
      <w:r w:rsidR="00032C77">
        <w:t xml:space="preserve">aantoonbaar </w:t>
      </w:r>
      <w:r>
        <w:t>e</w:t>
      </w:r>
      <w:r w:rsidRPr="00FF3CC8">
        <w:t>rvaring met</w:t>
      </w:r>
      <w:r>
        <w:t>:</w:t>
      </w:r>
    </w:p>
    <w:p w:rsidR="002C7F54" w:rsidP="00B608AB" w:rsidRDefault="002C7F54" w14:paraId="779C8A1F" w14:textId="1A091296">
      <w:pPr>
        <w:numPr>
          <w:ilvl w:val="0"/>
          <w:numId w:val="23"/>
        </w:numPr>
      </w:pPr>
      <w:r>
        <w:t>Het geautomatiseerd verrijken en valideren van data tot een 2D en 3D kaartbeeld als actueel</w:t>
      </w:r>
      <w:r w:rsidR="00F31F6C">
        <w:t xml:space="preserve"> </w:t>
      </w:r>
      <w:r w:rsidR="00983CF5">
        <w:t xml:space="preserve">(conform de laatste beschikbare data bij bronhouders) </w:t>
      </w:r>
      <w:r w:rsidR="00F31F6C">
        <w:t>en</w:t>
      </w:r>
      <w:r>
        <w:t xml:space="preserve"> </w:t>
      </w:r>
      <w:r w:rsidR="001D60C5">
        <w:t>volledig</w:t>
      </w:r>
      <w:r>
        <w:t xml:space="preserve"> gedeeld beeld van de werkelijkheid. Het </w:t>
      </w:r>
      <w:r w:rsidR="00F75E63">
        <w:t xml:space="preserve">proces van </w:t>
      </w:r>
      <w:r>
        <w:t>valideren van de data</w:t>
      </w:r>
      <w:r w:rsidR="00F75E63">
        <w:t>, welke garant</w:t>
      </w:r>
      <w:r>
        <w:t xml:space="preserve"> staat voor een gegarandeerde en geaccepteerde kwaliteit van de data. Met het verrijken van data wordt bedoeld het in samenhang combineren en verifiëren van data met data uit andere (openbare) bronnen voor een volledigere informatievoorziening op te bouwen die beter aansluit op de informatiebehoeften uit de verschillende werkprocessen.</w:t>
      </w:r>
    </w:p>
    <w:p w:rsidR="002C7F54" w:rsidP="00B608AB" w:rsidRDefault="002C7F54" w14:paraId="4B6BBF99" w14:textId="77777777">
      <w:pPr>
        <w:pStyle w:val="Lijstalinea"/>
        <w:numPr>
          <w:ilvl w:val="0"/>
          <w:numId w:val="23"/>
        </w:numPr>
        <w:rPr>
          <w:rFonts w:cs="Arial"/>
        </w:rPr>
      </w:pPr>
      <w:r>
        <w:rPr>
          <w:rFonts w:cs="Arial"/>
        </w:rPr>
        <w:t>Het aanbieden van gevalideerde metadata bij elke dataset.</w:t>
      </w:r>
      <w:r w:rsidRPr="00D45A71">
        <w:t xml:space="preserve"> </w:t>
      </w:r>
      <w:r>
        <w:t>Het valideren van de metadata staat garant voor een gegarandeerde en geaccepteerde kwaliteit van de metadata.</w:t>
      </w:r>
    </w:p>
    <w:p w:rsidRPr="006F7454" w:rsidR="002C7F54" w:rsidP="00B608AB" w:rsidRDefault="002C7F54" w14:paraId="7FA21FA1" w14:textId="24329DA7">
      <w:pPr>
        <w:pStyle w:val="Lijstalinea"/>
        <w:numPr>
          <w:ilvl w:val="0"/>
          <w:numId w:val="23"/>
        </w:numPr>
        <w:rPr>
          <w:rFonts w:cs="Arial"/>
        </w:rPr>
      </w:pPr>
      <w:r>
        <w:rPr>
          <w:rFonts w:cs="Arial"/>
        </w:rPr>
        <w:t>Het flexibel aanpassen van de structuur van de metadata om input te kunnen verwerken, zodanig dat de metadata de data relateert aan de taken van de gebruikers. Zodat de gebruikers i</w:t>
      </w:r>
      <w:r w:rsidRPr="4F1C46CD">
        <w:rPr>
          <w:rFonts w:cs="Arial"/>
        </w:rPr>
        <w:t>n het totale aanbod van geodata snel en geoptimaliseerd de juiste datasets kunnen zoeken en vinden</w:t>
      </w:r>
      <w:r>
        <w:rPr>
          <w:rFonts w:cs="Arial"/>
        </w:rPr>
        <w:t xml:space="preserve">. </w:t>
      </w:r>
    </w:p>
    <w:p w:rsidR="00FF2EE2" w:rsidP="002C7F54" w:rsidRDefault="00FF2EE2" w14:paraId="019E69A6" w14:textId="77777777"/>
    <w:p w:rsidRPr="00555C9B" w:rsidR="000B155B" w:rsidP="000B155B" w:rsidRDefault="002515FE" w14:paraId="3E44F0C1" w14:textId="2293415F">
      <w:pPr>
        <w:suppressAutoHyphens/>
      </w:pPr>
      <w:r>
        <w:rPr>
          <w:b/>
          <w:bCs/>
        </w:rPr>
        <w:t xml:space="preserve">Kerncompetentie 2 </w:t>
      </w:r>
      <w:r w:rsidR="007C2793">
        <w:rPr>
          <w:b/>
          <w:bCs/>
        </w:rPr>
        <w:t>–</w:t>
      </w:r>
      <w:r w:rsidR="00DF1814">
        <w:rPr>
          <w:b/>
          <w:bCs/>
        </w:rPr>
        <w:t xml:space="preserve">Leveren van </w:t>
      </w:r>
      <w:r w:rsidR="00AD0F89">
        <w:rPr>
          <w:b/>
          <w:bCs/>
        </w:rPr>
        <w:t xml:space="preserve">een </w:t>
      </w:r>
      <w:r w:rsidR="001E1BE7">
        <w:rPr>
          <w:b/>
          <w:bCs/>
        </w:rPr>
        <w:t>online cloud-native</w:t>
      </w:r>
      <w:r w:rsidR="00E81B5C">
        <w:rPr>
          <w:b/>
          <w:bCs/>
        </w:rPr>
        <w:t xml:space="preserve"> </w:t>
      </w:r>
      <w:r w:rsidR="00B02025">
        <w:rPr>
          <w:b/>
          <w:bCs/>
        </w:rPr>
        <w:t>dataplatform</w:t>
      </w:r>
      <w:r w:rsidR="0018611B">
        <w:rPr>
          <w:b/>
          <w:bCs/>
        </w:rPr>
        <w:t>.</w:t>
      </w:r>
    </w:p>
    <w:p w:rsidR="0018611B" w:rsidP="000B155B" w:rsidRDefault="004E3D0A" w14:paraId="7DCA3B07" w14:textId="1263A7B8">
      <w:pPr>
        <w:suppressAutoHyphens/>
      </w:pPr>
      <w:r>
        <w:t xml:space="preserve">Inschrijver </w:t>
      </w:r>
      <w:r w:rsidR="00032C77">
        <w:t xml:space="preserve">heeft </w:t>
      </w:r>
      <w:r>
        <w:t>aantoonbaar ervaring met:</w:t>
      </w:r>
    </w:p>
    <w:p w:rsidR="002C3CA7" w:rsidP="00B608AB" w:rsidRDefault="00860672" w14:paraId="1BB68AD4" w14:textId="4377292E">
      <w:pPr>
        <w:pStyle w:val="Lijstalinea"/>
        <w:numPr>
          <w:ilvl w:val="0"/>
          <w:numId w:val="24"/>
        </w:numPr>
        <w:suppressAutoHyphens/>
      </w:pPr>
      <w:r>
        <w:t xml:space="preserve">Het leveren van een online </w:t>
      </w:r>
      <w:r w:rsidR="000E7637">
        <w:t>cloud-native</w:t>
      </w:r>
      <w:r>
        <w:t xml:space="preserve"> datapl</w:t>
      </w:r>
      <w:r w:rsidR="000E7637">
        <w:t>a</w:t>
      </w:r>
      <w:r>
        <w:t>tform</w:t>
      </w:r>
      <w:r w:rsidR="00095D02">
        <w:t xml:space="preserve"> </w:t>
      </w:r>
      <w:r w:rsidR="001153A8">
        <w:t xml:space="preserve">dat </w:t>
      </w:r>
      <w:r w:rsidR="001B24AA">
        <w:t xml:space="preserve">alle datasets levert </w:t>
      </w:r>
      <w:r w:rsidR="00062BF0">
        <w:t>als aparte OGC webservices in meerdere formaten</w:t>
      </w:r>
      <w:r w:rsidR="002E1211">
        <w:t>, namelijk: WMS, W</w:t>
      </w:r>
      <w:r w:rsidR="00BE4684">
        <w:t>MS</w:t>
      </w:r>
      <w:r w:rsidR="002E1211">
        <w:t xml:space="preserve">T, </w:t>
      </w:r>
      <w:r w:rsidR="00BE4684">
        <w:t xml:space="preserve">WFS, </w:t>
      </w:r>
      <w:r w:rsidRPr="009C37A4" w:rsidR="009C37A4">
        <w:t xml:space="preserve"> Vector tiles</w:t>
      </w:r>
      <w:r w:rsidR="005B713A">
        <w:t xml:space="preserve"> en </w:t>
      </w:r>
      <w:r w:rsidRPr="0051336D" w:rsidR="005B713A">
        <w:rPr>
          <w:rFonts w:cs="Arial"/>
        </w:rPr>
        <w:t>3D Tiles</w:t>
      </w:r>
      <w:r w:rsidR="003B23FB">
        <w:t>.</w:t>
      </w:r>
    </w:p>
    <w:p w:rsidR="0053082C" w:rsidP="00B608AB" w:rsidRDefault="0053082C" w14:paraId="1C720660" w14:textId="0DB1ABDB">
      <w:pPr>
        <w:pStyle w:val="Lijstalinea"/>
        <w:numPr>
          <w:ilvl w:val="0"/>
          <w:numId w:val="24"/>
        </w:numPr>
        <w:suppressAutoHyphens/>
      </w:pPr>
      <w:r>
        <w:t>Het nemen van passende maatregelen voor informatiebeveiliging</w:t>
      </w:r>
      <w:r w:rsidR="000E1DE7">
        <w:t xml:space="preserve"> (conform de BIO)</w:t>
      </w:r>
      <w:r w:rsidR="00C371CE">
        <w:t>.</w:t>
      </w:r>
    </w:p>
    <w:p w:rsidR="00C371CE" w:rsidP="00B608AB" w:rsidRDefault="00C371CE" w14:paraId="35CB5643" w14:textId="5EEAD056">
      <w:pPr>
        <w:pStyle w:val="Lijstalinea"/>
        <w:numPr>
          <w:ilvl w:val="0"/>
          <w:numId w:val="24"/>
        </w:numPr>
        <w:suppressAutoHyphens/>
      </w:pPr>
      <w:r>
        <w:t xml:space="preserve">Het </w:t>
      </w:r>
      <w:r w:rsidR="00C42ED7">
        <w:t xml:space="preserve">(ondersteunen bij het) inlezen van </w:t>
      </w:r>
      <w:r w:rsidR="00E55634">
        <w:t xml:space="preserve">de OGC webservices in op open webservices gebaseerde </w:t>
      </w:r>
      <w:r w:rsidR="00295856">
        <w:t>GIS tools.</w:t>
      </w:r>
    </w:p>
    <w:p w:rsidR="00295856" w:rsidP="00B608AB" w:rsidRDefault="006D5937" w14:paraId="1E58F084" w14:textId="64BF99EB">
      <w:pPr>
        <w:pStyle w:val="Lijstalinea"/>
        <w:numPr>
          <w:ilvl w:val="0"/>
          <w:numId w:val="24"/>
        </w:numPr>
        <w:suppressAutoHyphens/>
      </w:pPr>
      <w:r>
        <w:t>Het realiseren van een hoge beschikbaarheid</w:t>
      </w:r>
      <w:r w:rsidR="004F6FA2">
        <w:t>,</w:t>
      </w:r>
      <w:r>
        <w:t xml:space="preserve"> van</w:t>
      </w:r>
      <w:r w:rsidR="00712075">
        <w:t xml:space="preserve"> tenminste </w:t>
      </w:r>
      <w:r w:rsidR="004F6FA2">
        <w:t>99,9%, van</w:t>
      </w:r>
      <w:r>
        <w:t xml:space="preserve"> het online dataplatform.</w:t>
      </w:r>
    </w:p>
    <w:p w:rsidR="002B23E0" w:rsidP="00B608AB" w:rsidRDefault="000D1D1B" w14:paraId="2F235A3E" w14:textId="7FA5CA94">
      <w:pPr>
        <w:pStyle w:val="Lijstalinea"/>
        <w:numPr>
          <w:ilvl w:val="0"/>
          <w:numId w:val="24"/>
        </w:numPr>
        <w:suppressAutoHyphens/>
      </w:pPr>
      <w:r>
        <w:t>Het</w:t>
      </w:r>
      <w:r w:rsidDel="00FE5581" w:rsidR="00860672">
        <w:t xml:space="preserve"> </w:t>
      </w:r>
      <w:r w:rsidR="002B23E0">
        <w:t>technisch doorontwikkelen</w:t>
      </w:r>
      <w:r>
        <w:t xml:space="preserve"> van het online dataplatform.</w:t>
      </w:r>
    </w:p>
    <w:p w:rsidR="000D1E8A" w:rsidP="00A913A6" w:rsidRDefault="000D1E8A" w14:paraId="50B72E42" w14:textId="77777777">
      <w:pPr>
        <w:suppressAutoHyphens/>
      </w:pPr>
    </w:p>
    <w:p w:rsidRPr="00555C9B" w:rsidR="000B155B" w:rsidP="000B155B" w:rsidRDefault="000B155B" w14:paraId="75D4F413" w14:textId="77777777">
      <w:pPr>
        <w:suppressAutoHyphens/>
      </w:pPr>
      <w:r w:rsidRPr="00555C9B">
        <w:t>Ter toetsing van het voldoen aan deze kerncompetenties worden de volgende geschiktheidseisen gesteld.</w:t>
      </w:r>
    </w:p>
    <w:p w:rsidRPr="00555C9B" w:rsidR="000B155B" w:rsidP="000B155B" w:rsidRDefault="000B155B" w14:paraId="05A4868D" w14:textId="77777777">
      <w:pPr>
        <w:suppressAutoHyphens/>
      </w:pPr>
    </w:p>
    <w:p w:rsidRPr="00555C9B" w:rsidR="000B155B" w:rsidP="000B155B" w:rsidRDefault="000B155B" w14:paraId="13CA7643" w14:textId="77777777">
      <w:pPr>
        <w:suppressAutoHyphens/>
        <w:rPr>
          <w:i/>
        </w:rPr>
      </w:pPr>
      <w:r w:rsidRPr="00555C9B">
        <w:rPr>
          <w:i/>
        </w:rPr>
        <w:t>Geschiktheidseis 4: Referenties</w:t>
      </w:r>
    </w:p>
    <w:p w:rsidRPr="00555C9B" w:rsidR="000B155B" w:rsidP="000B155B" w:rsidRDefault="000B155B" w14:paraId="5927B42B" w14:textId="77777777">
      <w:pPr>
        <w:suppressAutoHyphens/>
      </w:pPr>
    </w:p>
    <w:p w:rsidRPr="00555C9B" w:rsidR="000B155B" w:rsidP="000B155B" w:rsidRDefault="000B155B" w14:paraId="6337A891" w14:textId="77777777">
      <w:pPr>
        <w:suppressAutoHyphens/>
      </w:pPr>
      <w:r w:rsidRPr="00555C9B">
        <w:rPr>
          <w:u w:val="single"/>
        </w:rPr>
        <w:t>Referentie-eis 1</w:t>
      </w:r>
      <w:r w:rsidRPr="00555C9B">
        <w:t>:</w:t>
      </w:r>
    </w:p>
    <w:p w:rsidRPr="00555C9B" w:rsidR="000B155B" w:rsidP="000B155B" w:rsidRDefault="000B155B" w14:paraId="694A9F6F" w14:textId="7868F8B4">
      <w:pPr>
        <w:suppressAutoHyphens/>
      </w:pPr>
      <w:r w:rsidRPr="00555C9B">
        <w:t xml:space="preserve">De Inschrijver dient, op straffe van uitsluiting van de aanbestedingsprocedure, </w:t>
      </w:r>
      <w:bookmarkStart w:name="_Hlk32487662" w:id="86"/>
      <w:r w:rsidRPr="00555C9B">
        <w:t>aan te tonen dat hij een referentieopdracht heeft uitgevoerd waarmee hij voldoet aan</w:t>
      </w:r>
      <w:r w:rsidR="004A2AA0">
        <w:t xml:space="preserve"> alle onderdelen van</w:t>
      </w:r>
      <w:r w:rsidRPr="00555C9B">
        <w:t xml:space="preserve"> kerncompetentie 1 en waarvan de opdrachtwaarde minimaal € </w:t>
      </w:r>
      <w:r w:rsidR="00E43152">
        <w:t>40.000</w:t>
      </w:r>
      <w:r w:rsidRPr="00555C9B">
        <w:t xml:space="preserve"> exclusief btw bedroeg</w:t>
      </w:r>
      <w:bookmarkEnd w:id="86"/>
      <w:r w:rsidRPr="00555C9B">
        <w:t xml:space="preserve">. </w:t>
      </w:r>
    </w:p>
    <w:p w:rsidRPr="00555C9B" w:rsidR="000B155B" w:rsidP="000B155B" w:rsidRDefault="000B155B" w14:paraId="6ED36094" w14:textId="77777777">
      <w:pPr>
        <w:suppressAutoHyphens/>
      </w:pPr>
    </w:p>
    <w:p w:rsidRPr="00555C9B" w:rsidR="000B155B" w:rsidP="000B155B" w:rsidRDefault="000B155B" w14:paraId="3E2D0640" w14:textId="77777777">
      <w:pPr>
        <w:suppressAutoHyphens/>
      </w:pPr>
      <w:r w:rsidRPr="00555C9B">
        <w:rPr>
          <w:u w:val="single"/>
        </w:rPr>
        <w:t>Referentie-eis 2</w:t>
      </w:r>
      <w:r w:rsidRPr="00555C9B">
        <w:t>:</w:t>
      </w:r>
    </w:p>
    <w:p w:rsidRPr="00555C9B" w:rsidR="000B155B" w:rsidP="000B155B" w:rsidRDefault="000B155B" w14:paraId="6055A216" w14:textId="46C1D634">
      <w:pPr>
        <w:suppressAutoHyphens/>
      </w:pPr>
      <w:r w:rsidRPr="00555C9B">
        <w:t xml:space="preserve">De Inschrijver dient, op straffe van uitsluiting van de aanbestedingsprocedure, aan te tonen dat hij een referentieopdracht heeft uitgevoerd waarmee hij voldoet aan </w:t>
      </w:r>
      <w:r w:rsidR="004A2AA0">
        <w:t>alle onderdelen van</w:t>
      </w:r>
      <w:r w:rsidRPr="00555C9B" w:rsidR="004A2AA0">
        <w:t xml:space="preserve"> </w:t>
      </w:r>
      <w:r w:rsidRPr="00555C9B">
        <w:t xml:space="preserve">kerncompetentie 2 en waarvan de opdrachtwaarde minimaal € </w:t>
      </w:r>
      <w:r w:rsidR="00E43152">
        <w:t>40.000</w:t>
      </w:r>
      <w:r w:rsidRPr="00555C9B">
        <w:t xml:space="preserve"> exclusief btw bedroeg. </w:t>
      </w:r>
    </w:p>
    <w:p w:rsidRPr="00555C9B" w:rsidR="000B155B" w:rsidP="000B155B" w:rsidRDefault="000B155B" w14:paraId="58BF183C" w14:textId="77777777">
      <w:pPr>
        <w:suppressAutoHyphens/>
      </w:pPr>
    </w:p>
    <w:p w:rsidR="00A06382" w:rsidP="000B155B" w:rsidRDefault="00391795" w14:paraId="11F121E4" w14:textId="271C4EB6">
      <w:pPr>
        <w:suppressAutoHyphens/>
      </w:pPr>
      <w:r>
        <w:t>Genoemde referentieopdrachten van zowel Referentie-eis 1 als Referentie-eis 2 gelden voor het geleverde product</w:t>
      </w:r>
      <w:r w:rsidR="007D004A">
        <w:t xml:space="preserve"> en zijn exclusief eventueel verleende</w:t>
      </w:r>
      <w:r w:rsidR="002A599D">
        <w:t xml:space="preserve"> aanvullende </w:t>
      </w:r>
      <w:r w:rsidR="007D004A">
        <w:t>diensten zoals consultancy, advies, opleidingen etc.</w:t>
      </w:r>
    </w:p>
    <w:p w:rsidRPr="00555C9B" w:rsidR="00A06382" w:rsidP="000B155B" w:rsidRDefault="00A06382" w14:paraId="4F6C2D06" w14:textId="77777777">
      <w:pPr>
        <w:suppressAutoHyphens/>
      </w:pPr>
    </w:p>
    <w:p w:rsidRPr="00555C9B" w:rsidR="000B155B" w:rsidP="000B155B" w:rsidRDefault="000B155B" w14:paraId="3611958E" w14:textId="59F53FD8">
      <w:pPr>
        <w:suppressAutoHyphens/>
      </w:pPr>
      <w:r w:rsidRPr="00555C9B">
        <w:t xml:space="preserve">De referentieopdracht moet, op straffe van uitsluiting van de aanbestedingsprocedure, in de afgelopen drie jaar voorafgaande aan de datum van Inschrijving </w:t>
      </w:r>
      <w:r w:rsidR="00787B93">
        <w:t xml:space="preserve">(zie paragraaf 4.3) </w:t>
      </w:r>
      <w:r w:rsidRPr="00555C9B">
        <w:t>zijn verricht. Een prognose telt niet mee. Referentieopdrachten die zijn afgerond in de afgelopen drie jaar voorafgaande aan de datum van Inschrijving vallen binnen deze periode. Ook referentieopdrachten die nog in uitvoering zijn vallen binnen deze periode. Voor deze laatste referentieopdrachten geldt wel dat de uitvoering ervan minimaal een jaar voorafgaand aan de datum van Inschrijving moet zijn aangevangen</w:t>
      </w:r>
      <w:r w:rsidR="00824A69">
        <w:t xml:space="preserve"> en dat de geëiste minimale waarde van de kerncompetentie in de periode voorafgaande aan de uiterste inschrijfdatum is behaald</w:t>
      </w:r>
      <w:r w:rsidRPr="00555C9B" w:rsidR="00824A69">
        <w:t>.</w:t>
      </w:r>
    </w:p>
    <w:p w:rsidRPr="00555C9B" w:rsidR="000B155B" w:rsidP="000B155B" w:rsidRDefault="000B155B" w14:paraId="5BA347AB" w14:textId="77777777">
      <w:pPr>
        <w:suppressAutoHyphens/>
        <w:spacing w:line="284" w:lineRule="atLeast"/>
      </w:pPr>
    </w:p>
    <w:p w:rsidRPr="00555C9B" w:rsidR="00B24DDD" w:rsidP="00B24DDD" w:rsidRDefault="00B24DDD" w14:paraId="22015838" w14:textId="3473BD92">
      <w:pPr>
        <w:suppressAutoHyphens/>
        <w:spacing w:line="284" w:lineRule="atLeast"/>
      </w:pPr>
      <w:r w:rsidRPr="00555C9B">
        <w:t>Daarnaast moet</w:t>
      </w:r>
      <w:r w:rsidR="00787B93">
        <w:t xml:space="preserve"> </w:t>
      </w:r>
      <w:r w:rsidRPr="00555C9B">
        <w:t>de referentieopdracht</w:t>
      </w:r>
      <w:r w:rsidR="00787B93">
        <w:t xml:space="preserve"> </w:t>
      </w:r>
      <w:r w:rsidRPr="00555C9B">
        <w:t>conform de destijds overeengekomen voorwaarden zijn verricht</w:t>
      </w:r>
      <w:r>
        <w:t xml:space="preserve"> (behoudens onvoorziene omstandigheden)</w:t>
      </w:r>
      <w:r w:rsidRPr="00555C9B">
        <w:t xml:space="preserve">, waaronder dient te worden begrepen tijdige uitvoering (schriftelijk verleend uitstel daarin begrepen). </w:t>
      </w:r>
      <w:r w:rsidRPr="00555C9B">
        <w:rPr>
          <w:rFonts w:cs="Arial"/>
        </w:rPr>
        <w:t>Om te controleren of</w:t>
      </w:r>
      <w:r w:rsidRPr="00555C9B">
        <w:t xml:space="preserve"> </w:t>
      </w:r>
      <w:r w:rsidR="00B24E6D">
        <w:t>de informatie uit de referentie juist is voldoet aan de kerncompetentie waarvoor de referentie wordt ingediend</w:t>
      </w:r>
      <w:r w:rsidRPr="00555C9B">
        <w:t xml:space="preserve">, behoudt de Aanbestedende Dienst zich het recht voor om zonder tussenkomst van de Inschrijver contact op te nemen met de opdrachtgever van de referentieopdracht. Informatie van de referent kan </w:t>
      </w:r>
      <w:r>
        <w:t>d</w:t>
      </w:r>
      <w:r w:rsidRPr="00555C9B">
        <w:t>e Aanbestedende Dienst betrekken bij de beoordeling of de Inschrijver voldoet aan de kerncompetenties.</w:t>
      </w:r>
      <w:r w:rsidR="007D2FC5">
        <w:t xml:space="preserve"> De Aanbestedende Dienst vertrouwt erop dat de Inschrijver de referent informeert dat de Aanbestedende Dienst contact kan opnemen met de referent. </w:t>
      </w:r>
      <w:r w:rsidR="00572DB7">
        <w:t xml:space="preserve">De Aanbestedende Dienst gaat vertrouwelijk om met informatie die zij bij de referent opvraagt. De Inschrijver </w:t>
      </w:r>
      <w:r w:rsidR="00896C4D">
        <w:t>blijft</w:t>
      </w:r>
      <w:r w:rsidR="00572DB7">
        <w:t xml:space="preserve"> ervoor verantwoordelijk dat de Aanbestedende Dienst alle informatie bij de referent kan verkrijgen die nodig is om te toetsen of de ingediende referentie aan de kerncompetentie voldoet.</w:t>
      </w:r>
    </w:p>
    <w:p w:rsidRPr="00555C9B" w:rsidR="00B24DDD" w:rsidP="00B24DDD" w:rsidRDefault="00B24DDD" w14:paraId="28A221CE" w14:textId="77777777">
      <w:pPr>
        <w:suppressAutoHyphens/>
        <w:spacing w:line="284" w:lineRule="atLeast"/>
        <w:rPr>
          <w:sz w:val="18"/>
          <w:szCs w:val="18"/>
        </w:rPr>
      </w:pPr>
    </w:p>
    <w:p w:rsidRPr="00555C9B" w:rsidR="00B24DDD" w:rsidP="00B24DDD" w:rsidRDefault="00B24DDD" w14:paraId="6EF79DEC" w14:textId="652CEA1F">
      <w:pPr>
        <w:suppressAutoHyphens/>
        <w:spacing w:line="284" w:lineRule="atLeast"/>
        <w:rPr>
          <w:sz w:val="18"/>
          <w:szCs w:val="18"/>
        </w:rPr>
      </w:pPr>
      <w:r w:rsidRPr="00555C9B">
        <w:t xml:space="preserve">Per kerncompetentie dient de Inschrijver één referentieopdracht op te geven. </w:t>
      </w:r>
      <w:r w:rsidR="00935A80">
        <w:t xml:space="preserve">Daarvoor moet de Inschrijver gebruikmaken van het model in bijlage 6. </w:t>
      </w:r>
      <w:r w:rsidRPr="00555C9B">
        <w:t xml:space="preserve">Voor de verschillende kerncompetenties mag de Inschrijver zich beroepen op eenzelfde referentieopdracht. In dat </w:t>
      </w:r>
      <w:r w:rsidRPr="00555C9B">
        <w:t xml:space="preserve">geval moet de Inschrijver nog steeds per kerncompetentie een afzonderlijke ingevulde bijlage </w:t>
      </w:r>
      <w:r w:rsidR="00EB0CA0">
        <w:t>6</w:t>
      </w:r>
      <w:r w:rsidRPr="00555C9B">
        <w:t xml:space="preserve"> indienen.</w:t>
      </w:r>
    </w:p>
    <w:p w:rsidR="00B24DDD" w:rsidP="00B24DDD" w:rsidRDefault="00B24DDD" w14:paraId="2C724884" w14:textId="77777777">
      <w:pPr>
        <w:suppressAutoHyphens/>
        <w:spacing w:line="284" w:lineRule="atLeast"/>
        <w:rPr>
          <w:rFonts w:ascii="Verdana" w:hAnsi="Verdana" w:cs="Arial"/>
        </w:rPr>
      </w:pPr>
    </w:p>
    <w:p w:rsidRPr="00577315" w:rsidR="00B24DDD" w:rsidP="00B24DDD" w:rsidRDefault="005B04C9" w14:paraId="3754CB71" w14:textId="398B907E">
      <w:pPr>
        <w:suppressAutoHyphens/>
        <w:spacing w:line="284" w:lineRule="atLeast"/>
      </w:pPr>
      <w:r>
        <w:t>De</w:t>
      </w:r>
      <w:r w:rsidRPr="00577315">
        <w:t xml:space="preserve"> </w:t>
      </w:r>
      <w:r w:rsidRPr="00577315" w:rsidR="00B24DDD">
        <w:t xml:space="preserve">beschrijving in bijlage </w:t>
      </w:r>
      <w:r w:rsidR="00EB0CA0">
        <w:t>6</w:t>
      </w:r>
      <w:r w:rsidRPr="00577315" w:rsidR="00B24DDD">
        <w:t xml:space="preserve"> dient zodanig te zijn dat deze de Aanbestedende Dienst voldoende inzicht verschaft om te kunnen beoordelen of aan </w:t>
      </w:r>
      <w:r w:rsidR="00B24DDD">
        <w:t>alle</w:t>
      </w:r>
      <w:r w:rsidRPr="00577315" w:rsidR="00B24DDD">
        <w:t xml:space="preserve"> vereiste aspecten van iedere kerncompetentie is voldaan</w:t>
      </w:r>
      <w:r w:rsidR="00B24DDD">
        <w:t xml:space="preserve">. De Aanbestedende Dienst kan over de ontvangen bijlage </w:t>
      </w:r>
      <w:r w:rsidR="00FD7466">
        <w:t>6</w:t>
      </w:r>
      <w:r w:rsidR="00B24DDD">
        <w:t xml:space="preserve"> een toelichting vragen. Die toelichting mag niet leiden tot een aanvulling of wijziging van de ingediende stukken.</w:t>
      </w:r>
    </w:p>
    <w:p w:rsidRPr="00555C9B" w:rsidR="00B24DDD" w:rsidP="00B24DDD" w:rsidRDefault="00B24DDD" w14:paraId="4B0D7F93" w14:textId="77777777">
      <w:pPr>
        <w:suppressAutoHyphens/>
        <w:spacing w:line="284" w:lineRule="atLeast"/>
        <w:rPr>
          <w:rFonts w:ascii="Verdana" w:hAnsi="Verdana" w:cs="Arial"/>
        </w:rPr>
      </w:pPr>
    </w:p>
    <w:p w:rsidRPr="00555C9B" w:rsidR="00B24DDD" w:rsidP="00B24DDD" w:rsidRDefault="00B24DDD" w14:paraId="5FE3F5DA" w14:textId="5362A2D5">
      <w:pPr>
        <w:suppressAutoHyphens/>
      </w:pPr>
      <w:r w:rsidRPr="00555C9B">
        <w:t>Voor de beoordeling of aan de ervaringseis wordt voldaan, worden alleen referentieopdrachten, of delen daarvan, in aanmerking genomen die Inschrijver</w:t>
      </w:r>
      <w:r>
        <w:t xml:space="preserve"> (of de Derde waarop een beroep wordt gedaan)</w:t>
      </w:r>
      <w:r w:rsidRPr="00555C9B">
        <w:t xml:space="preserve"> zelf heeft uitgevoerd. </w:t>
      </w:r>
    </w:p>
    <w:p w:rsidRPr="00555C9B" w:rsidR="00B24DDD" w:rsidP="00B24DDD" w:rsidRDefault="00B24DDD" w14:paraId="475BA907" w14:textId="77777777">
      <w:pPr>
        <w:suppressAutoHyphens/>
      </w:pPr>
    </w:p>
    <w:p w:rsidRPr="00555C9B" w:rsidR="00B24DDD" w:rsidP="00B24DDD" w:rsidRDefault="00B24DDD" w14:paraId="22703C8C" w14:textId="77777777">
      <w:pPr>
        <w:suppressAutoHyphens/>
      </w:pPr>
      <w:r w:rsidRPr="00555C9B">
        <w:t>In het geval de Inschrijver de referentieopdracht heeft verricht in een Samenwerkingsverband, dan telt de referentieopdracht slechts mee bij de beoordeling of aan deze ervaringseis wordt voldaan, voor het deel dat de Inschrijver feitelijk heeft uitgevoerd.</w:t>
      </w:r>
      <w:r w:rsidRPr="007C1461">
        <w:t xml:space="preserve"> </w:t>
      </w:r>
      <w:r w:rsidRPr="00555C9B">
        <w:t xml:space="preserve">In geval </w:t>
      </w:r>
      <w:r>
        <w:t xml:space="preserve">dat er </w:t>
      </w:r>
      <w:r w:rsidRPr="00555C9B">
        <w:t xml:space="preserve">wordt ingeschreven als een Samenwerkingsverband, wordt geëist dat de leden van het Samenwerkingsverband samen aan deze ervaringseis voldoen. </w:t>
      </w:r>
    </w:p>
    <w:p w:rsidRPr="00555C9B" w:rsidR="000B155B" w:rsidP="000B155B" w:rsidRDefault="000B155B" w14:paraId="192FB4A6" w14:textId="77777777"/>
    <w:p w:rsidRPr="00555C9B" w:rsidR="000B155B" w:rsidP="000B155B" w:rsidRDefault="000B155B" w14:paraId="5631F741" w14:textId="7515CEE0">
      <w:r w:rsidRPr="00555C9B">
        <w:t xml:space="preserve">Een Inschrijver moet in de Inschrijving aantonen dat hij voldoet aan alle afzonderlijke kerncompetenties. Indien een Inschrijver niet aan alle kerncompetenties voldoet, is de Inschrijving ongeldig. In dat geval legt de Aanbestede Dienst de Inschrijving terzijde en sluit deze uit van verdere deelname aan de aanbestedingsprocedure. </w:t>
      </w:r>
    </w:p>
    <w:p w:rsidRPr="00555C9B" w:rsidR="000B155B" w:rsidP="000B155B" w:rsidRDefault="000B155B" w14:paraId="55E7663B" w14:textId="77777777"/>
    <w:p w:rsidRPr="00555C9B" w:rsidR="000B155B" w:rsidP="000B155B" w:rsidRDefault="000B155B" w14:paraId="2949DBAC" w14:textId="77777777">
      <w:pPr>
        <w:pStyle w:val="Alinea0"/>
        <w:widowControl/>
        <w:tabs>
          <w:tab w:val="left" w:pos="1418"/>
        </w:tabs>
        <w:suppressAutoHyphens/>
        <w:ind w:hanging="1134"/>
        <w:rPr>
          <w:rFonts w:ascii="Verdana" w:hAnsi="Verdana" w:cs="Arial"/>
          <w:lang w:val="nl-NL"/>
        </w:rPr>
      </w:pPr>
      <w:r w:rsidRPr="00555C9B">
        <w:rPr>
          <w:u w:val="single"/>
          <w:lang w:val="nl-NL"/>
        </w:rPr>
        <w:t>Bewijsmiddelen</w:t>
      </w:r>
      <w:r w:rsidRPr="00555C9B">
        <w:rPr>
          <w:rFonts w:ascii="Verdana" w:hAnsi="Verdana" w:cs="Arial"/>
          <w:lang w:val="nl-NL"/>
        </w:rPr>
        <w:t>:</w:t>
      </w:r>
    </w:p>
    <w:p w:rsidRPr="00555C9B" w:rsidR="000B155B" w:rsidP="00AA114F" w:rsidRDefault="000B155B" w14:paraId="117D2117" w14:textId="77777777">
      <w:pPr>
        <w:pStyle w:val="Lijstalinea"/>
        <w:numPr>
          <w:ilvl w:val="0"/>
          <w:numId w:val="13"/>
        </w:numPr>
        <w:tabs>
          <w:tab w:val="clear" w:pos="397"/>
          <w:tab w:val="left" w:pos="567"/>
          <w:tab w:val="left" w:pos="1134"/>
          <w:tab w:val="left" w:pos="1418"/>
          <w:tab w:val="left" w:pos="1701"/>
          <w:tab w:val="left" w:pos="1985"/>
          <w:tab w:val="right" w:pos="9332"/>
        </w:tabs>
        <w:suppressAutoHyphens/>
        <w:rPr>
          <w:rFonts w:cs="Arial"/>
        </w:rPr>
      </w:pPr>
      <w:r w:rsidRPr="00555C9B">
        <w:t xml:space="preserve">Ten bewijze van het feit dat de Inschrijver aan deze eis voldoet, dient Inschrijver per kerncompetentie </w:t>
      </w:r>
      <w:r w:rsidRPr="00680961">
        <w:rPr>
          <w:u w:val="single"/>
        </w:rPr>
        <w:t>bij zijn Inschrijving</w:t>
      </w:r>
      <w:r w:rsidRPr="00555C9B">
        <w:t xml:space="preserve"> een volledig ingevuld en rechtsgeldig ondertekend formulier referentieopdracht (bijlage 6) in te dienen</w:t>
      </w:r>
      <w:r w:rsidRPr="00555C9B">
        <w:rPr>
          <w:rFonts w:cs="Arial"/>
        </w:rPr>
        <w:t xml:space="preserve">. </w:t>
      </w:r>
    </w:p>
    <w:p w:rsidRPr="00555C9B" w:rsidR="000B155B" w:rsidP="000B155B" w:rsidRDefault="000B155B" w14:paraId="086B2D66" w14:textId="77777777">
      <w:pPr>
        <w:suppressAutoHyphens/>
        <w:spacing w:line="284" w:lineRule="atLeast"/>
        <w:rPr>
          <w:rFonts w:ascii="Verdana" w:hAnsi="Verdana" w:cs="Arial"/>
        </w:rPr>
      </w:pPr>
    </w:p>
    <w:p w:rsidRPr="00555C9B" w:rsidR="000B155B" w:rsidP="000B155B" w:rsidRDefault="000B155B" w14:paraId="12B964D2" w14:textId="77777777">
      <w:pPr>
        <w:suppressAutoHyphens/>
      </w:pPr>
      <w:r w:rsidRPr="00555C9B">
        <w:t xml:space="preserve">Indien de Inschrijver een beroep doet op de geschiktheid van een derde dient de Inschrijver (daarnaast) per kerncompetentie ten aanzien waarvan hij zich op een derde beroept een volledig door die derde rechtsgeldig ondertekende bijlage 6 in te dienen. </w:t>
      </w:r>
    </w:p>
    <w:p w:rsidRPr="00555C9B" w:rsidR="000B155B" w:rsidP="000B155B" w:rsidRDefault="000B155B" w14:paraId="6D5D79B1" w14:textId="77777777">
      <w:pPr>
        <w:suppressAutoHyphens/>
      </w:pPr>
    </w:p>
    <w:p w:rsidRPr="00555C9B" w:rsidR="000B155B" w:rsidP="000B155B" w:rsidRDefault="000B155B" w14:paraId="36127E5A" w14:textId="77777777">
      <w:pPr>
        <w:suppressAutoHyphens/>
      </w:pPr>
      <w:r w:rsidRPr="00555C9B">
        <w:t>De Aanbestedende Dienst behoudt zich het recht voor om zonder voorafgaande mededeling aan en toestemming van de Inschrijver contact op te nemen met de referent ter verificatie van de opgegeven informatie. De informatie die de Aanbestedende Dienst via deze weg verkrijgt, kan gebruikt worden bij de vaststelling of voldaan is aan de geschiktheidseis.</w:t>
      </w:r>
    </w:p>
    <w:p w:rsidRPr="00555C9B" w:rsidR="000B155B" w:rsidP="000B155B" w:rsidRDefault="000B155B" w14:paraId="7E8610B1" w14:textId="77777777">
      <w:pPr>
        <w:suppressAutoHyphens/>
      </w:pPr>
    </w:p>
    <w:p w:rsidR="000B155B" w:rsidP="00D35FCC" w:rsidRDefault="000B155B" w14:paraId="17F3BEB8" w14:textId="4D0CF88F">
      <w:pPr>
        <w:suppressAutoHyphens/>
      </w:pPr>
      <w:r w:rsidRPr="00555C9B">
        <w:t>Let op: ten bewijze dat de Inschrijver aan deze eis voldoet, kan bij Inschrijving dus niet worden volstaan met het indienen van het UEA.</w:t>
      </w:r>
    </w:p>
    <w:p w:rsidR="000B155B" w:rsidP="000B155B" w:rsidRDefault="000B155B" w14:paraId="7CE8524F" w14:textId="3D80C7DA">
      <w:pPr>
        <w:pStyle w:val="Kop2"/>
      </w:pPr>
      <w:bookmarkStart w:name="_Toc205383357" w:id="87"/>
      <w:bookmarkStart w:name="_Hlk185502337" w:id="88"/>
      <w:r>
        <w:t>Kwaliteitsmanagementsysteem</w:t>
      </w:r>
      <w:bookmarkEnd w:id="87"/>
    </w:p>
    <w:bookmarkEnd w:id="88"/>
    <w:p w:rsidRPr="00555C9B" w:rsidR="000B155B" w:rsidP="000B155B" w:rsidRDefault="000B155B" w14:paraId="77AAAD1D" w14:textId="5F356A14">
      <w:pPr>
        <w:suppressAutoHyphens/>
        <w:rPr>
          <w:i/>
        </w:rPr>
      </w:pPr>
      <w:r w:rsidRPr="00555C9B">
        <w:rPr>
          <w:i/>
        </w:rPr>
        <w:t>Geschiktheidseis 5</w:t>
      </w:r>
      <w:r w:rsidR="00F5473B">
        <w:rPr>
          <w:i/>
        </w:rPr>
        <w:t>: Kwaliteitsmanagementsysteem</w:t>
      </w:r>
    </w:p>
    <w:p w:rsidRPr="002A1EC0" w:rsidR="00C64B17" w:rsidP="00C64B17" w:rsidRDefault="00C64B17" w14:paraId="7C94AD29" w14:textId="61670682">
      <w:r w:rsidRPr="002A1EC0">
        <w:t xml:space="preserve">Een Inschrijver dient </w:t>
      </w:r>
      <w:r>
        <w:t xml:space="preserve">binnen </w:t>
      </w:r>
      <w:r w:rsidR="00D93028">
        <w:t>anderhalf jaar</w:t>
      </w:r>
      <w:r w:rsidR="00E87D96">
        <w:t xml:space="preserve"> </w:t>
      </w:r>
      <w:r>
        <w:t xml:space="preserve">na gunning van de opdracht, </w:t>
      </w:r>
      <w:r w:rsidRPr="00675751">
        <w:t xml:space="preserve">op straffe van </w:t>
      </w:r>
      <w:r>
        <w:t xml:space="preserve">ontbinding van de </w:t>
      </w:r>
      <w:r w:rsidR="00095A33">
        <w:t>O</w:t>
      </w:r>
      <w:r>
        <w:t xml:space="preserve">vereenkomst, </w:t>
      </w:r>
      <w:r w:rsidRPr="002A1EC0">
        <w:t>te beschikken over een kwaliteitsmanagementsysteem gelijkwaardig aan NEN-EN-ISO 9001:2015. De Inschrijver dient dit aan te tonen door een van de volgende bewijsmiddelen:  </w:t>
      </w:r>
    </w:p>
    <w:p w:rsidR="000B155B" w:rsidP="000B155B" w:rsidRDefault="000B155B" w14:paraId="69C01AA8" w14:textId="6EC400CB">
      <w:pPr>
        <w:suppressAutoHyphens/>
        <w:rPr>
          <w:rFonts w:cs="Arial"/>
        </w:rPr>
      </w:pPr>
    </w:p>
    <w:p w:rsidRPr="006A62AD" w:rsidR="000B155B" w:rsidP="00AA114F" w:rsidRDefault="000B155B" w14:paraId="09CB993E" w14:textId="480367D1">
      <w:pPr>
        <w:pStyle w:val="Lijstalinea"/>
        <w:numPr>
          <w:ilvl w:val="0"/>
          <w:numId w:val="14"/>
        </w:numPr>
        <w:suppressAutoHyphens/>
        <w:rPr>
          <w:rFonts w:cs="Arial"/>
        </w:rPr>
      </w:pPr>
      <w:r w:rsidRPr="006A62AD">
        <w:rPr>
          <w:rFonts w:cs="Arial"/>
        </w:rPr>
        <w:t>Een geldig kwaliteitsmanagementsysteemcertificaat conform de norm NEN-EN-ISO 9001:2015.</w:t>
      </w:r>
    </w:p>
    <w:p w:rsidRPr="00555C9B" w:rsidR="000B155B" w:rsidP="00AA114F" w:rsidRDefault="000B155B" w14:paraId="62C29CD0" w14:textId="45B28588">
      <w:pPr>
        <w:pStyle w:val="Lijstalinea"/>
        <w:numPr>
          <w:ilvl w:val="0"/>
          <w:numId w:val="14"/>
        </w:numPr>
        <w:suppressAutoHyphens/>
        <w:rPr>
          <w:rFonts w:cs="Arial"/>
        </w:rPr>
      </w:pPr>
      <w:r w:rsidRPr="00555C9B">
        <w:rPr>
          <w:rFonts w:cs="Arial"/>
        </w:rPr>
        <w:t xml:space="preserve">Een geldig certificaat dat minimaal gelijkwaardig is aan de NEN-EN-ISO 9001:2015 norm </w:t>
      </w:r>
    </w:p>
    <w:p w:rsidRPr="00555C9B" w:rsidR="000B155B" w:rsidP="00AA114F" w:rsidRDefault="000B155B" w14:paraId="5F06C7BB" w14:textId="77777777">
      <w:pPr>
        <w:pStyle w:val="Lijstalinea"/>
        <w:numPr>
          <w:ilvl w:val="0"/>
          <w:numId w:val="14"/>
        </w:numPr>
        <w:suppressAutoHyphens/>
        <w:rPr>
          <w:rFonts w:cs="Arial"/>
        </w:rPr>
      </w:pPr>
      <w:r w:rsidRPr="00555C9B">
        <w:rPr>
          <w:rFonts w:cs="Arial"/>
        </w:rPr>
        <w:t>Een ander (eigen) kwaliteitsmanagementsysteem dat minimaal gelijkwaardig is aan de NEN-EN-ISO 9001:2015 norm. De Aanbestedende Dienst beschouwt het ander (eigen) kwaliteitsmanagementsysteem als gelijkwaardig aan de NEN-EN-ISO 9001:2015 norm, indien dit kwaliteitsmanagementsysteem minimaal de volgende aspecten omvat:</w:t>
      </w:r>
    </w:p>
    <w:p w:rsidRPr="00555C9B" w:rsidR="000B155B" w:rsidP="00AA114F" w:rsidRDefault="000B155B" w14:paraId="2229278E"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Een beleidsverklaring van het management, waaruit volgt dat het kwaliteitsbeleid bekend is bij alle medewerkers, dat het geschikt is voor de organisatie en dat het op regelmatige basis wordt beoordeeld. </w:t>
      </w:r>
    </w:p>
    <w:p w:rsidRPr="00555C9B" w:rsidR="000B155B" w:rsidP="00AA114F" w:rsidRDefault="000B155B" w14:paraId="1FDF252A"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SMART-geformuleerde doelstellingen om kwalitatief goede diensten/producten te leveren.</w:t>
      </w:r>
    </w:p>
    <w:p w:rsidRPr="00555C9B" w:rsidR="000B155B" w:rsidP="00AA114F" w:rsidRDefault="000B155B" w14:paraId="4EA18709"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Functieomschrijvingen (bekwaamheidseisen, verantwoordelijkheden en bevoegdheden) voor personeel dat werkzaamheden uitvoert die van invloed zijn op de kwaliteit van de te leveren diensten/producten. </w:t>
      </w:r>
    </w:p>
    <w:p w:rsidRPr="00555C9B" w:rsidR="000B155B" w:rsidP="00AA114F" w:rsidRDefault="000B155B" w14:paraId="25C648C0"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Een interne communicatiestructuur (management en de rest van de organisatie) en een externe communicatiestructuur (met de externe klant).</w:t>
      </w:r>
    </w:p>
    <w:p w:rsidRPr="00555C9B" w:rsidR="000B155B" w:rsidP="00AA114F" w:rsidRDefault="000B155B" w14:paraId="42E1B77B"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De beheerste omstandigheden, waaronder het productieproces plaatsvindt/de diensten worden verricht en de bijbehorende procedures en werkinstructies. </w:t>
      </w:r>
    </w:p>
    <w:p w:rsidRPr="00555C9B" w:rsidR="000B155B" w:rsidP="00AA114F" w:rsidRDefault="000B155B" w14:paraId="6848B955"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Criteria voor beoordeling, goedkeuring en oplevering van de producten/diensten.</w:t>
      </w:r>
    </w:p>
    <w:p w:rsidRPr="00555C9B" w:rsidR="000B155B" w:rsidP="00AA114F" w:rsidRDefault="000B155B" w14:paraId="48FACEF1"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Het inkoopproces met bijbehorende inkoopspecificaties en goedgekeurde leveranciers/dienstverleners.</w:t>
      </w:r>
    </w:p>
    <w:p w:rsidRPr="00555C9B" w:rsidR="000B155B" w:rsidP="00AA114F" w:rsidRDefault="000B155B" w14:paraId="58E1BDF4"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Een klachtenprocedure die erop toeziet dat klachten op zo’n wijze worden opgelost, dat deze in de toekomst niet meer voorkomen.</w:t>
      </w:r>
    </w:p>
    <w:p w:rsidRPr="00555C9B" w:rsidR="000B155B" w:rsidP="00AA114F" w:rsidRDefault="000B155B" w14:paraId="674121A4" w14:textId="77777777">
      <w:pPr>
        <w:pStyle w:val="Lijstalinea"/>
        <w:numPr>
          <w:ilvl w:val="1"/>
          <w:numId w:val="15"/>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De wijze waarop documenten bij de Inschrijver worden beheerd. In ieder geval dient hieruit te volgen dat de in gebruik zijnde documenten zijn voorzien van een revisiedatum en versienummer. </w:t>
      </w:r>
    </w:p>
    <w:p w:rsidRPr="00555C9B" w:rsidR="000B155B" w:rsidP="000B155B" w:rsidRDefault="000B155B" w14:paraId="48B46EEA" w14:textId="77777777">
      <w:pPr>
        <w:tabs>
          <w:tab w:val="left" w:pos="1134"/>
          <w:tab w:val="left" w:pos="1418"/>
          <w:tab w:val="left" w:pos="1701"/>
          <w:tab w:val="left" w:pos="1985"/>
          <w:tab w:val="right" w:pos="9332"/>
        </w:tabs>
        <w:rPr>
          <w:rFonts w:cs="Arial"/>
        </w:rPr>
      </w:pPr>
    </w:p>
    <w:p w:rsidRPr="00555C9B" w:rsidR="000B155B" w:rsidP="000B155B" w:rsidRDefault="000B155B" w14:paraId="4D0FD4C8" w14:textId="77777777">
      <w:r w:rsidRPr="00555C9B">
        <w:t xml:space="preserve">Voor een Samenwerkingsverband geldt dat alle leden van het Samenwerkingsverband die daadwerkelijk de Opdracht gaat/gaan uitvoeren, aan bovengenoemde eis moet(en) voldoen. </w:t>
      </w:r>
    </w:p>
    <w:p w:rsidRPr="00555C9B" w:rsidR="000B155B" w:rsidP="000B155B" w:rsidRDefault="000B155B" w14:paraId="7362EB53" w14:textId="77777777"/>
    <w:p w:rsidRPr="00555C9B" w:rsidR="000B155B" w:rsidP="000B155B" w:rsidRDefault="000B155B" w14:paraId="34EAB3DB" w14:textId="464DAE62">
      <w:r w:rsidRPr="00555C9B">
        <w:t>Indien de Inschrijver voor de uitvoering van de Opdracht een</w:t>
      </w:r>
      <w:r w:rsidR="006652F6">
        <w:t xml:space="preserve"> </w:t>
      </w:r>
      <w:r w:rsidRPr="006652F6" w:rsidR="006652F6">
        <w:t xml:space="preserve">andere partij inzet, dient deze partij bij de uitvoering van de </w:t>
      </w:r>
      <w:r w:rsidR="007676CD">
        <w:t>O</w:t>
      </w:r>
      <w:r w:rsidRPr="006652F6" w:rsidR="006652F6">
        <w:t xml:space="preserve">vereenkomst te voldoen aan bovengenoemde eis. In dat geval dient dus de Inschrijver (Derde) te voldoen bij Inschrijving en moet de partij die feitelijk uitvoert ten tijde van de uitvoering van de Opdracht voldoen aan de eis. </w:t>
      </w:r>
    </w:p>
    <w:p w:rsidRPr="00555C9B" w:rsidR="000B155B" w:rsidP="000B155B" w:rsidRDefault="000B155B" w14:paraId="2B02B732" w14:textId="77777777"/>
    <w:p w:rsidRPr="00555C9B" w:rsidR="000B155B" w:rsidP="000B155B" w:rsidRDefault="000B155B" w14:paraId="223ABC74" w14:textId="77777777">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eastAsia="x-none"/>
        </w:rPr>
      </w:pPr>
      <w:r w:rsidRPr="00555C9B">
        <w:rPr>
          <w:u w:val="single"/>
          <w:lang w:eastAsia="x-none"/>
        </w:rPr>
        <w:t>Bewijsmiddelen</w:t>
      </w:r>
      <w:r w:rsidRPr="00555C9B">
        <w:rPr>
          <w:rFonts w:ascii="Verdana" w:hAnsi="Verdana" w:cs="Arial"/>
          <w:lang w:eastAsia="x-none"/>
        </w:rPr>
        <w:t>:</w:t>
      </w:r>
    </w:p>
    <w:p w:rsidRPr="00EC4414" w:rsidR="000B155B" w:rsidP="000B155B" w:rsidRDefault="000B155B" w14:paraId="425C65F6" w14:textId="77777777">
      <w:pPr>
        <w:suppressAutoHyphens/>
      </w:pPr>
      <w:r w:rsidRPr="00EC4414">
        <w:t xml:space="preserve">Ten bewijze dat de Inschrijver aan deze eis voldoet, kan bij Inschrijving worden volstaan met het indienen van het UEA (Deel IV, onderdeel α aankruisen). </w:t>
      </w:r>
    </w:p>
    <w:p w:rsidR="000B155B" w:rsidP="000B155B" w:rsidRDefault="000B155B" w14:paraId="6DC07491" w14:textId="77777777">
      <w:pPr>
        <w:suppressAutoHyphens/>
        <w:spacing w:line="284" w:lineRule="atLeast"/>
        <w:rPr>
          <w:rFonts w:ascii="Verdana" w:hAnsi="Verdana" w:cs="Arial"/>
          <w:highlight w:val="yellow"/>
        </w:rPr>
      </w:pPr>
    </w:p>
    <w:p w:rsidRPr="00555C9B" w:rsidR="000B155B" w:rsidP="000B155B" w:rsidRDefault="00FB7D11" w14:paraId="0B44D597" w14:textId="1C15DB3A">
      <w:pPr>
        <w:suppressAutoHyphens/>
      </w:pPr>
      <w:r w:rsidRPr="00FB7D11">
        <w:t xml:space="preserve">Van de Inschrijver aan wie de Aanbestedende Dienst </w:t>
      </w:r>
      <w:r w:rsidR="00C322FA">
        <w:t>de</w:t>
      </w:r>
      <w:r w:rsidRPr="00FB7D11">
        <w:t xml:space="preserve"> Opdracht</w:t>
      </w:r>
      <w:r w:rsidR="00C322FA">
        <w:t xml:space="preserve"> gunt</w:t>
      </w:r>
      <w:r w:rsidRPr="00FB7D11">
        <w:t xml:space="preserve">, </w:t>
      </w:r>
      <w:r w:rsidR="003557A2">
        <w:t>wordt verzocht h</w:t>
      </w:r>
      <w:r w:rsidRPr="00FB7D11">
        <w:t xml:space="preserve">et definitieve bewijs dat het genoemde certificaat daadwerkelijk is behaald, uiterlijk binnen achttien (18) maanden na de startdatum van de opdracht aan de Aanbestedende Dienst te </w:t>
      </w:r>
      <w:r w:rsidR="003557A2">
        <w:t>overleggen</w:t>
      </w:r>
      <w:r w:rsidRPr="00FB7D11">
        <w:t>.</w:t>
      </w:r>
      <w:r w:rsidR="003557A2">
        <w:t xml:space="preserve"> </w:t>
      </w:r>
      <w:r w:rsidRPr="008E28E9" w:rsidR="003557A2">
        <w:t>Om t</w:t>
      </w:r>
      <w:r w:rsidRPr="008E28E9" w:rsidR="004F2315">
        <w:t>e bewijzen</w:t>
      </w:r>
      <w:r w:rsidRPr="008E28E9" w:rsidR="000B155B">
        <w:t xml:space="preserve"> dat de Inschrijver daadwerkelijk aan deze eis voldoet</w:t>
      </w:r>
      <w:r w:rsidRPr="008E28E9" w:rsidR="004F2315">
        <w:t xml:space="preserve"> moet </w:t>
      </w:r>
      <w:r w:rsidRPr="008E28E9" w:rsidR="008E28E9">
        <w:t>één van de volgende bewijsmiddelen worden aangeleverd</w:t>
      </w:r>
      <w:r w:rsidRPr="008E28E9" w:rsidR="000B155B">
        <w:t>:</w:t>
      </w:r>
    </w:p>
    <w:p w:rsidRPr="00555C9B" w:rsidR="000B155B" w:rsidP="00AA114F" w:rsidRDefault="000B155B" w14:paraId="6AC2BF85" w14:textId="77777777">
      <w:pPr>
        <w:pStyle w:val="Lijstalinea"/>
        <w:numPr>
          <w:ilvl w:val="0"/>
          <w:numId w:val="13"/>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Een kopie van het geldige kwaliteitsmanagementsysteemcertificaat conform de </w:t>
      </w:r>
    </w:p>
    <w:p w:rsidRPr="00555C9B" w:rsidR="000B155B" w:rsidP="00A3765C" w:rsidRDefault="000B155B" w14:paraId="4C3A3DF6" w14:textId="77777777">
      <w:pPr>
        <w:pStyle w:val="Lijstalinea"/>
        <w:numPr>
          <w:ilvl w:val="0"/>
          <w:numId w:val="0"/>
        </w:numPr>
        <w:tabs>
          <w:tab w:val="clear" w:pos="397"/>
          <w:tab w:val="left" w:pos="567"/>
          <w:tab w:val="left" w:pos="1134"/>
          <w:tab w:val="left" w:pos="1418"/>
          <w:tab w:val="left" w:pos="1701"/>
          <w:tab w:val="left" w:pos="1985"/>
          <w:tab w:val="right" w:pos="9332"/>
        </w:tabs>
        <w:suppressAutoHyphens/>
        <w:ind w:left="360"/>
        <w:rPr>
          <w:rFonts w:cs="Arial"/>
        </w:rPr>
      </w:pPr>
      <w:r w:rsidRPr="00555C9B">
        <w:rPr>
          <w:rFonts w:cs="Arial"/>
        </w:rPr>
        <w:t xml:space="preserve">NEN-EN-ISO 9001:2015 norm en afgegeven door een certificerende instelling die is erkend door de Raad van Accreditatie. </w:t>
      </w:r>
    </w:p>
    <w:p w:rsidRPr="00555C9B" w:rsidR="000B155B" w:rsidP="00AA114F" w:rsidRDefault="000B155B" w14:paraId="7167EEBD" w14:textId="77777777">
      <w:pPr>
        <w:pStyle w:val="Lijstalinea"/>
        <w:numPr>
          <w:ilvl w:val="0"/>
          <w:numId w:val="13"/>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Een kopie van het geldige certificaat dat minimaal gelijkwaardig is aan de </w:t>
      </w:r>
    </w:p>
    <w:p w:rsidRPr="000F4987" w:rsidR="000B155B" w:rsidP="000B155B" w:rsidRDefault="000B155B" w14:paraId="72EAB290" w14:textId="77777777">
      <w:pPr>
        <w:pStyle w:val="Lijstalinea"/>
        <w:numPr>
          <w:ilvl w:val="0"/>
          <w:numId w:val="13"/>
        </w:numPr>
        <w:tabs>
          <w:tab w:val="clear" w:pos="397"/>
          <w:tab w:val="left" w:pos="567"/>
          <w:tab w:val="left" w:pos="1134"/>
          <w:tab w:val="left" w:pos="1418"/>
          <w:tab w:val="left" w:pos="1701"/>
          <w:tab w:val="left" w:pos="1985"/>
          <w:tab w:val="right" w:pos="9332"/>
        </w:tabs>
        <w:suppressAutoHyphens/>
      </w:pPr>
      <w:r w:rsidRPr="00555C9B">
        <w:rPr>
          <w:rFonts w:cs="Arial"/>
        </w:rPr>
        <w:t>NEN-EN-ISO 9001:2015 norm en is afgegeven door een certificerende instelling die is erkend door de Raad van Accreditatie.</w:t>
      </w:r>
    </w:p>
    <w:p w:rsidRPr="008E28E9" w:rsidR="000B155B" w:rsidP="000B155B" w:rsidRDefault="000B155B" w14:paraId="7BE1CBF8" w14:textId="2D27B0C2">
      <w:pPr>
        <w:pStyle w:val="Lijstalinea"/>
        <w:numPr>
          <w:ilvl w:val="0"/>
          <w:numId w:val="13"/>
        </w:numPr>
        <w:tabs>
          <w:tab w:val="clear" w:pos="397"/>
          <w:tab w:val="left" w:pos="567"/>
          <w:tab w:val="left" w:pos="1134"/>
          <w:tab w:val="left" w:pos="1418"/>
          <w:tab w:val="left" w:pos="1701"/>
          <w:tab w:val="left" w:pos="1985"/>
          <w:tab w:val="right" w:pos="9332"/>
        </w:tabs>
        <w:suppressAutoHyphens/>
      </w:pPr>
      <w:bookmarkStart w:name="_Toc509233882" w:id="89"/>
      <w:bookmarkStart w:name="_Toc509233987" w:id="90"/>
      <w:bookmarkStart w:name="_Toc509233883" w:id="91"/>
      <w:bookmarkStart w:name="_Toc509233988" w:id="92"/>
      <w:bookmarkStart w:name="_Toc509233884" w:id="93"/>
      <w:bookmarkStart w:name="_Toc509233989" w:id="94"/>
      <w:bookmarkStart w:name="_Toc509233885" w:id="95"/>
      <w:bookmarkStart w:name="_Toc509233990" w:id="96"/>
      <w:bookmarkStart w:name="_Toc509233886" w:id="97"/>
      <w:bookmarkStart w:name="_Toc509233991" w:id="98"/>
      <w:bookmarkStart w:name="_Toc509233887" w:id="99"/>
      <w:bookmarkStart w:name="_Toc509233992" w:id="100"/>
      <w:bookmarkStart w:name="_Toc509233888" w:id="101"/>
      <w:bookmarkStart w:name="_Toc509233993" w:id="102"/>
      <w:bookmarkStart w:name="_Toc509233889" w:id="103"/>
      <w:bookmarkStart w:name="_Toc509233994" w:id="104"/>
      <w:bookmarkStart w:name="_Toc509233890" w:id="105"/>
      <w:bookmarkStart w:name="_Toc509233995" w:id="106"/>
      <w:bookmarkStart w:name="_Toc509233891" w:id="107"/>
      <w:bookmarkStart w:name="_Toc509233996" w:id="108"/>
      <w:bookmarkStart w:name="_Toc509233892" w:id="109"/>
      <w:bookmarkStart w:name="_Toc509233997" w:id="110"/>
      <w:bookmarkStart w:name="_Toc509233893" w:id="111"/>
      <w:bookmarkStart w:name="_Toc509233998" w:id="112"/>
      <w:bookmarkStart w:name="_Toc509233894" w:id="113"/>
      <w:bookmarkStart w:name="_Toc509233999" w:id="11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555C9B">
        <w:rPr>
          <w:rFonts w:cs="Arial"/>
        </w:rPr>
        <w:t xml:space="preserve">Een beschrijving van maximaal </w:t>
      </w:r>
      <w:r w:rsidR="002B57CF">
        <w:rPr>
          <w:rFonts w:cs="Arial"/>
        </w:rPr>
        <w:t>tien</w:t>
      </w:r>
      <w:r w:rsidRPr="00555C9B" w:rsidR="002B57CF">
        <w:rPr>
          <w:rFonts w:cs="Arial"/>
        </w:rPr>
        <w:t xml:space="preserve"> </w:t>
      </w:r>
      <w:r w:rsidRPr="00555C9B">
        <w:rPr>
          <w:rFonts w:cs="Arial"/>
        </w:rPr>
        <w:t xml:space="preserve">A4 van een ander (eigen) kwaliteitsmanagementsysteem dat gelijkwaardig is aan de NEN-EN-ISO 9001:2015 norm en dat minimaal de genoemde aspecten bevat die onder punt drie zijn benoemd. </w:t>
      </w:r>
    </w:p>
    <w:p w:rsidR="008E28E9" w:rsidP="008E28E9" w:rsidRDefault="008E28E9" w14:paraId="204F77B7" w14:textId="77777777">
      <w:pPr>
        <w:tabs>
          <w:tab w:val="left" w:pos="567"/>
          <w:tab w:val="left" w:pos="1134"/>
          <w:tab w:val="left" w:pos="1418"/>
          <w:tab w:val="left" w:pos="1701"/>
          <w:tab w:val="left" w:pos="1985"/>
          <w:tab w:val="right" w:pos="9332"/>
        </w:tabs>
        <w:suppressAutoHyphens/>
      </w:pPr>
    </w:p>
    <w:p w:rsidRPr="00D35FCC" w:rsidR="008E28E9" w:rsidP="008E28E9" w:rsidRDefault="008E28E9" w14:paraId="19096232" w14:textId="1EA526E8">
      <w:pPr>
        <w:tabs>
          <w:tab w:val="left" w:pos="567"/>
          <w:tab w:val="left" w:pos="1134"/>
          <w:tab w:val="left" w:pos="1418"/>
          <w:tab w:val="left" w:pos="1701"/>
          <w:tab w:val="left" w:pos="1985"/>
          <w:tab w:val="right" w:pos="9332"/>
        </w:tabs>
        <w:suppressAutoHyphens/>
      </w:pPr>
      <w:r>
        <w:t xml:space="preserve">Indien de Inschrijver niet binnen de genoemde termijn een bewijs aandraagt van het behalen van de bovengenoemde ISO-norm, </w:t>
      </w:r>
      <w:r w:rsidR="00AD4B23">
        <w:t xml:space="preserve">wordt de Overeenkomst </w:t>
      </w:r>
      <w:r w:rsidR="004211DA">
        <w:t xml:space="preserve">ontbonden. </w:t>
      </w:r>
      <w:r w:rsidR="009B017B">
        <w:t>De Opdrachtgever bepaalt de ontbindingstermijn.</w:t>
      </w:r>
    </w:p>
    <w:p w:rsidRPr="008E28E9" w:rsidR="008E28E9" w:rsidP="008E28E9" w:rsidRDefault="005E115B" w14:paraId="32D8AD40" w14:textId="0F1B2073">
      <w:pPr>
        <w:pStyle w:val="Kop2"/>
      </w:pPr>
      <w:bookmarkStart w:name="_Toc198738838" w:id="115"/>
      <w:bookmarkStart w:name="_Toc205383358" w:id="116"/>
      <w:r>
        <w:t>Informatiebeveiliging</w:t>
      </w:r>
      <w:bookmarkEnd w:id="115"/>
      <w:bookmarkEnd w:id="116"/>
    </w:p>
    <w:p w:rsidR="005E115B" w:rsidP="005E115B" w:rsidRDefault="005E115B" w14:paraId="3D7B485E" w14:textId="66B4BD12">
      <w:pPr>
        <w:pStyle w:val="Alinea1"/>
        <w:ind w:left="0"/>
        <w:rPr>
          <w:rFonts w:eastAsia="MS Mincho"/>
          <w:i/>
        </w:rPr>
      </w:pPr>
      <w:r w:rsidRPr="0011287B">
        <w:rPr>
          <w:rFonts w:eastAsia="MS Mincho"/>
          <w:i/>
        </w:rPr>
        <w:t xml:space="preserve">Geschiktheidseis </w:t>
      </w:r>
      <w:r w:rsidR="0062411E">
        <w:rPr>
          <w:rFonts w:eastAsia="MS Mincho"/>
          <w:i/>
        </w:rPr>
        <w:t>6</w:t>
      </w:r>
      <w:r w:rsidRPr="0011287B">
        <w:rPr>
          <w:rFonts w:eastAsia="MS Mincho"/>
          <w:i/>
        </w:rPr>
        <w:t>:</w:t>
      </w:r>
      <w:r>
        <w:rPr>
          <w:rFonts w:eastAsia="MS Mincho"/>
          <w:i/>
        </w:rPr>
        <w:t xml:space="preserve"> </w:t>
      </w:r>
      <w:r w:rsidR="000E6D43">
        <w:rPr>
          <w:rFonts w:eastAsia="MS Mincho"/>
          <w:i/>
        </w:rPr>
        <w:t>I</w:t>
      </w:r>
      <w:r>
        <w:rPr>
          <w:rFonts w:eastAsia="MS Mincho"/>
          <w:i/>
        </w:rPr>
        <w:t>nformatiebeveiliging</w:t>
      </w:r>
    </w:p>
    <w:p w:rsidR="005E115B" w:rsidP="005E115B" w:rsidRDefault="005E115B" w14:paraId="3D940901" w14:textId="77777777">
      <w:pPr>
        <w:pStyle w:val="Alinea1"/>
        <w:ind w:left="0"/>
        <w:rPr>
          <w:rFonts w:eastAsia="MS Mincho"/>
          <w:iCs/>
        </w:rPr>
      </w:pPr>
    </w:p>
    <w:p w:rsidR="005E115B" w:rsidP="00D35FCC" w:rsidRDefault="00437685" w14:paraId="732A3072" w14:textId="177555FD">
      <w:r w:rsidRPr="00675751">
        <w:t>Een Inschrijver dient</w:t>
      </w:r>
      <w:r>
        <w:t xml:space="preserve"> binnen </w:t>
      </w:r>
      <w:r w:rsidR="00FC4F4B">
        <w:t xml:space="preserve">anderhalf </w:t>
      </w:r>
      <w:r>
        <w:t>jaar na gunning van de opdracht</w:t>
      </w:r>
      <w:r w:rsidRPr="00675751">
        <w:t xml:space="preserve">, op straffe van </w:t>
      </w:r>
      <w:r>
        <w:t>ontbinding van de overeenkomst</w:t>
      </w:r>
      <w:r w:rsidRPr="00675751">
        <w:t>, aan te tonen dat zij voldoet aan de norm voor informatiebeveiliging conform ISO 27001: 2022 of ISO 27001:2017. De Inschrijver dient dit aan te tonen door een van de volgende bewijsmiddelen: </w:t>
      </w:r>
    </w:p>
    <w:p w:rsidR="005E115B" w:rsidP="005E115B" w:rsidRDefault="005E115B" w14:paraId="34917163" w14:textId="77777777">
      <w:pPr>
        <w:suppressAutoHyphens/>
        <w:spacing w:line="276" w:lineRule="auto"/>
      </w:pPr>
    </w:p>
    <w:p w:rsidRPr="00584D4A" w:rsidR="005E115B" w:rsidP="00B608AB" w:rsidRDefault="005E115B" w14:paraId="4AB7B310" w14:textId="77777777">
      <w:pPr>
        <w:numPr>
          <w:ilvl w:val="0"/>
          <w:numId w:val="22"/>
        </w:numPr>
        <w:tabs>
          <w:tab w:val="left" w:pos="397"/>
        </w:tabs>
        <w:suppressAutoHyphens/>
        <w:contextualSpacing/>
        <w:rPr>
          <w:rFonts w:cs="Arial"/>
        </w:rPr>
      </w:pPr>
      <w:r w:rsidRPr="00584D4A">
        <w:rPr>
          <w:rFonts w:cs="Arial"/>
        </w:rPr>
        <w:t xml:space="preserve">Een geldig certificaat conform de norm ISO 27001: 2017 of ISO 27001:2022 afgegeven door een certificerende instelling die is erkend door de Raad van Accreditatie. </w:t>
      </w:r>
    </w:p>
    <w:p w:rsidRPr="00584D4A" w:rsidR="005E115B" w:rsidP="00B608AB" w:rsidRDefault="005E115B" w14:paraId="045D4D53" w14:textId="77777777">
      <w:pPr>
        <w:numPr>
          <w:ilvl w:val="0"/>
          <w:numId w:val="22"/>
        </w:numPr>
        <w:tabs>
          <w:tab w:val="left" w:pos="397"/>
        </w:tabs>
        <w:suppressAutoHyphens/>
        <w:contextualSpacing/>
        <w:rPr>
          <w:rFonts w:cs="Arial"/>
        </w:rPr>
      </w:pPr>
      <w:r w:rsidRPr="00584D4A">
        <w:rPr>
          <w:rFonts w:cs="Arial"/>
        </w:rPr>
        <w:t>Een geldig certificaat dat minimaal gelijkwaardig is aan de ISO 27001: 2017 of ISO 27001:2022 norm en is afgegeven door een certificerende instelling die is erkend door de Raad van Accreditatie.</w:t>
      </w:r>
    </w:p>
    <w:p w:rsidRPr="00584D4A" w:rsidR="005E115B" w:rsidP="00B608AB" w:rsidRDefault="005E115B" w14:paraId="0A6C1AD5" w14:textId="77777777">
      <w:pPr>
        <w:numPr>
          <w:ilvl w:val="0"/>
          <w:numId w:val="22"/>
        </w:numPr>
        <w:tabs>
          <w:tab w:val="left" w:pos="397"/>
        </w:tabs>
        <w:suppressAutoHyphens/>
        <w:contextualSpacing/>
        <w:rPr>
          <w:rFonts w:cs="Arial"/>
        </w:rPr>
      </w:pPr>
      <w:r w:rsidRPr="00584D4A">
        <w:rPr>
          <w:rFonts w:cs="Arial"/>
        </w:rPr>
        <w:t xml:space="preserve">Een ander (eigen) managementsysteem voor informatiebeveiliging dat minimaal gelijkwaardig is aan de ISO 27001: 2017 of ISO 27001:2022 norm. </w:t>
      </w:r>
      <w:r>
        <w:rPr>
          <w:rFonts w:cs="Arial"/>
        </w:rPr>
        <w:t>Het NIPV</w:t>
      </w:r>
      <w:r w:rsidRPr="00584D4A">
        <w:rPr>
          <w:rFonts w:cs="Arial"/>
        </w:rPr>
        <w:t xml:space="preserve"> beschouwt het ander (eigen) managementsysteem als gelijkwaardig aan de ISO 27001: 2017 of ISO 27001:2022 norm, indien dit minimaal de volgende aspecten omvat:</w:t>
      </w:r>
    </w:p>
    <w:p w:rsidRPr="00584D4A" w:rsidR="005E115B" w:rsidP="00AA114F" w:rsidRDefault="005E115B" w14:paraId="704E2143" w14:textId="77777777">
      <w:pPr>
        <w:numPr>
          <w:ilvl w:val="1"/>
          <w:numId w:val="15"/>
        </w:numPr>
        <w:tabs>
          <w:tab w:val="left" w:pos="567"/>
          <w:tab w:val="left" w:pos="1134"/>
          <w:tab w:val="left" w:pos="1418"/>
          <w:tab w:val="left" w:pos="1701"/>
          <w:tab w:val="left" w:pos="1985"/>
          <w:tab w:val="right" w:pos="9332"/>
        </w:tabs>
        <w:suppressAutoHyphens/>
        <w:contextualSpacing/>
        <w:rPr>
          <w:rFonts w:cs="Arial"/>
        </w:rPr>
      </w:pPr>
      <w:r w:rsidRPr="00584D4A">
        <w:rPr>
          <w:rFonts w:cs="Arial"/>
        </w:rPr>
        <w:t>Beschrijving van de organisatorische maatregelen, plus verwacht gedrag van gebruikers, apparatuur, software en systemen.</w:t>
      </w:r>
    </w:p>
    <w:p w:rsidRPr="00584D4A" w:rsidR="005E115B" w:rsidP="00AA114F" w:rsidRDefault="005E115B" w14:paraId="005EF6EA" w14:textId="77777777">
      <w:pPr>
        <w:numPr>
          <w:ilvl w:val="1"/>
          <w:numId w:val="15"/>
        </w:numPr>
        <w:tabs>
          <w:tab w:val="left" w:pos="567"/>
          <w:tab w:val="left" w:pos="1134"/>
          <w:tab w:val="left" w:pos="1418"/>
          <w:tab w:val="left" w:pos="1701"/>
          <w:tab w:val="left" w:pos="1985"/>
          <w:tab w:val="right" w:pos="9332"/>
        </w:tabs>
        <w:suppressAutoHyphens/>
        <w:contextualSpacing/>
        <w:rPr>
          <w:rFonts w:cs="Arial"/>
        </w:rPr>
      </w:pPr>
      <w:r w:rsidRPr="00584D4A">
        <w:rPr>
          <w:rFonts w:cs="Arial"/>
        </w:rPr>
        <w:t xml:space="preserve">Beschrijving van de menselijke maatregelen, waaronder in elk geval trainingen en opleidingen voor werknemers over veilige manieren om met gegevens om te gaan binnen de organisatie. </w:t>
      </w:r>
    </w:p>
    <w:p w:rsidRPr="00584D4A" w:rsidR="005E115B" w:rsidP="00AA114F" w:rsidRDefault="005E115B" w14:paraId="56330DF4" w14:textId="77777777">
      <w:pPr>
        <w:numPr>
          <w:ilvl w:val="1"/>
          <w:numId w:val="15"/>
        </w:numPr>
        <w:tabs>
          <w:tab w:val="left" w:pos="567"/>
          <w:tab w:val="left" w:pos="1134"/>
          <w:tab w:val="left" w:pos="1418"/>
          <w:tab w:val="left" w:pos="1701"/>
          <w:tab w:val="left" w:pos="1985"/>
          <w:tab w:val="right" w:pos="9332"/>
        </w:tabs>
        <w:suppressAutoHyphens/>
        <w:contextualSpacing/>
        <w:rPr>
          <w:rFonts w:cs="Arial"/>
        </w:rPr>
      </w:pPr>
      <w:r w:rsidRPr="00584D4A">
        <w:rPr>
          <w:rFonts w:cs="Arial"/>
        </w:rPr>
        <w:t xml:space="preserve">Beschrijving van de fysieke maatregelen (hulpmiddelen die fysiek ingezet worden op het gebied van informatiebeveiliging, al dan niet in wisselwerking met menselijke bediening). </w:t>
      </w:r>
    </w:p>
    <w:p w:rsidRPr="00A544AF" w:rsidR="005E115B" w:rsidP="00AA114F" w:rsidRDefault="005E115B" w14:paraId="7FAB2427" w14:textId="77777777">
      <w:pPr>
        <w:numPr>
          <w:ilvl w:val="1"/>
          <w:numId w:val="15"/>
        </w:numPr>
        <w:tabs>
          <w:tab w:val="left" w:pos="567"/>
          <w:tab w:val="left" w:pos="1134"/>
          <w:tab w:val="left" w:pos="1418"/>
          <w:tab w:val="left" w:pos="1701"/>
          <w:tab w:val="left" w:pos="1985"/>
          <w:tab w:val="right" w:pos="9332"/>
        </w:tabs>
        <w:suppressAutoHyphens/>
        <w:contextualSpacing/>
        <w:rPr>
          <w:rFonts w:cs="Arial"/>
        </w:rPr>
      </w:pPr>
      <w:r w:rsidRPr="00A544AF">
        <w:rPr>
          <w:rFonts w:cs="Arial"/>
        </w:rPr>
        <w:t>Beschrijving van de technologische maatregelen (software-, hardware- en firmwarecomponenten).</w:t>
      </w:r>
    </w:p>
    <w:p w:rsidRPr="00A544AF" w:rsidR="005E115B" w:rsidP="00AA114F" w:rsidRDefault="005E115B" w14:paraId="6396E493" w14:textId="77777777">
      <w:pPr>
        <w:numPr>
          <w:ilvl w:val="1"/>
          <w:numId w:val="15"/>
        </w:numPr>
        <w:tabs>
          <w:tab w:val="left" w:pos="567"/>
          <w:tab w:val="left" w:pos="1134"/>
          <w:tab w:val="left" w:pos="1418"/>
          <w:tab w:val="left" w:pos="1701"/>
          <w:tab w:val="left" w:pos="1985"/>
          <w:tab w:val="right" w:pos="9332"/>
        </w:tabs>
        <w:suppressAutoHyphens/>
        <w:contextualSpacing/>
        <w:rPr>
          <w:rFonts w:cs="Arial"/>
        </w:rPr>
      </w:pPr>
      <w:r w:rsidRPr="00A544AF">
        <w:rPr>
          <w:rFonts w:cs="Arial"/>
        </w:rPr>
        <w:t>Rapportage over de doelstellingen, realisatie, meten van resultaten en evaluatie.</w:t>
      </w:r>
    </w:p>
    <w:p w:rsidR="005E115B" w:rsidP="00AA114F" w:rsidRDefault="005E115B" w14:paraId="2ECBD7B6" w14:textId="77777777">
      <w:pPr>
        <w:numPr>
          <w:ilvl w:val="1"/>
          <w:numId w:val="15"/>
        </w:numPr>
        <w:tabs>
          <w:tab w:val="left" w:pos="567"/>
          <w:tab w:val="left" w:pos="1134"/>
          <w:tab w:val="left" w:pos="1418"/>
          <w:tab w:val="left" w:pos="1701"/>
          <w:tab w:val="left" w:pos="1985"/>
          <w:tab w:val="right" w:pos="9332"/>
        </w:tabs>
        <w:suppressAutoHyphens/>
        <w:contextualSpacing/>
        <w:rPr>
          <w:rFonts w:cs="Arial"/>
        </w:rPr>
      </w:pPr>
      <w:r w:rsidRPr="00584D4A">
        <w:rPr>
          <w:rFonts w:cs="Arial"/>
        </w:rPr>
        <w:t xml:space="preserve">De wijze waarop de voor dit managementsysteem relevante documenten bij de Inschrijver worden beheerd. In ieder geval dient hieruit te volgen dat de in gebruik zijnde documenten zijn voorzien van een revisiedatum en versienummer. </w:t>
      </w:r>
    </w:p>
    <w:p w:rsidRPr="00584D4A" w:rsidR="005E115B" w:rsidP="005E115B" w:rsidRDefault="005E115B" w14:paraId="5D1F21B4" w14:textId="77777777">
      <w:pPr>
        <w:tabs>
          <w:tab w:val="left" w:pos="567"/>
          <w:tab w:val="left" w:pos="1134"/>
          <w:tab w:val="left" w:pos="1418"/>
          <w:tab w:val="left" w:pos="1701"/>
          <w:tab w:val="left" w:pos="1985"/>
          <w:tab w:val="right" w:pos="9332"/>
        </w:tabs>
        <w:suppressAutoHyphens/>
        <w:ind w:left="1440"/>
        <w:contextualSpacing/>
        <w:rPr>
          <w:rFonts w:cs="Arial"/>
        </w:rPr>
      </w:pPr>
    </w:p>
    <w:p w:rsidRPr="00A544AF" w:rsidR="005E115B" w:rsidP="005E115B" w:rsidRDefault="005E115B" w14:paraId="0E5CE643" w14:textId="77777777">
      <w:r w:rsidRPr="00A544AF">
        <w:t xml:space="preserve">Voor een Samenwerkingsverband geldt dat de leden van het Samenwerkingsverband die daadwerkelijk de Opdracht gaat/gaan uitvoeren, aan bovengenoemde eis moet(en) voldoen. </w:t>
      </w:r>
    </w:p>
    <w:p w:rsidR="005E115B" w:rsidP="005E115B" w:rsidRDefault="005E115B" w14:paraId="1CFA5316" w14:textId="77777777">
      <w:r w:rsidRPr="00A544AF">
        <w:t>Indien de Inschrijver voor de uitvoering van de Opdracht een onderaannemer inzet, dan dient deze onderaannemer, op straffe van uitsluiting van de Inschrijver van de aanbestedingsprocedure, aan bovengenoemde eis te voldoen.</w:t>
      </w:r>
    </w:p>
    <w:p w:rsidR="005E115B" w:rsidP="005E115B" w:rsidRDefault="005E115B" w14:paraId="4A52360D" w14:textId="77777777"/>
    <w:p w:rsidRPr="00BB7C7D" w:rsidR="005E115B" w:rsidP="005E115B" w:rsidRDefault="005E115B" w14:paraId="4EF0805D" w14:textId="77777777">
      <w:pPr>
        <w:rPr>
          <w:u w:val="single"/>
        </w:rPr>
      </w:pPr>
      <w:r w:rsidRPr="00BB7C7D">
        <w:rPr>
          <w:u w:val="single"/>
        </w:rPr>
        <w:t>Bewijsmiddelen:</w:t>
      </w:r>
    </w:p>
    <w:p w:rsidRPr="008E28E9" w:rsidR="005E115B" w:rsidP="005E115B" w:rsidRDefault="005E115B" w14:paraId="7B796259" w14:textId="77777777">
      <w:r w:rsidRPr="008E28E9">
        <w:t xml:space="preserve">Ten bewijze dat de Inschrijver aan deze eis voldoet, kan bij Inschrijving worden volstaan met het indienen van het UEA (Deel IV, onderdeel α aankruisen). </w:t>
      </w:r>
    </w:p>
    <w:p w:rsidRPr="008633EE" w:rsidR="005E115B" w:rsidP="005E115B" w:rsidRDefault="005E115B" w14:paraId="7ABEE61E" w14:textId="77777777">
      <w:pPr>
        <w:rPr>
          <w:highlight w:val="yellow"/>
        </w:rPr>
      </w:pPr>
    </w:p>
    <w:p w:rsidRPr="00555C9B" w:rsidR="008E28E9" w:rsidP="008E28E9" w:rsidRDefault="008E28E9" w14:paraId="1E4E789C" w14:textId="3EC63707">
      <w:pPr>
        <w:suppressAutoHyphens/>
      </w:pPr>
      <w:r w:rsidRPr="00FB7D11">
        <w:t xml:space="preserve">Van de Inschrijver aan wie de Aanbestedende Dienst </w:t>
      </w:r>
      <w:r>
        <w:t>de</w:t>
      </w:r>
      <w:r w:rsidRPr="00FB7D11">
        <w:t xml:space="preserve"> Opdracht</w:t>
      </w:r>
      <w:r>
        <w:t xml:space="preserve"> gunt</w:t>
      </w:r>
      <w:r w:rsidRPr="00FB7D11">
        <w:t xml:space="preserve">, </w:t>
      </w:r>
      <w:r>
        <w:t>wordt verzocht h</w:t>
      </w:r>
      <w:r w:rsidRPr="00FB7D11">
        <w:t xml:space="preserve">et definitieve bewijs dat het genoemde certificaat daadwerkelijk is behaald, uiterlijk binnen achttien (18) maanden na de startdatum van de </w:t>
      </w:r>
      <w:r w:rsidR="006B6E80">
        <w:t>O</w:t>
      </w:r>
      <w:r w:rsidRPr="00FB7D11">
        <w:t xml:space="preserve">pdracht aan de Aanbestedende Dienst te </w:t>
      </w:r>
      <w:r>
        <w:t>overleggen</w:t>
      </w:r>
      <w:r w:rsidRPr="00FB7D11">
        <w:t>.</w:t>
      </w:r>
      <w:r>
        <w:t xml:space="preserve"> </w:t>
      </w:r>
      <w:r w:rsidRPr="008E28E9">
        <w:t>Om te bewijzen dat de Inschrijver daadwerkelijk aan deze eis voldoet moet één van de volgende bewijsmiddelen worden aangeleverd:</w:t>
      </w:r>
    </w:p>
    <w:p w:rsidR="005E115B" w:rsidP="005E115B" w:rsidRDefault="005E115B" w14:paraId="70500EB6" w14:textId="77777777"/>
    <w:p w:rsidR="005E115B" w:rsidP="00AA114F" w:rsidRDefault="005E115B" w14:paraId="4A5149F6" w14:textId="77777777">
      <w:pPr>
        <w:numPr>
          <w:ilvl w:val="0"/>
          <w:numId w:val="13"/>
        </w:numPr>
        <w:tabs>
          <w:tab w:val="left" w:pos="567"/>
          <w:tab w:val="left" w:pos="1134"/>
          <w:tab w:val="left" w:pos="1418"/>
          <w:tab w:val="left" w:pos="1701"/>
          <w:tab w:val="left" w:pos="1985"/>
          <w:tab w:val="right" w:pos="9332"/>
        </w:tabs>
        <w:suppressAutoHyphens/>
        <w:contextualSpacing/>
        <w:rPr>
          <w:rFonts w:cs="Arial"/>
        </w:rPr>
      </w:pPr>
      <w:r w:rsidRPr="00953186">
        <w:rPr>
          <w:rFonts w:cs="Arial"/>
        </w:rPr>
        <w:t xml:space="preserve">Een kopie van het geldige </w:t>
      </w:r>
      <w:r>
        <w:rPr>
          <w:rFonts w:cs="Arial"/>
        </w:rPr>
        <w:t>informatiebeveiligings</w:t>
      </w:r>
      <w:r w:rsidRPr="00953186">
        <w:rPr>
          <w:rFonts w:cs="Arial"/>
        </w:rPr>
        <w:t xml:space="preserve">managementsysteemcertificaat conform de ISO 27001: 2017 of ISO 27001:2022 norm en afgegeven door een certificerende instelling die is erkend door de Raad van Accreditatie. </w:t>
      </w:r>
    </w:p>
    <w:p w:rsidR="005E115B" w:rsidP="00AA114F" w:rsidRDefault="005E115B" w14:paraId="2B8F474C" w14:textId="77777777">
      <w:pPr>
        <w:numPr>
          <w:ilvl w:val="0"/>
          <w:numId w:val="13"/>
        </w:numPr>
        <w:tabs>
          <w:tab w:val="left" w:pos="567"/>
          <w:tab w:val="left" w:pos="1134"/>
          <w:tab w:val="left" w:pos="1418"/>
          <w:tab w:val="left" w:pos="1701"/>
          <w:tab w:val="left" w:pos="1985"/>
          <w:tab w:val="right" w:pos="9332"/>
        </w:tabs>
        <w:suppressAutoHyphens/>
        <w:contextualSpacing/>
        <w:rPr>
          <w:rFonts w:cs="Arial"/>
        </w:rPr>
      </w:pPr>
      <w:r w:rsidRPr="00953186">
        <w:rPr>
          <w:rFonts w:cs="Arial"/>
        </w:rPr>
        <w:t xml:space="preserve">Een kopie van het geldige certificaat dat minimaal gelijkwaardig is aan de ISO 27001: 2017 of ISO 27001:2022 norm en is afgegeven door een certificerende instelling die is erkend door de Raad van Accreditatie. </w:t>
      </w:r>
    </w:p>
    <w:p w:rsidRPr="0011287B" w:rsidR="005E115B" w:rsidP="00AA114F" w:rsidRDefault="005E115B" w14:paraId="32AEFBC9" w14:textId="77777777">
      <w:pPr>
        <w:numPr>
          <w:ilvl w:val="0"/>
          <w:numId w:val="13"/>
        </w:numPr>
        <w:tabs>
          <w:tab w:val="left" w:pos="567"/>
          <w:tab w:val="left" w:pos="1134"/>
          <w:tab w:val="left" w:pos="1418"/>
          <w:tab w:val="left" w:pos="1701"/>
          <w:tab w:val="left" w:pos="1985"/>
          <w:tab w:val="right" w:pos="9332"/>
        </w:tabs>
        <w:suppressAutoHyphens/>
        <w:contextualSpacing/>
        <w:rPr>
          <w:rFonts w:cs="Arial"/>
        </w:rPr>
      </w:pPr>
      <w:r w:rsidRPr="00953186">
        <w:rPr>
          <w:rFonts w:cs="Arial"/>
        </w:rPr>
        <w:t xml:space="preserve">Een beschrijving van maximaal </w:t>
      </w:r>
      <w:r>
        <w:rPr>
          <w:rFonts w:cs="Arial"/>
        </w:rPr>
        <w:t>tien</w:t>
      </w:r>
      <w:r w:rsidRPr="00953186">
        <w:rPr>
          <w:rFonts w:cs="Arial"/>
        </w:rPr>
        <w:t xml:space="preserve"> A4 van een ander (eigen) managementsysteem dat gelijkwaardig is aan de ISO 27001: 2017 of ISO 27001:2022 norm en dat minimaal de genoemde aspecten bevat die onder punt drie zijn benoemd.</w:t>
      </w:r>
    </w:p>
    <w:p w:rsidR="009B017B" w:rsidRDefault="009B017B" w14:paraId="5997ED6A" w14:textId="77777777"/>
    <w:p w:rsidRPr="00D35FCC" w:rsidR="009B017B" w:rsidP="009B017B" w:rsidRDefault="009B017B" w14:paraId="775A0E46" w14:textId="77777777">
      <w:pPr>
        <w:tabs>
          <w:tab w:val="left" w:pos="567"/>
          <w:tab w:val="left" w:pos="1134"/>
          <w:tab w:val="left" w:pos="1418"/>
          <w:tab w:val="left" w:pos="1701"/>
          <w:tab w:val="left" w:pos="1985"/>
          <w:tab w:val="right" w:pos="9332"/>
        </w:tabs>
        <w:suppressAutoHyphens/>
      </w:pPr>
      <w:r>
        <w:t>Indien de Inschrijver niet binnen de genoemde termijn een bewijs aandraagt van het behalen van de bovengenoemde ISO-norm, wordt de Overeenkomst ontbonden. De Opdrachtgever bepaalt de ontbindingstermijn.</w:t>
      </w:r>
    </w:p>
    <w:p w:rsidR="000B155B" w:rsidRDefault="000B155B" w14:paraId="205AE2B4" w14:textId="77777777">
      <w:r>
        <w:br w:type="page"/>
      </w:r>
    </w:p>
    <w:p w:rsidR="000B155B" w:rsidP="000B155B" w:rsidRDefault="000B155B" w14:paraId="59B7E5BC" w14:textId="77777777">
      <w:pPr>
        <w:pStyle w:val="Kop1"/>
      </w:pPr>
      <w:bookmarkStart w:name="_Toc205383359" w:id="117"/>
      <w:r>
        <w:t>Minimumeisen</w:t>
      </w:r>
      <w:bookmarkEnd w:id="117"/>
    </w:p>
    <w:p w:rsidRPr="00555C9B" w:rsidR="00003152" w:rsidP="00003152" w:rsidRDefault="00003152" w14:paraId="49ECA18D" w14:textId="5C04143F">
      <w:pPr>
        <w:suppressAutoHyphens/>
      </w:pPr>
      <w:bookmarkStart w:name="_Hlk185502657" w:id="118"/>
      <w:r w:rsidRPr="00555C9B">
        <w:t xml:space="preserve">De Inschrijver dient </w:t>
      </w:r>
      <w:r>
        <w:t xml:space="preserve">in </w:t>
      </w:r>
      <w:r w:rsidR="00FD28C1">
        <w:t>diens</w:t>
      </w:r>
      <w:r>
        <w:t xml:space="preserve"> Inschrijving </w:t>
      </w:r>
      <w:r w:rsidRPr="00555C9B">
        <w:t xml:space="preserve">te verklaren dat </w:t>
      </w:r>
      <w:r>
        <w:t xml:space="preserve">hij </w:t>
      </w:r>
      <w:r w:rsidRPr="00555C9B">
        <w:t xml:space="preserve">bij </w:t>
      </w:r>
      <w:r>
        <w:t xml:space="preserve">en tijdens </w:t>
      </w:r>
      <w:r w:rsidRPr="00555C9B">
        <w:t xml:space="preserve">de uitvoering van de </w:t>
      </w:r>
      <w:r>
        <w:t>O</w:t>
      </w:r>
      <w:r w:rsidRPr="00555C9B">
        <w:t xml:space="preserve">pdracht </w:t>
      </w:r>
      <w:r>
        <w:t>voldoet en blijft</w:t>
      </w:r>
      <w:r w:rsidRPr="00555C9B">
        <w:t xml:space="preserve"> voldoen aan de in het Programma v</w:t>
      </w:r>
      <w:r w:rsidR="004C523E">
        <w:t>a</w:t>
      </w:r>
      <w:r w:rsidRPr="00555C9B">
        <w:t xml:space="preserve">n Eisen opgenomen eisen. De Inschrijver dient daartoe </w:t>
      </w:r>
      <w:r w:rsidRPr="00555C9B">
        <w:rPr>
          <w:u w:val="single"/>
        </w:rPr>
        <w:t>bij zijn Inschrijving</w:t>
      </w:r>
      <w:r w:rsidRPr="00555C9B">
        <w:t xml:space="preserve"> de volledig ingevulde en rechtsgeldig ondertekende conformiteitenverklaring (bijlage 8) te voegen</w:t>
      </w:r>
      <w:r w:rsidR="00054E66">
        <w:t>, zulks</w:t>
      </w:r>
      <w:r w:rsidRPr="008C3D64" w:rsidR="00054E66">
        <w:t xml:space="preserve"> op straffe van uitsluiting van verdere deelname aan de aanbestedingsprocedure</w:t>
      </w:r>
      <w:r w:rsidRPr="00555C9B">
        <w:t xml:space="preserve">. </w:t>
      </w:r>
    </w:p>
    <w:p w:rsidRPr="00555C9B" w:rsidR="00003152" w:rsidP="00003152" w:rsidRDefault="00003152" w14:paraId="15FE77D7" w14:textId="77777777"/>
    <w:p w:rsidRPr="00555C9B" w:rsidR="00003152" w:rsidP="00003152" w:rsidRDefault="00003152" w14:paraId="5E482FDF" w14:textId="671D5643">
      <w:r w:rsidRPr="00555C9B">
        <w:t xml:space="preserve">In deze conformiteitenverklaring moet de Inschrijver verklaren dat zijn Inschrijving voldoet aan de gestelde minimumeisen én dat hij bij de uitvoering van de </w:t>
      </w:r>
      <w:r>
        <w:t>O</w:t>
      </w:r>
      <w:r w:rsidRPr="00555C9B">
        <w:t xml:space="preserve">pdracht zal voldoen aan de gestelde uitvoeringseisen. </w:t>
      </w:r>
      <w:r w:rsidRPr="009631FA" w:rsidR="009631FA">
        <w:t xml:space="preserve">Deze verklaring dient rechtsgeldig ondertekend te zijn. </w:t>
      </w:r>
      <w:r w:rsidRPr="00555C9B">
        <w:t>Een Inschrijver wordt uitgesloten van verdere deelname aan de aanbestedingsprocedure als deze verklaring niet aan zijn Inschrijving is gevoegd en/of niet rechtsgeldig is ondertekend</w:t>
      </w:r>
      <w:r>
        <w:t xml:space="preserve"> en/of uit de overige inhoud van zijn Inschrijving kan voortvloeien dat het Programma ven Eisen niet zal worden nageleefd.</w:t>
      </w:r>
    </w:p>
    <w:p w:rsidRPr="00555C9B" w:rsidR="00003152" w:rsidP="00003152" w:rsidRDefault="00003152" w14:paraId="126163C4" w14:textId="77777777"/>
    <w:p w:rsidRPr="00555C9B" w:rsidR="00003152" w:rsidP="00003152" w:rsidRDefault="00003152" w14:paraId="3D3D234E" w14:textId="3B0C1BD3">
      <w:r w:rsidRPr="00555C9B">
        <w:t xml:space="preserve">Indien gedurende de looptijd van de </w:t>
      </w:r>
      <w:r>
        <w:t>O</w:t>
      </w:r>
      <w:r w:rsidRPr="00555C9B">
        <w:t>vereenkomst blijkt dat de Inschrijver niet voldoet aan een of meerdere</w:t>
      </w:r>
      <w:r>
        <w:t xml:space="preserve"> eisen</w:t>
      </w:r>
      <w:r w:rsidRPr="00555C9B">
        <w:t xml:space="preserve"> wordt dit als niet-nakoming van de</w:t>
      </w:r>
      <w:r w:rsidR="009B017B">
        <w:t xml:space="preserve"> </w:t>
      </w:r>
      <w:r>
        <w:t>O</w:t>
      </w:r>
      <w:r w:rsidRPr="00555C9B">
        <w:t xml:space="preserve">vereenkomst aangemerkt. In dat geval is de Aanbestedende Dienst gerechtigd de </w:t>
      </w:r>
      <w:r>
        <w:t>O</w:t>
      </w:r>
      <w:r w:rsidRPr="00555C9B">
        <w:t xml:space="preserve">vereenkomst te ontbinden. </w:t>
      </w:r>
    </w:p>
    <w:bookmarkEnd w:id="118"/>
    <w:p w:rsidRPr="00555C9B" w:rsidR="00346557" w:rsidP="00346557" w:rsidRDefault="00346557" w14:paraId="6D803DA7" w14:textId="77777777">
      <w:pPr>
        <w:suppressAutoHyphens/>
      </w:pPr>
    </w:p>
    <w:p w:rsidR="00346557" w:rsidP="00346557" w:rsidRDefault="00346557" w14:paraId="6BCA1318" w14:textId="77777777">
      <w:r>
        <w:br w:type="page"/>
      </w:r>
    </w:p>
    <w:p w:rsidR="000B155B" w:rsidP="000B155B" w:rsidRDefault="000B155B" w14:paraId="424B816B" w14:textId="77777777">
      <w:pPr>
        <w:pStyle w:val="Kop1"/>
      </w:pPr>
      <w:bookmarkStart w:name="_Toc205383360" w:id="119"/>
      <w:r>
        <w:t>Gunningscriteria en beoordeling</w:t>
      </w:r>
      <w:bookmarkEnd w:id="119"/>
    </w:p>
    <w:p w:rsidR="000B155B" w:rsidP="000B155B" w:rsidRDefault="000B155B" w14:paraId="65B0CFE5" w14:textId="77777777">
      <w:pPr>
        <w:pStyle w:val="Kop2"/>
      </w:pPr>
      <w:bookmarkStart w:name="_Toc205383361" w:id="120"/>
      <w:r>
        <w:t>Gunningscriterium</w:t>
      </w:r>
      <w:bookmarkEnd w:id="120"/>
    </w:p>
    <w:p w:rsidRPr="00527B1C" w:rsidR="00455C31" w:rsidP="00455C31" w:rsidRDefault="00455C31" w14:paraId="5854D653" w14:textId="77777777">
      <w:pPr>
        <w:suppressAutoHyphens/>
      </w:pPr>
      <w:bookmarkStart w:name="_Hlk185502795" w:id="121"/>
      <w:r w:rsidRPr="00527B1C">
        <w:t xml:space="preserve">Alle geldige Inschrijvingen van niet uitgesloten Inschrijvers worden beoordeeld aan de hand van het gunningscriterium: de economisch meest voordelige inschrijving op basis van de beste prijs-kwaliteitsverhouding. </w:t>
      </w:r>
    </w:p>
    <w:bookmarkEnd w:id="121"/>
    <w:p w:rsidRPr="00527B1C" w:rsidR="00455C31" w:rsidP="00455C31" w:rsidRDefault="00455C31" w14:paraId="49AF1687" w14:textId="77777777">
      <w:pPr>
        <w:suppressAutoHyphens/>
      </w:pPr>
    </w:p>
    <w:p w:rsidR="003F59C9" w:rsidP="00455C31" w:rsidRDefault="00455C31" w14:paraId="0605CE32" w14:textId="77777777">
      <w:pPr>
        <w:suppressAutoHyphens/>
      </w:pPr>
      <w:r w:rsidRPr="00527B1C">
        <w:t>De Inschrijvingen die conform de vorige hoofdstukken niet zijn uitgesloten van de aanbestedingsprocedure en die door de Aanbestedende Dienst geldig zijn bevonden</w:t>
      </w:r>
      <w:r w:rsidRPr="00527B1C" w:rsidDel="00E20F3C">
        <w:t xml:space="preserve"> </w:t>
      </w:r>
      <w:r w:rsidRPr="00527B1C">
        <w:t>worden verder beoordeeld aan de hand van de in paragraaf 9.2 vermelde gunningscriteria.</w:t>
      </w:r>
    </w:p>
    <w:p w:rsidR="003F59C9" w:rsidP="00455C31" w:rsidRDefault="003F59C9" w14:paraId="2779E3D6" w14:textId="77777777">
      <w:pPr>
        <w:suppressAutoHyphens/>
      </w:pPr>
    </w:p>
    <w:p w:rsidRPr="00527B1C" w:rsidR="00455C31" w:rsidP="00455C31" w:rsidRDefault="00FE03B8" w14:paraId="5D0013DB" w14:textId="0A265626">
      <w:pPr>
        <w:suppressAutoHyphens/>
      </w:pPr>
      <w:r w:rsidRPr="00555C9B">
        <w:t xml:space="preserve">De rangorde (van hoog naar laag/van laag naar hoog) in de totaalscores bepaalt de economisch meest voordelige inschrijving. De Aanbestedende Dienst gunt de Opdracht aan de Inschrijver die de Inschrijving met de beste prijs-kwaliteitsverhouding heeft gedaan. Dat is de Inschrijver die in de eindrangorde de hoogste </w:t>
      </w:r>
      <w:r>
        <w:t>totaal</w:t>
      </w:r>
      <w:r w:rsidRPr="00555C9B">
        <w:t>score heeft</w:t>
      </w:r>
      <w:r>
        <w:t xml:space="preserve"> behaald</w:t>
      </w:r>
      <w:r w:rsidRPr="00555C9B">
        <w:t>.</w:t>
      </w:r>
    </w:p>
    <w:p w:rsidR="003F59C9" w:rsidP="00455C31" w:rsidRDefault="003F59C9" w14:paraId="5EFC0FA2" w14:textId="77777777">
      <w:pPr>
        <w:suppressAutoHyphens/>
      </w:pPr>
    </w:p>
    <w:p w:rsidRPr="00527B1C" w:rsidR="00455C31" w:rsidP="00455C31" w:rsidRDefault="00455C31" w14:paraId="68679701" w14:textId="77777777">
      <w:pPr>
        <w:suppressAutoHyphens/>
      </w:pPr>
      <w:r w:rsidRPr="00527B1C">
        <w:t xml:space="preserve">De gunningscriteria bestaan uit criteria op het gebied van kwaliteit en prijs. De kwalitatieve criteria en de prijscriteria worden verschillend gewaardeerd. Met de kwalitatieve criteria zijn in totaal </w:t>
      </w:r>
      <w:r w:rsidRPr="76E98F7B">
        <w:t>90</w:t>
      </w:r>
      <w:r w:rsidRPr="00527B1C">
        <w:t xml:space="preserve"> punten te behalen. Met de prijscriteria zijn in totaal </w:t>
      </w:r>
      <w:r w:rsidRPr="76E98F7B">
        <w:t>10</w:t>
      </w:r>
      <w:r w:rsidRPr="00527B1C">
        <w:t xml:space="preserve"> punten te behalen. Daarmee wegen de kwalitatieve criteria gezamenlijk voor </w:t>
      </w:r>
      <w:r w:rsidRPr="76E98F7B">
        <w:t>90</w:t>
      </w:r>
      <w:r w:rsidRPr="00527B1C">
        <w:t xml:space="preserve">% mee in de beoordeling en de prijscriteria voor </w:t>
      </w:r>
      <w:r w:rsidRPr="76E98F7B">
        <w:t>10</w:t>
      </w:r>
      <w:r w:rsidRPr="00527B1C">
        <w:t>%. De gunningscriteria zijn opgenomen in de onderstaande tabel:</w:t>
      </w:r>
    </w:p>
    <w:p w:rsidRPr="00527B1C" w:rsidR="00455C31" w:rsidP="00455C31" w:rsidRDefault="00455C31" w14:paraId="6918E502" w14:textId="77777777">
      <w:pPr>
        <w:suppressAutoHyphens/>
        <w:rPr>
          <w:b/>
        </w:rPr>
      </w:pPr>
    </w:p>
    <w:tbl>
      <w:tblPr>
        <w:tblStyle w:val="Tabelraster"/>
        <w:tblpPr w:leftFromText="141" w:rightFromText="141" w:vertAnchor="text" w:tblpY="1"/>
        <w:tblOverlap w:val="never"/>
        <w:tblW w:w="0" w:type="auto"/>
        <w:tblLook w:val="04A0" w:firstRow="1" w:lastRow="0" w:firstColumn="1" w:lastColumn="0" w:noHBand="0" w:noVBand="1"/>
      </w:tblPr>
      <w:tblGrid>
        <w:gridCol w:w="2670"/>
        <w:gridCol w:w="2977"/>
      </w:tblGrid>
      <w:tr w:rsidRPr="00527B1C" w:rsidR="00455C31" w:rsidTr="00240365" w14:paraId="210F3C72" w14:textId="77777777">
        <w:trPr>
          <w:cnfStyle w:val="100000000000" w:firstRow="1" w:lastRow="0" w:firstColumn="0" w:lastColumn="0" w:oddVBand="0" w:evenVBand="0" w:oddHBand="0" w:evenHBand="0" w:firstRowFirstColumn="0" w:firstRowLastColumn="0" w:lastRowFirstColumn="0" w:lastRowLastColumn="0"/>
        </w:trPr>
        <w:tc>
          <w:tcPr>
            <w:tcW w:w="2670" w:type="dxa"/>
          </w:tcPr>
          <w:p w:rsidRPr="00527B1C" w:rsidR="00455C31" w:rsidP="00240365" w:rsidRDefault="00455C31" w14:paraId="7B165E9B" w14:textId="77777777">
            <w:pPr>
              <w:suppressAutoHyphens/>
              <w:rPr>
                <w:b/>
                <w:bCs/>
              </w:rPr>
            </w:pPr>
            <w:r w:rsidRPr="00527B1C">
              <w:rPr>
                <w:b/>
                <w:bCs/>
              </w:rPr>
              <w:t>Gunningscriteria</w:t>
            </w:r>
          </w:p>
        </w:tc>
        <w:tc>
          <w:tcPr>
            <w:tcW w:w="2977" w:type="dxa"/>
          </w:tcPr>
          <w:p w:rsidRPr="00527B1C" w:rsidR="00455C31" w:rsidP="00240365" w:rsidRDefault="00455C31" w14:paraId="24385B31" w14:textId="77777777">
            <w:pPr>
              <w:suppressAutoHyphens/>
              <w:rPr>
                <w:b/>
                <w:bCs/>
              </w:rPr>
            </w:pPr>
            <w:r w:rsidRPr="00527B1C">
              <w:rPr>
                <w:b/>
                <w:bCs/>
              </w:rPr>
              <w:t>Maximaal aantal punten</w:t>
            </w:r>
          </w:p>
        </w:tc>
      </w:tr>
      <w:tr w:rsidRPr="00527B1C" w:rsidR="00455C31" w:rsidTr="00240365" w14:paraId="5C7C37C3" w14:textId="77777777">
        <w:trPr>
          <w:cnfStyle w:val="000000100000" w:firstRow="0" w:lastRow="0" w:firstColumn="0" w:lastColumn="0" w:oddVBand="0" w:evenVBand="0" w:oddHBand="1" w:evenHBand="0" w:firstRowFirstColumn="0" w:firstRowLastColumn="0" w:lastRowFirstColumn="0" w:lastRowLastColumn="0"/>
        </w:trPr>
        <w:tc>
          <w:tcPr>
            <w:tcW w:w="5647" w:type="dxa"/>
            <w:gridSpan w:val="2"/>
          </w:tcPr>
          <w:p w:rsidRPr="00527B1C" w:rsidR="00455C31" w:rsidP="00240365" w:rsidRDefault="00455C31" w14:paraId="608EAC7E" w14:textId="77777777">
            <w:pPr>
              <w:suppressAutoHyphens/>
              <w:rPr>
                <w:rFonts w:eastAsia="MS Mincho" w:cs="Arial"/>
                <w:color w:val="00314E"/>
                <w:sz w:val="60"/>
                <w:szCs w:val="32"/>
              </w:rPr>
            </w:pPr>
            <w:r w:rsidRPr="00527B1C">
              <w:t>Gunningscriteria met het oog op kwaliteit</w:t>
            </w:r>
          </w:p>
        </w:tc>
      </w:tr>
      <w:tr w:rsidRPr="00527B1C" w:rsidR="00455C31" w:rsidTr="00240365" w14:paraId="690C9A12" w14:textId="77777777">
        <w:trPr>
          <w:cnfStyle w:val="000000010000" w:firstRow="0" w:lastRow="0" w:firstColumn="0" w:lastColumn="0" w:oddVBand="0" w:evenVBand="0" w:oddHBand="0" w:evenHBand="1" w:firstRowFirstColumn="0" w:firstRowLastColumn="0" w:lastRowFirstColumn="0" w:lastRowLastColumn="0"/>
        </w:trPr>
        <w:tc>
          <w:tcPr>
            <w:tcW w:w="2670" w:type="dxa"/>
          </w:tcPr>
          <w:p w:rsidRPr="00527B1C" w:rsidR="00455C31" w:rsidP="00240365" w:rsidRDefault="00455C31" w14:paraId="24741373" w14:textId="5A706EF9">
            <w:pPr>
              <w:suppressAutoHyphens/>
            </w:pPr>
            <w:r>
              <w:t xml:space="preserve">1 </w:t>
            </w:r>
            <w:r w:rsidR="6FE14978">
              <w:t>Startklaar garantie</w:t>
            </w:r>
          </w:p>
        </w:tc>
        <w:tc>
          <w:tcPr>
            <w:tcW w:w="2977" w:type="dxa"/>
          </w:tcPr>
          <w:p w:rsidRPr="00527B1C" w:rsidR="00455C31" w:rsidP="00240365" w:rsidRDefault="00455C31" w14:paraId="141AF3ED" w14:textId="77777777">
            <w:r>
              <w:t>45</w:t>
            </w:r>
            <w:r w:rsidRPr="00527B1C">
              <w:t xml:space="preserve"> punten </w:t>
            </w:r>
          </w:p>
        </w:tc>
      </w:tr>
      <w:tr w:rsidRPr="00527B1C" w:rsidR="00455C31" w:rsidTr="00240365" w14:paraId="17DE86E4" w14:textId="77777777">
        <w:trPr>
          <w:cnfStyle w:val="000000100000" w:firstRow="0" w:lastRow="0" w:firstColumn="0" w:lastColumn="0" w:oddVBand="0" w:evenVBand="0" w:oddHBand="1" w:evenHBand="0" w:firstRowFirstColumn="0" w:firstRowLastColumn="0" w:lastRowFirstColumn="0" w:lastRowLastColumn="0"/>
        </w:trPr>
        <w:tc>
          <w:tcPr>
            <w:tcW w:w="2670" w:type="dxa"/>
          </w:tcPr>
          <w:p w:rsidRPr="00527B1C" w:rsidR="00455C31" w:rsidP="00240365" w:rsidRDefault="00455C31" w14:paraId="237F8F9D" w14:textId="074533AA">
            <w:pPr>
              <w:suppressAutoHyphens/>
            </w:pPr>
            <w:r w:rsidRPr="00527B1C">
              <w:t xml:space="preserve">2 </w:t>
            </w:r>
            <w:r w:rsidR="006C28DF">
              <w:t>D</w:t>
            </w:r>
            <w:r>
              <w:t xml:space="preserve">ienstverlening </w:t>
            </w:r>
          </w:p>
        </w:tc>
        <w:tc>
          <w:tcPr>
            <w:tcW w:w="2977" w:type="dxa"/>
          </w:tcPr>
          <w:p w:rsidRPr="00527B1C" w:rsidR="00455C31" w:rsidP="00240365" w:rsidRDefault="00455C31" w14:paraId="6FB5432A" w14:textId="77777777">
            <w:pPr>
              <w:suppressAutoHyphens/>
            </w:pPr>
            <w:r>
              <w:t>45</w:t>
            </w:r>
            <w:r w:rsidRPr="00527B1C">
              <w:t xml:space="preserve"> punten </w:t>
            </w:r>
          </w:p>
        </w:tc>
      </w:tr>
      <w:tr w:rsidRPr="00527B1C" w:rsidR="00455C31" w:rsidTr="00240365" w14:paraId="7067E1A0" w14:textId="77777777">
        <w:trPr>
          <w:cnfStyle w:val="000000010000" w:firstRow="0" w:lastRow="0" w:firstColumn="0" w:lastColumn="0" w:oddVBand="0" w:evenVBand="0" w:oddHBand="0" w:evenHBand="1" w:firstRowFirstColumn="0" w:firstRowLastColumn="0" w:lastRowFirstColumn="0" w:lastRowLastColumn="0"/>
        </w:trPr>
        <w:tc>
          <w:tcPr>
            <w:tcW w:w="5647" w:type="dxa"/>
            <w:gridSpan w:val="2"/>
          </w:tcPr>
          <w:p w:rsidRPr="00527B1C" w:rsidR="00455C31" w:rsidP="00240365" w:rsidRDefault="00455C31" w14:paraId="4EE98A35" w14:textId="77777777">
            <w:pPr>
              <w:suppressAutoHyphens/>
              <w:rPr>
                <w:rFonts w:eastAsia="MS Mincho" w:cs="Arial"/>
                <w:color w:val="00314E"/>
                <w:sz w:val="60"/>
                <w:szCs w:val="32"/>
              </w:rPr>
            </w:pPr>
            <w:r w:rsidRPr="00527B1C">
              <w:t>Gunningscriteria met het oog op prijs</w:t>
            </w:r>
          </w:p>
        </w:tc>
      </w:tr>
      <w:tr w:rsidRPr="00527B1C" w:rsidR="00455C31" w:rsidTr="00240365" w14:paraId="4B9E8DEA" w14:textId="77777777">
        <w:trPr>
          <w:cnfStyle w:val="000000100000" w:firstRow="0" w:lastRow="0" w:firstColumn="0" w:lastColumn="0" w:oddVBand="0" w:evenVBand="0" w:oddHBand="1" w:evenHBand="0" w:firstRowFirstColumn="0" w:firstRowLastColumn="0" w:lastRowFirstColumn="0" w:lastRowLastColumn="0"/>
        </w:trPr>
        <w:tc>
          <w:tcPr>
            <w:tcW w:w="2670" w:type="dxa"/>
          </w:tcPr>
          <w:p w:rsidRPr="00527B1C" w:rsidR="00455C31" w:rsidP="00240365" w:rsidRDefault="00455C31" w14:paraId="5C47B72D" w14:textId="77777777">
            <w:pPr>
              <w:suppressAutoHyphens/>
            </w:pPr>
            <w:r>
              <w:t>3</w:t>
            </w:r>
            <w:r w:rsidRPr="00527B1C">
              <w:t xml:space="preserve"> Prijs</w:t>
            </w:r>
          </w:p>
        </w:tc>
        <w:tc>
          <w:tcPr>
            <w:tcW w:w="2977" w:type="dxa"/>
          </w:tcPr>
          <w:p w:rsidRPr="00527B1C" w:rsidR="00455C31" w:rsidP="00240365" w:rsidRDefault="00455C31" w14:paraId="464B2385" w14:textId="77777777">
            <w:pPr>
              <w:suppressAutoHyphens/>
            </w:pPr>
            <w:r>
              <w:t>10</w:t>
            </w:r>
            <w:r w:rsidRPr="00527B1C">
              <w:t xml:space="preserve"> punten </w:t>
            </w:r>
          </w:p>
        </w:tc>
      </w:tr>
      <w:tr w:rsidRPr="00527B1C" w:rsidR="00455C31" w:rsidTr="00240365" w14:paraId="5B4EAF53" w14:textId="77777777">
        <w:trPr>
          <w:cnfStyle w:val="000000010000" w:firstRow="0" w:lastRow="0" w:firstColumn="0" w:lastColumn="0" w:oddVBand="0" w:evenVBand="0" w:oddHBand="0" w:evenHBand="1" w:firstRowFirstColumn="0" w:firstRowLastColumn="0" w:lastRowFirstColumn="0" w:lastRowLastColumn="0"/>
        </w:trPr>
        <w:tc>
          <w:tcPr>
            <w:tcW w:w="2670" w:type="dxa"/>
          </w:tcPr>
          <w:p w:rsidRPr="00527B1C" w:rsidR="00455C31" w:rsidP="00240365" w:rsidRDefault="00455C31" w14:paraId="1CB739BA" w14:textId="77777777">
            <w:pPr>
              <w:suppressAutoHyphens/>
              <w:rPr>
                <w:b/>
              </w:rPr>
            </w:pPr>
            <w:r w:rsidRPr="00527B1C">
              <w:rPr>
                <w:b/>
              </w:rPr>
              <w:t>Totaal</w:t>
            </w:r>
          </w:p>
        </w:tc>
        <w:tc>
          <w:tcPr>
            <w:tcW w:w="2977" w:type="dxa"/>
          </w:tcPr>
          <w:p w:rsidRPr="00527B1C" w:rsidR="00455C31" w:rsidP="00240365" w:rsidRDefault="00455C31" w14:paraId="3C2E67BE" w14:textId="77777777">
            <w:pPr>
              <w:suppressAutoHyphens/>
              <w:rPr>
                <w:b/>
              </w:rPr>
            </w:pPr>
            <w:r w:rsidRPr="00527B1C">
              <w:rPr>
                <w:b/>
              </w:rPr>
              <w:t>100 punten</w:t>
            </w:r>
          </w:p>
        </w:tc>
      </w:tr>
    </w:tbl>
    <w:p w:rsidRPr="00527B1C" w:rsidR="00455C31" w:rsidP="00455C31" w:rsidRDefault="00455C31" w14:paraId="74A8F20B" w14:textId="77777777">
      <w:pPr>
        <w:suppressAutoHyphens/>
      </w:pPr>
      <w:r w:rsidRPr="00527B1C">
        <w:br w:type="textWrapping" w:clear="all"/>
      </w:r>
    </w:p>
    <w:p w:rsidRPr="00527B1C" w:rsidR="00455C31" w:rsidP="00455C31" w:rsidRDefault="00455C31" w14:paraId="105A899C" w14:textId="17BA8C2E">
      <w:pPr>
        <w:suppressAutoHyphens/>
        <w:rPr>
          <w:rFonts w:cs="Arial"/>
          <w:color w:val="000000"/>
        </w:rPr>
      </w:pPr>
      <w:r w:rsidRPr="00527B1C">
        <w:t xml:space="preserve">De Aanbestedende Dienst </w:t>
      </w:r>
      <w:r w:rsidRPr="00527B1C">
        <w:rPr>
          <w:rFonts w:cs="Arial"/>
          <w:color w:val="000000"/>
        </w:rPr>
        <w:t>wijst erop dat Inschrijvers hun invulling van de kwalitatieve gunningscriteria zo concreet en aantoonbaar mogelijk moeten opstellen. Een concrete, aantoonbare en onderbouwde invulling zal hoger worden beoordeeld dan een algemene en/ of abstracte beschrijving. De invulling van de kwalitatieve gunningscriteria wordt bovendien onderdeel van de te sluiten Overeenkomst. Inschrijvers worden dus – ingeval van gunning van de Opdracht – gehouden aan hetgeen zij opnemen in de Inschrijving.</w:t>
      </w:r>
    </w:p>
    <w:p w:rsidR="009B5178" w:rsidP="009B5178" w:rsidRDefault="009B5178" w14:paraId="42DC52F5" w14:textId="77777777">
      <w:pPr>
        <w:pStyle w:val="Kop2"/>
      </w:pPr>
      <w:bookmarkStart w:name="_Toc205383362" w:id="122"/>
      <w:r>
        <w:t>Gunningscriteria</w:t>
      </w:r>
      <w:bookmarkEnd w:id="122"/>
    </w:p>
    <w:p w:rsidR="00A77CE5" w:rsidP="00A77CE5" w:rsidRDefault="009B5178" w14:paraId="5A2FCC0E" w14:textId="29119326">
      <w:pPr>
        <w:pStyle w:val="Kop3"/>
        <w:rPr>
          <w:i/>
          <w:iCs w:val="0"/>
          <w:color w:val="auto"/>
          <w:sz w:val="20"/>
          <w:szCs w:val="20"/>
        </w:rPr>
      </w:pPr>
      <w:r>
        <w:t xml:space="preserve">Gunningscriterium 1: </w:t>
      </w:r>
      <w:r w:rsidR="00066D9D">
        <w:t>Startklaar garantie</w:t>
      </w:r>
    </w:p>
    <w:p w:rsidR="0086492E" w:rsidP="00A77CE5" w:rsidRDefault="0086492E" w14:paraId="1610B4D3" w14:textId="77777777">
      <w:pPr>
        <w:rPr>
          <w:rFonts w:cs="Arial"/>
        </w:rPr>
      </w:pPr>
    </w:p>
    <w:p w:rsidRPr="00DA78F1" w:rsidR="00DA78F1" w:rsidP="00DA78F1" w:rsidRDefault="00066D9D" w14:paraId="24A0F731" w14:textId="7E1DC7BD">
      <w:pPr>
        <w:rPr>
          <w:rFonts w:cs="Arial"/>
        </w:rPr>
      </w:pPr>
      <w:r w:rsidRPr="00527B1C">
        <w:rPr>
          <w:rFonts w:cs="Arial"/>
          <w:b/>
          <w:bCs/>
        </w:rPr>
        <w:t>Doel</w:t>
      </w:r>
      <w:r w:rsidRPr="00527B1C">
        <w:rPr>
          <w:rFonts w:cs="Arial"/>
          <w:b/>
          <w:bCs/>
        </w:rPr>
        <w:br/>
      </w:r>
      <w:r w:rsidRPr="00DA78F1" w:rsidR="00DA78F1">
        <w:rPr>
          <w:rFonts w:cs="Arial"/>
        </w:rPr>
        <w:t xml:space="preserve">De Aanbestedende Dienst </w:t>
      </w:r>
      <w:r w:rsidR="00332642">
        <w:rPr>
          <w:rFonts w:cs="Arial"/>
        </w:rPr>
        <w:t>wenst</w:t>
      </w:r>
      <w:r w:rsidRPr="00DA78F1" w:rsidR="00DA78F1">
        <w:rPr>
          <w:rFonts w:cs="Arial"/>
        </w:rPr>
        <w:t xml:space="preserve"> een direct inzetbare en betrouwbare dienstverlening vanaf de startdatum van de Overeenkomst. Dit gunningscriterium beoogt inzicht te krijgen in de mate waarin de Inschrijver in staat is om het aangeboden dataplatform – inclusief de webservices en geodata – volledig functioneel en zelfstandig bruikbaar op te leveren, </w:t>
      </w:r>
      <w:r w:rsidR="00B35E30">
        <w:rPr>
          <w:rFonts w:cs="Arial"/>
        </w:rPr>
        <w:t xml:space="preserve">bruikbaar vanaf de startdatum van de Overeenkomst en </w:t>
      </w:r>
      <w:r w:rsidRPr="00DA78F1" w:rsidR="00DA78F1">
        <w:rPr>
          <w:rFonts w:cs="Arial"/>
        </w:rPr>
        <w:t xml:space="preserve">zodanig dat gebruikers zonder tussenkomst van de </w:t>
      </w:r>
      <w:r w:rsidR="003E7A48">
        <w:rPr>
          <w:rFonts w:cs="Arial"/>
        </w:rPr>
        <w:t>Inschrijver</w:t>
      </w:r>
      <w:r w:rsidRPr="00DA78F1" w:rsidR="00DA78F1">
        <w:rPr>
          <w:rFonts w:cs="Arial"/>
        </w:rPr>
        <w:t xml:space="preserve"> direct kunnen werken in hun eigen geo-tools.</w:t>
      </w:r>
      <w:r w:rsidR="00420A61">
        <w:rPr>
          <w:rFonts w:cs="Arial"/>
        </w:rPr>
        <w:t xml:space="preserve"> De geo-tools waarop de oplossing minimaal bruikbaar moet zijn, zijn genoemd in hoofdstuk 3 van het Beschrijvend Document.</w:t>
      </w:r>
    </w:p>
    <w:p w:rsidRPr="00DA78F1" w:rsidR="00DA78F1" w:rsidP="00DA78F1" w:rsidRDefault="00DA78F1" w14:paraId="4E37CE38" w14:textId="77777777">
      <w:pPr>
        <w:rPr>
          <w:rFonts w:cs="Arial"/>
        </w:rPr>
      </w:pPr>
    </w:p>
    <w:p w:rsidR="00066D9D" w:rsidP="00DA78F1" w:rsidRDefault="00DA78F1" w14:paraId="4C567EEF" w14:textId="0B623185">
      <w:pPr>
        <w:rPr>
          <w:rFonts w:cs="Arial"/>
        </w:rPr>
      </w:pPr>
      <w:r w:rsidRPr="00DA78F1">
        <w:rPr>
          <w:rFonts w:cs="Arial"/>
        </w:rPr>
        <w:t xml:space="preserve">De Aanbestedende Dienst hecht daarnaast waarde aan een transparante samenwerking, waarin de </w:t>
      </w:r>
      <w:r w:rsidR="003E7A48">
        <w:rPr>
          <w:rFonts w:cs="Arial"/>
        </w:rPr>
        <w:t>Inschrijver</w:t>
      </w:r>
      <w:r w:rsidRPr="00DA78F1">
        <w:rPr>
          <w:rFonts w:cs="Arial"/>
        </w:rPr>
        <w:t xml:space="preserve"> helder communiceert over de geboden oplossing, de benodigde voorbereidingen, en de wijze waarop risico’s bij de implementatie en opstart worden beheerst. Dit omvat onder andere de technische architectuur, beschikbaarheids- en herstelmaatregelen, voorbereidende activiteiten, en de inrichting van communicatie en afstemming voorafgaand aan </w:t>
      </w:r>
      <w:r w:rsidR="005955EB">
        <w:rPr>
          <w:rFonts w:cs="Arial"/>
        </w:rPr>
        <w:t>de start van de Overeenkomst.</w:t>
      </w:r>
      <w:r w:rsidR="009C5A8E">
        <w:rPr>
          <w:rFonts w:cs="Arial"/>
        </w:rPr>
        <w:t xml:space="preserve"> Uitgangspunt daarbij is dat de Opdrachtnemer verantwoordelijk blijft voor het werkend krijgen en werkend opleveren van </w:t>
      </w:r>
      <w:r w:rsidR="006541A3">
        <w:rPr>
          <w:rFonts w:cs="Arial"/>
        </w:rPr>
        <w:t>het platform.</w:t>
      </w:r>
    </w:p>
    <w:p w:rsidR="00066D9D" w:rsidP="00066D9D" w:rsidRDefault="00066D9D" w14:paraId="2D5083FF" w14:textId="77777777">
      <w:pPr>
        <w:rPr>
          <w:rFonts w:cs="Arial"/>
        </w:rPr>
      </w:pPr>
    </w:p>
    <w:p w:rsidR="00066D9D" w:rsidP="00066D9D" w:rsidRDefault="00066D9D" w14:paraId="04E49A11" w14:textId="7A267D75">
      <w:pPr>
        <w:rPr>
          <w:rFonts w:cs="Arial"/>
        </w:rPr>
      </w:pPr>
      <w:r w:rsidRPr="0034450C">
        <w:rPr>
          <w:rFonts w:cs="Arial"/>
        </w:rPr>
        <w:t xml:space="preserve">De Inschrijver dient bij zijn Inschrijving een </w:t>
      </w:r>
      <w:r>
        <w:rPr>
          <w:rFonts w:cs="Arial"/>
        </w:rPr>
        <w:t>zo concreet mogelijk</w:t>
      </w:r>
      <w:r w:rsidR="00C41722">
        <w:rPr>
          <w:rFonts w:cs="Arial"/>
        </w:rPr>
        <w:t>e</w:t>
      </w:r>
      <w:r>
        <w:rPr>
          <w:rFonts w:cs="Arial"/>
        </w:rPr>
        <w:t xml:space="preserve"> </w:t>
      </w:r>
      <w:r w:rsidRPr="0034450C">
        <w:rPr>
          <w:rFonts w:cs="Arial"/>
        </w:rPr>
        <w:t xml:space="preserve">beschrijving van de aangeboden </w:t>
      </w:r>
      <w:r>
        <w:rPr>
          <w:rFonts w:cs="Arial"/>
        </w:rPr>
        <w:t>O</w:t>
      </w:r>
      <w:r w:rsidRPr="0034450C">
        <w:rPr>
          <w:rFonts w:cs="Arial"/>
        </w:rPr>
        <w:t xml:space="preserve">plossing samen met een toelichting op de werkwijze van implementatie in. </w:t>
      </w:r>
    </w:p>
    <w:p w:rsidR="00066D9D" w:rsidP="00066D9D" w:rsidRDefault="00066D9D" w14:paraId="3546FB1A" w14:textId="77777777">
      <w:pPr>
        <w:rPr>
          <w:rFonts w:cs="Arial"/>
        </w:rPr>
      </w:pPr>
    </w:p>
    <w:p w:rsidRPr="00527B1C" w:rsidR="00066D9D" w:rsidP="00066D9D" w:rsidRDefault="00066D9D" w14:paraId="6B30D213" w14:textId="44BB7345">
      <w:pPr>
        <w:rPr>
          <w:rFonts w:cs="Arial"/>
          <w:b/>
          <w:bCs/>
        </w:rPr>
      </w:pPr>
      <w:r w:rsidRPr="00527B1C">
        <w:rPr>
          <w:rFonts w:cs="Arial"/>
          <w:b/>
          <w:bCs/>
        </w:rPr>
        <w:t>Ga in op de volgende aspecten</w:t>
      </w:r>
    </w:p>
    <w:p w:rsidRPr="00527B1C" w:rsidR="00066D9D" w:rsidP="00066D9D" w:rsidRDefault="00066D9D" w14:paraId="04ADBCB1" w14:textId="77777777">
      <w:pPr>
        <w:rPr>
          <w:rFonts w:cs="Arial"/>
        </w:rPr>
      </w:pPr>
      <w:r w:rsidRPr="00527B1C">
        <w:rPr>
          <w:rFonts w:cs="Arial"/>
        </w:rPr>
        <w:t xml:space="preserve">De Inschrijver </w:t>
      </w:r>
      <w:r>
        <w:rPr>
          <w:rFonts w:cs="Arial"/>
        </w:rPr>
        <w:t>beschrijft</w:t>
      </w:r>
      <w:r w:rsidRPr="00527B1C">
        <w:rPr>
          <w:rFonts w:cs="Arial"/>
        </w:rPr>
        <w:t xml:space="preserve"> ten minste de volgende aspecte</w:t>
      </w:r>
      <w:r>
        <w:rPr>
          <w:rFonts w:cs="Arial"/>
        </w:rPr>
        <w:t>n</w:t>
      </w:r>
      <w:r w:rsidRPr="00527B1C">
        <w:rPr>
          <w:rFonts w:cs="Arial"/>
        </w:rPr>
        <w:t>:</w:t>
      </w:r>
    </w:p>
    <w:p w:rsidR="00066D9D" w:rsidP="00B608AB" w:rsidRDefault="00066D9D" w14:paraId="182C8840" w14:textId="77777777">
      <w:pPr>
        <w:pStyle w:val="Default"/>
        <w:numPr>
          <w:ilvl w:val="0"/>
          <w:numId w:val="25"/>
        </w:numPr>
        <w:spacing w:line="280" w:lineRule="atLeast"/>
        <w:rPr>
          <w:sz w:val="20"/>
          <w:szCs w:val="20"/>
        </w:rPr>
      </w:pPr>
      <w:r w:rsidRPr="009C5B8B">
        <w:rPr>
          <w:b/>
          <w:bCs/>
          <w:sz w:val="20"/>
          <w:szCs w:val="20"/>
        </w:rPr>
        <w:t>De geboden oplossing</w:t>
      </w:r>
      <w:r>
        <w:rPr>
          <w:sz w:val="20"/>
          <w:szCs w:val="20"/>
        </w:rPr>
        <w:t xml:space="preserve"> </w:t>
      </w:r>
    </w:p>
    <w:p w:rsidR="00066D9D" w:rsidP="00B608AB" w:rsidRDefault="00066D9D" w14:paraId="7F73D0B2" w14:textId="5646F2B0">
      <w:pPr>
        <w:pStyle w:val="Default"/>
        <w:numPr>
          <w:ilvl w:val="1"/>
          <w:numId w:val="25"/>
        </w:numPr>
        <w:spacing w:line="280" w:lineRule="atLeast"/>
        <w:rPr>
          <w:sz w:val="20"/>
          <w:szCs w:val="20"/>
        </w:rPr>
      </w:pPr>
      <w:r>
        <w:rPr>
          <w:sz w:val="20"/>
          <w:szCs w:val="20"/>
        </w:rPr>
        <w:t>De componenten van de architectuur van het dataplatform</w:t>
      </w:r>
      <w:r w:rsidR="005955EB">
        <w:rPr>
          <w:sz w:val="20"/>
          <w:szCs w:val="20"/>
        </w:rPr>
        <w:t xml:space="preserve"> (dit mag een beschrijving zijn of een visuele weergave van de aangeboden architectuur). </w:t>
      </w:r>
    </w:p>
    <w:p w:rsidR="00066D9D" w:rsidP="00B608AB" w:rsidRDefault="00066D9D" w14:paraId="191A2784" w14:textId="77777777">
      <w:pPr>
        <w:pStyle w:val="Default"/>
        <w:numPr>
          <w:ilvl w:val="1"/>
          <w:numId w:val="25"/>
        </w:numPr>
        <w:spacing w:line="280" w:lineRule="atLeast"/>
        <w:rPr>
          <w:sz w:val="20"/>
          <w:szCs w:val="20"/>
        </w:rPr>
      </w:pPr>
      <w:r>
        <w:rPr>
          <w:sz w:val="20"/>
          <w:szCs w:val="20"/>
        </w:rPr>
        <w:t>Hoe deze architectuur garant staat voor zaken als:</w:t>
      </w:r>
    </w:p>
    <w:p w:rsidR="00066D9D" w:rsidP="00B608AB" w:rsidRDefault="00066D9D" w14:paraId="1B6AA755" w14:textId="0C9026F0">
      <w:pPr>
        <w:pStyle w:val="Default"/>
        <w:numPr>
          <w:ilvl w:val="2"/>
          <w:numId w:val="25"/>
        </w:numPr>
        <w:spacing w:line="280" w:lineRule="atLeast"/>
        <w:rPr>
          <w:sz w:val="20"/>
          <w:szCs w:val="20"/>
        </w:rPr>
      </w:pPr>
      <w:r>
        <w:rPr>
          <w:sz w:val="20"/>
          <w:szCs w:val="20"/>
        </w:rPr>
        <w:t>De beschikbaarheid van het dataplatform en de webservices</w:t>
      </w:r>
      <w:r w:rsidR="007D1F2F">
        <w:rPr>
          <w:sz w:val="20"/>
          <w:szCs w:val="20"/>
        </w:rPr>
        <w:t xml:space="preserve"> op de startdatum van de Overeenkomst</w:t>
      </w:r>
      <w:r>
        <w:rPr>
          <w:sz w:val="20"/>
          <w:szCs w:val="20"/>
        </w:rPr>
        <w:t>, waarbij ingegaan wordt op risico’s binnen de architectuur en hoe deze beheerst worden.</w:t>
      </w:r>
    </w:p>
    <w:p w:rsidR="00066D9D" w:rsidP="00B608AB" w:rsidRDefault="00066D9D" w14:paraId="65A21A14" w14:textId="77777777">
      <w:pPr>
        <w:pStyle w:val="Default"/>
        <w:numPr>
          <w:ilvl w:val="2"/>
          <w:numId w:val="25"/>
        </w:numPr>
        <w:spacing w:line="280" w:lineRule="atLeast"/>
        <w:rPr>
          <w:sz w:val="20"/>
          <w:szCs w:val="20"/>
        </w:rPr>
      </w:pPr>
      <w:r>
        <w:rPr>
          <w:sz w:val="20"/>
          <w:szCs w:val="20"/>
        </w:rPr>
        <w:t>De schaalbaarheid van het dataplatform.</w:t>
      </w:r>
    </w:p>
    <w:p w:rsidR="00066D9D" w:rsidP="00B608AB" w:rsidRDefault="00066D9D" w14:paraId="16CF65EF" w14:textId="77777777">
      <w:pPr>
        <w:pStyle w:val="Default"/>
        <w:numPr>
          <w:ilvl w:val="2"/>
          <w:numId w:val="25"/>
        </w:numPr>
        <w:spacing w:line="280" w:lineRule="atLeast"/>
        <w:rPr>
          <w:sz w:val="20"/>
          <w:szCs w:val="20"/>
        </w:rPr>
      </w:pPr>
      <w:r>
        <w:rPr>
          <w:sz w:val="20"/>
          <w:szCs w:val="20"/>
        </w:rPr>
        <w:t>Het monitoren van het dataplatform.</w:t>
      </w:r>
    </w:p>
    <w:p w:rsidR="00066D9D" w:rsidP="00B608AB" w:rsidRDefault="00066D9D" w14:paraId="2D862E2F" w14:textId="77777777">
      <w:pPr>
        <w:pStyle w:val="Default"/>
        <w:numPr>
          <w:ilvl w:val="2"/>
          <w:numId w:val="25"/>
        </w:numPr>
        <w:spacing w:line="280" w:lineRule="atLeast"/>
        <w:rPr>
          <w:sz w:val="20"/>
          <w:szCs w:val="20"/>
        </w:rPr>
      </w:pPr>
      <w:r>
        <w:rPr>
          <w:sz w:val="20"/>
          <w:szCs w:val="20"/>
        </w:rPr>
        <w:t>Het correct en consistent publiceren van de data en metadata.</w:t>
      </w:r>
    </w:p>
    <w:p w:rsidRPr="005A323C" w:rsidR="00066D9D" w:rsidP="00B608AB" w:rsidRDefault="00066D9D" w14:paraId="0FA688EF" w14:textId="77777777">
      <w:pPr>
        <w:numPr>
          <w:ilvl w:val="2"/>
          <w:numId w:val="25"/>
        </w:numPr>
      </w:pPr>
      <w:r w:rsidRPr="00527B1C">
        <w:t>Uitleg over de borging van hoge beschikbaarheid en de backup- en herstelprocedures.</w:t>
      </w:r>
    </w:p>
    <w:p w:rsidRPr="00527B1C" w:rsidR="00066D9D" w:rsidP="00B608AB" w:rsidRDefault="00066D9D" w14:paraId="5C4B97B6" w14:textId="77777777">
      <w:pPr>
        <w:numPr>
          <w:ilvl w:val="0"/>
          <w:numId w:val="25"/>
        </w:numPr>
        <w:rPr>
          <w:rFonts w:cs="Arial"/>
        </w:rPr>
      </w:pPr>
      <w:r w:rsidRPr="00527B1C">
        <w:rPr>
          <w:rFonts w:cs="Arial"/>
          <w:b/>
          <w:bCs/>
        </w:rPr>
        <w:t>Voorbereidende activiteiten voorafgaand aan de ingangsdatum</w:t>
      </w:r>
    </w:p>
    <w:p w:rsidRPr="00527B1C" w:rsidR="00066D9D" w:rsidP="00B608AB" w:rsidRDefault="00066D9D" w14:paraId="5B07F7E2" w14:textId="77777777">
      <w:pPr>
        <w:numPr>
          <w:ilvl w:val="1"/>
          <w:numId w:val="25"/>
        </w:numPr>
        <w:rPr>
          <w:rFonts w:cs="Arial"/>
        </w:rPr>
      </w:pPr>
      <w:r w:rsidRPr="00527B1C">
        <w:rPr>
          <w:rFonts w:cs="Arial"/>
        </w:rPr>
        <w:t>Overzicht van eventuele noodzakelijke voorbereidende acties (zoals het instellen van toegangsrechten, configuratie van webservices, testmomenten).</w:t>
      </w:r>
    </w:p>
    <w:p w:rsidRPr="00527B1C" w:rsidR="00066D9D" w:rsidP="00B608AB" w:rsidRDefault="00066D9D" w14:paraId="5BBD7FFA" w14:textId="77777777">
      <w:pPr>
        <w:numPr>
          <w:ilvl w:val="1"/>
          <w:numId w:val="25"/>
        </w:numPr>
        <w:rPr>
          <w:rFonts w:cs="Arial"/>
        </w:rPr>
      </w:pPr>
      <w:r w:rsidRPr="00527B1C">
        <w:rPr>
          <w:rFonts w:cs="Arial"/>
        </w:rPr>
        <w:t>Planning van deze acties met bijbehorende verantwoordelijkheden.</w:t>
      </w:r>
    </w:p>
    <w:p w:rsidRPr="00527B1C" w:rsidR="00066D9D" w:rsidP="00B608AB" w:rsidRDefault="00066D9D" w14:paraId="0FE382B9" w14:textId="77777777">
      <w:pPr>
        <w:numPr>
          <w:ilvl w:val="0"/>
          <w:numId w:val="25"/>
        </w:numPr>
        <w:rPr>
          <w:rFonts w:cs="Arial"/>
        </w:rPr>
      </w:pPr>
      <w:r w:rsidRPr="00527B1C">
        <w:rPr>
          <w:rFonts w:cs="Arial"/>
          <w:b/>
          <w:bCs/>
        </w:rPr>
        <w:t>Beheersmaatregelen bij opstart</w:t>
      </w:r>
    </w:p>
    <w:p w:rsidRPr="00527B1C" w:rsidR="00066D9D" w:rsidP="00B608AB" w:rsidRDefault="00066D9D" w14:paraId="692E4596" w14:textId="208E6B04">
      <w:pPr>
        <w:numPr>
          <w:ilvl w:val="1"/>
          <w:numId w:val="25"/>
        </w:numPr>
        <w:rPr>
          <w:rFonts w:cs="Arial"/>
        </w:rPr>
      </w:pPr>
      <w:r w:rsidRPr="00527B1C">
        <w:rPr>
          <w:rFonts w:cs="Arial"/>
        </w:rPr>
        <w:t xml:space="preserve">Eventuele risico’s rondom de startdatum en </w:t>
      </w:r>
      <w:r w:rsidR="00776153">
        <w:rPr>
          <w:rFonts w:cs="Arial"/>
        </w:rPr>
        <w:t>de beheersmaatregelen waardoor die risico’s worden</w:t>
      </w:r>
      <w:r w:rsidRPr="00527B1C">
        <w:rPr>
          <w:rFonts w:cs="Arial"/>
        </w:rPr>
        <w:t xml:space="preserve"> gemitigeerd.</w:t>
      </w:r>
    </w:p>
    <w:p w:rsidRPr="00527B1C" w:rsidR="00066D9D" w:rsidP="00B608AB" w:rsidRDefault="00066D9D" w14:paraId="2F307EA9" w14:textId="77777777">
      <w:pPr>
        <w:numPr>
          <w:ilvl w:val="0"/>
          <w:numId w:val="25"/>
        </w:numPr>
        <w:rPr>
          <w:rFonts w:cs="Arial"/>
        </w:rPr>
      </w:pPr>
      <w:r w:rsidRPr="00527B1C">
        <w:rPr>
          <w:rFonts w:cs="Arial"/>
          <w:b/>
          <w:bCs/>
        </w:rPr>
        <w:t>Communicatie en afstemming</w:t>
      </w:r>
    </w:p>
    <w:p w:rsidRPr="00527B1C" w:rsidR="00066D9D" w:rsidP="00B608AB" w:rsidRDefault="00066D9D" w14:paraId="7277D3D6" w14:textId="77777777">
      <w:pPr>
        <w:numPr>
          <w:ilvl w:val="1"/>
          <w:numId w:val="25"/>
        </w:numPr>
        <w:rPr>
          <w:rFonts w:cs="Arial"/>
        </w:rPr>
      </w:pPr>
      <w:r w:rsidRPr="00527B1C">
        <w:rPr>
          <w:rFonts w:cs="Arial"/>
        </w:rPr>
        <w:t>Beschrijving van het contact met de Aanbestedende Dienst rondom de opstartfase.</w:t>
      </w:r>
    </w:p>
    <w:p w:rsidRPr="00527B1C" w:rsidR="00066D9D" w:rsidP="00B608AB" w:rsidRDefault="00066D9D" w14:paraId="7A06ACA7" w14:textId="77777777">
      <w:pPr>
        <w:numPr>
          <w:ilvl w:val="1"/>
          <w:numId w:val="25"/>
        </w:numPr>
        <w:rPr>
          <w:rFonts w:cs="Arial"/>
        </w:rPr>
      </w:pPr>
      <w:r w:rsidRPr="00527B1C">
        <w:rPr>
          <w:rFonts w:cs="Arial"/>
        </w:rPr>
        <w:t>Aanspreekpunt, communicatiestructuur en bereikbaarheid in deze fase.</w:t>
      </w:r>
    </w:p>
    <w:p w:rsidRPr="00527B1C" w:rsidR="00066D9D" w:rsidP="00066D9D" w:rsidRDefault="00066D9D" w14:paraId="67DFC350" w14:textId="77777777">
      <w:pPr>
        <w:rPr>
          <w:rFonts w:cs="Arial"/>
        </w:rPr>
      </w:pPr>
    </w:p>
    <w:tbl>
      <w:tblPr>
        <w:tblStyle w:val="TableGridLight1"/>
        <w:tblW w:w="0" w:type="auto"/>
        <w:tblLook w:val="04A0" w:firstRow="1" w:lastRow="0" w:firstColumn="1" w:lastColumn="0" w:noHBand="0" w:noVBand="1"/>
      </w:tblPr>
      <w:tblGrid>
        <w:gridCol w:w="8211"/>
      </w:tblGrid>
      <w:tr w:rsidRPr="00527B1C" w:rsidR="00066D9D" w:rsidTr="00066D9D" w14:paraId="017F1778" w14:textId="77777777">
        <w:tc>
          <w:tcPr>
            <w:tcW w:w="8211" w:type="dxa"/>
          </w:tcPr>
          <w:p w:rsidRPr="00527B1C" w:rsidR="00066D9D" w:rsidP="00240365" w:rsidRDefault="00066D9D" w14:paraId="0E54C821" w14:textId="27492CA1">
            <w:pPr>
              <w:spacing w:line="280" w:lineRule="atLeast"/>
              <w:textAlignment w:val="baseline"/>
              <w:rPr>
                <w:rFonts w:cs="Arial"/>
                <w:b/>
                <w:bCs/>
              </w:rPr>
            </w:pPr>
            <w:r w:rsidRPr="00527B1C">
              <w:rPr>
                <w:rFonts w:cs="Arial"/>
                <w:b/>
                <w:bCs/>
              </w:rPr>
              <w:t xml:space="preserve">Evaluatiekader G1: </w:t>
            </w:r>
            <w:r w:rsidR="009F3FFB">
              <w:rPr>
                <w:rFonts w:cs="Arial"/>
                <w:b/>
                <w:bCs/>
              </w:rPr>
              <w:t>St</w:t>
            </w:r>
            <w:r w:rsidR="002135E3">
              <w:rPr>
                <w:rFonts w:cs="Arial"/>
                <w:b/>
                <w:bCs/>
              </w:rPr>
              <w:t>a</w:t>
            </w:r>
            <w:r w:rsidR="009F3FFB">
              <w:rPr>
                <w:rFonts w:cs="Arial"/>
                <w:b/>
                <w:bCs/>
              </w:rPr>
              <w:t>rtklaar</w:t>
            </w:r>
            <w:r w:rsidR="002135E3">
              <w:rPr>
                <w:rFonts w:cs="Arial"/>
                <w:b/>
                <w:bCs/>
              </w:rPr>
              <w:t xml:space="preserve"> </w:t>
            </w:r>
            <w:r w:rsidR="009F3FFB">
              <w:rPr>
                <w:rFonts w:cs="Arial"/>
                <w:b/>
                <w:bCs/>
              </w:rPr>
              <w:t>garantie</w:t>
            </w:r>
          </w:p>
          <w:p w:rsidRPr="002469F6" w:rsidR="00066D9D" w:rsidP="00240365" w:rsidRDefault="00066D9D" w14:paraId="658E5B53" w14:textId="3D41F2F5">
            <w:pPr>
              <w:spacing w:line="280" w:lineRule="atLeast"/>
              <w:textAlignment w:val="baseline"/>
              <w:rPr>
                <w:rFonts w:cs="Arial"/>
              </w:rPr>
            </w:pPr>
            <w:r w:rsidRPr="00527B1C">
              <w:rPr>
                <w:rFonts w:cs="Arial"/>
              </w:rPr>
              <w:t xml:space="preserve">De beschrijving van </w:t>
            </w:r>
            <w:r w:rsidRPr="00527B1C">
              <w:t xml:space="preserve">Gunningscriterium 1: </w:t>
            </w:r>
            <w:r w:rsidR="002135E3">
              <w:t>Startklaar garantie</w:t>
            </w:r>
            <w:r w:rsidRPr="00527B1C" w:rsidR="002135E3">
              <w:t xml:space="preserve"> </w:t>
            </w:r>
            <w:r w:rsidRPr="00527B1C">
              <w:rPr>
                <w:rFonts w:cs="Arial"/>
              </w:rPr>
              <w:t>wordt kwalitatief en in zijn geheel beoordeeld. Daarbij worden de volgende beoordelingsaspecten in overweging genomen:</w:t>
            </w:r>
            <w:r w:rsidRPr="00527B1C">
              <w:rPr>
                <w:rFonts w:ascii="Times New Roman" w:hAnsi="Times New Roman"/>
                <w:sz w:val="24"/>
                <w:szCs w:val="24"/>
              </w:rPr>
              <w:t> </w:t>
            </w:r>
            <w:r w:rsidRPr="00527B1C">
              <w:rPr>
                <w:rFonts w:cs="Arial"/>
              </w:rPr>
              <w:t> </w:t>
            </w:r>
          </w:p>
          <w:p w:rsidRPr="00527B1C" w:rsidR="00066D9D" w:rsidP="00B608AB" w:rsidRDefault="00066D9D" w14:paraId="215267FB" w14:textId="77777777">
            <w:pPr>
              <w:numPr>
                <w:ilvl w:val="0"/>
                <w:numId w:val="26"/>
              </w:numPr>
              <w:spacing w:line="280" w:lineRule="atLeast"/>
              <w:ind w:left="1080"/>
              <w:textAlignment w:val="baseline"/>
              <w:rPr>
                <w:rFonts w:cs="Arial"/>
              </w:rPr>
            </w:pPr>
            <w:r w:rsidRPr="00527B1C">
              <w:rPr>
                <w:rFonts w:cs="Arial"/>
              </w:rPr>
              <w:t>De mate waarin de beschrijving volledig is (alle genoemde aspecten aan bod komen); </w:t>
            </w:r>
          </w:p>
          <w:p w:rsidRPr="00527B1C" w:rsidR="00066D9D" w:rsidP="00B608AB" w:rsidRDefault="00066D9D" w14:paraId="716BC014" w14:textId="77777777">
            <w:pPr>
              <w:numPr>
                <w:ilvl w:val="0"/>
                <w:numId w:val="27"/>
              </w:numPr>
              <w:spacing w:line="280" w:lineRule="atLeast"/>
              <w:ind w:left="1080"/>
              <w:textAlignment w:val="baseline"/>
              <w:rPr>
                <w:rFonts w:cs="Arial"/>
              </w:rPr>
            </w:pPr>
            <w:r w:rsidRPr="00527B1C">
              <w:rPr>
                <w:rFonts w:cs="Arial"/>
              </w:rPr>
              <w:t>De mate waarin de beschrijving concreet is;</w:t>
            </w:r>
          </w:p>
          <w:p w:rsidRPr="00527B1C" w:rsidR="00066D9D" w:rsidP="00B608AB" w:rsidRDefault="00066D9D" w14:paraId="4DB4AC70" w14:textId="77777777">
            <w:pPr>
              <w:numPr>
                <w:ilvl w:val="0"/>
                <w:numId w:val="27"/>
              </w:numPr>
              <w:spacing w:line="280" w:lineRule="atLeast"/>
              <w:ind w:left="1080"/>
              <w:textAlignment w:val="baseline"/>
              <w:rPr>
                <w:rFonts w:cs="Arial"/>
              </w:rPr>
            </w:pPr>
            <w:r w:rsidRPr="00527B1C">
              <w:rPr>
                <w:rFonts w:cs="Arial"/>
              </w:rPr>
              <w:t>De mate waarin de beschrijving relevant is voor de context van de Opdracht; </w:t>
            </w:r>
          </w:p>
          <w:p w:rsidRPr="00527B1C" w:rsidR="00066D9D" w:rsidP="00B608AB" w:rsidRDefault="00066D9D" w14:paraId="27481131" w14:textId="77777777">
            <w:pPr>
              <w:numPr>
                <w:ilvl w:val="0"/>
                <w:numId w:val="27"/>
              </w:numPr>
              <w:spacing w:line="280" w:lineRule="atLeast"/>
              <w:ind w:left="1080"/>
              <w:textAlignment w:val="baseline"/>
              <w:rPr>
                <w:rFonts w:cs="Arial"/>
              </w:rPr>
            </w:pPr>
            <w:r w:rsidRPr="00527B1C">
              <w:rPr>
                <w:rFonts w:cs="Arial"/>
              </w:rPr>
              <w:t>De mate waarin de beschrijving haalbaar is binnen de context van de Opdracht;</w:t>
            </w:r>
          </w:p>
          <w:p w:rsidRPr="00527B1C" w:rsidR="00066D9D" w:rsidP="00B608AB" w:rsidRDefault="00066D9D" w14:paraId="12C849BD" w14:textId="77777777">
            <w:pPr>
              <w:numPr>
                <w:ilvl w:val="0"/>
                <w:numId w:val="27"/>
              </w:numPr>
              <w:spacing w:line="280" w:lineRule="atLeast"/>
              <w:ind w:left="1080"/>
              <w:textAlignment w:val="baseline"/>
              <w:rPr>
                <w:rFonts w:cs="Arial"/>
              </w:rPr>
            </w:pPr>
            <w:r w:rsidRPr="00527B1C">
              <w:rPr>
                <w:rFonts w:cs="Arial"/>
              </w:rPr>
              <w:t>De mate waarin de beschrijving passend is voor de Opdracht en daarmee vertrouwen wekt bij de Opdrachtgever dat Inschrijver in staat is de Opdracht succesvol uit te voeren.</w:t>
            </w:r>
          </w:p>
          <w:p w:rsidRPr="00527B1C" w:rsidR="00066D9D" w:rsidP="00B608AB" w:rsidRDefault="00066D9D" w14:paraId="28C18F55" w14:textId="77777777">
            <w:pPr>
              <w:numPr>
                <w:ilvl w:val="0"/>
                <w:numId w:val="28"/>
              </w:numPr>
              <w:spacing w:line="280" w:lineRule="atLeast"/>
              <w:ind w:left="1080"/>
              <w:textAlignment w:val="baseline"/>
              <w:rPr>
                <w:rFonts w:cs="Arial"/>
              </w:rPr>
            </w:pPr>
            <w:r w:rsidRPr="00527B1C">
              <w:rPr>
                <w:rFonts w:cs="Arial"/>
              </w:rPr>
              <w:t>De mate waarin de beschrijving aansluit bij het doel van dit gunningscriterium. </w:t>
            </w:r>
          </w:p>
          <w:p w:rsidRPr="00527B1C" w:rsidR="00066D9D" w:rsidP="00240365" w:rsidRDefault="00066D9D" w14:paraId="24A48825" w14:textId="77777777">
            <w:pPr>
              <w:spacing w:line="280" w:lineRule="atLeast"/>
              <w:ind w:left="1080"/>
              <w:textAlignment w:val="baseline"/>
              <w:rPr>
                <w:rFonts w:cs="Arial"/>
              </w:rPr>
            </w:pPr>
          </w:p>
          <w:p w:rsidRPr="00527B1C" w:rsidR="00066D9D" w:rsidP="00240365" w:rsidRDefault="00066D9D" w14:paraId="5707CC3B" w14:textId="03A60D5B">
            <w:pPr>
              <w:spacing w:line="280" w:lineRule="atLeast"/>
              <w:textAlignment w:val="baseline"/>
              <w:rPr>
                <w:rFonts w:ascii="Segoe UI" w:hAnsi="Segoe UI" w:cs="Segoe UI"/>
                <w:sz w:val="18"/>
                <w:szCs w:val="18"/>
              </w:rPr>
            </w:pPr>
            <w:r w:rsidRPr="00527B1C">
              <w:rPr>
                <w:rFonts w:cs="Arial"/>
              </w:rPr>
              <w:t>Hoe beter de beschrijving aansluit bij wat er is gevraagd</w:t>
            </w:r>
            <w:r w:rsidR="003811E3">
              <w:rPr>
                <w:rFonts w:cs="Arial"/>
              </w:rPr>
              <w:t xml:space="preserve"> en hoe concreter en meetbaarder de onderbouwing ervan</w:t>
            </w:r>
            <w:r w:rsidRPr="00527B1C">
              <w:rPr>
                <w:rFonts w:cs="Arial"/>
              </w:rPr>
              <w:t>, des te hoger de beoordeling zal zijn. </w:t>
            </w:r>
          </w:p>
          <w:p w:rsidRPr="00527B1C" w:rsidR="00066D9D" w:rsidP="00240365" w:rsidRDefault="00066D9D" w14:paraId="6132D6A3" w14:textId="77777777">
            <w:pPr>
              <w:spacing w:line="280" w:lineRule="atLeast"/>
              <w:textAlignment w:val="baseline"/>
              <w:rPr>
                <w:rFonts w:ascii="Segoe UI" w:hAnsi="Segoe UI" w:cs="Segoe UI"/>
                <w:sz w:val="18"/>
                <w:szCs w:val="18"/>
              </w:rPr>
            </w:pPr>
            <w:r w:rsidRPr="00527B1C">
              <w:rPr>
                <w:rFonts w:cs="Arial"/>
              </w:rPr>
              <w:t> </w:t>
            </w:r>
          </w:p>
          <w:p w:rsidRPr="00527B1C" w:rsidR="00066D9D" w:rsidP="00240365" w:rsidRDefault="00066D9D" w14:paraId="766117EF" w14:textId="77777777">
            <w:pPr>
              <w:spacing w:line="280" w:lineRule="atLeast"/>
              <w:textAlignment w:val="baseline"/>
              <w:rPr>
                <w:rFonts w:ascii="Segoe UI" w:hAnsi="Segoe UI" w:cs="Segoe UI"/>
                <w:sz w:val="18"/>
                <w:szCs w:val="18"/>
              </w:rPr>
            </w:pPr>
            <w:r w:rsidRPr="00527B1C">
              <w:rPr>
                <w:rFonts w:cs="Arial"/>
              </w:rPr>
              <w:t>De beoordelingsaspecten zijn geen aanvullende gunningscriteria en hebben geen individuele wegingsfactor. Het zijn aspecten waarop de beoordelaars dit gunningscriterium beoordelen om tot één integrale eindbeoordeling te komen, met inachtneming van de onderbouwing. De Aanbestedende Dienst kiest bewust voor een geïntegreerde beoordeling, omdat zij gelooft dat er een duidelijke samenhang is tussen de beoordelingsaspecten. De uitwerking van dit gunningscriterium moet een duidelijke en concrete beschrijving van het aanbod bevatten en op zorgvuldige wijze onderbouwd zijn. </w:t>
            </w:r>
          </w:p>
          <w:p w:rsidRPr="00527B1C" w:rsidR="00066D9D" w:rsidP="00240365" w:rsidRDefault="00066D9D" w14:paraId="05E01B2C" w14:textId="77777777">
            <w:pPr>
              <w:rPr>
                <w:rFonts w:cs="Arial"/>
                <w:b/>
                <w:bCs/>
              </w:rPr>
            </w:pPr>
          </w:p>
        </w:tc>
      </w:tr>
    </w:tbl>
    <w:p w:rsidR="00066D9D" w:rsidP="00066D9D" w:rsidRDefault="00066D9D" w14:paraId="40AFF9DF" w14:textId="77777777">
      <w:pPr>
        <w:rPr>
          <w:rFonts w:cs="Arial"/>
          <w:b/>
          <w:bCs/>
        </w:rPr>
      </w:pPr>
    </w:p>
    <w:p w:rsidRPr="00906AD2" w:rsidR="00066D9D" w:rsidP="00066D9D" w:rsidRDefault="00066D9D" w14:paraId="2A32E5E6" w14:textId="21CC184A">
      <w:pPr>
        <w:rPr>
          <w:rFonts w:cs="Arial"/>
        </w:rPr>
      </w:pPr>
      <w:r w:rsidRPr="00906AD2">
        <w:rPr>
          <w:rFonts w:cs="Arial"/>
        </w:rPr>
        <w:t xml:space="preserve">De omvang van de beschrijving van de aangeboden </w:t>
      </w:r>
      <w:r w:rsidR="00731683">
        <w:rPr>
          <w:rFonts w:cs="Arial"/>
        </w:rPr>
        <w:t>start garantie</w:t>
      </w:r>
      <w:r w:rsidRPr="00906AD2">
        <w:rPr>
          <w:rFonts w:cs="Arial"/>
        </w:rPr>
        <w:t xml:space="preserve"> is maximaal </w:t>
      </w:r>
      <w:r w:rsidRPr="00E27BAC">
        <w:rPr>
          <w:rFonts w:cs="Arial"/>
        </w:rPr>
        <w:t>12 A4 exclusief</w:t>
      </w:r>
      <w:r w:rsidRPr="00906AD2">
        <w:rPr>
          <w:rFonts w:cs="Arial"/>
        </w:rPr>
        <w:t xml:space="preserve"> aparte bijlage(n). Het opnemen van aparte bijlagen is </w:t>
      </w:r>
      <w:r w:rsidR="00680961">
        <w:rPr>
          <w:rFonts w:cs="Arial"/>
        </w:rPr>
        <w:t xml:space="preserve">niet </w:t>
      </w:r>
      <w:r w:rsidRPr="00906AD2">
        <w:rPr>
          <w:rFonts w:cs="Arial"/>
        </w:rPr>
        <w:t>toegestaan</w:t>
      </w:r>
      <w:r w:rsidR="00680961">
        <w:rPr>
          <w:rFonts w:cs="Arial"/>
        </w:rPr>
        <w:t xml:space="preserve"> en </w:t>
      </w:r>
      <w:r w:rsidRPr="00906AD2">
        <w:rPr>
          <w:rFonts w:cs="Arial"/>
        </w:rPr>
        <w:t>deze bijlagen maken</w:t>
      </w:r>
      <w:r w:rsidR="00680961">
        <w:rPr>
          <w:rFonts w:cs="Arial"/>
        </w:rPr>
        <w:t xml:space="preserve"> dan ook</w:t>
      </w:r>
      <w:r w:rsidRPr="00906AD2">
        <w:rPr>
          <w:rFonts w:cs="Arial"/>
        </w:rPr>
        <w:t xml:space="preserve"> geen onderdeel uit van de beoordeling. Als bij de beantwoording sprake is van ‘kunnen’, ‘mogelijk zijn’ of formuleringen van gelijke strekking, dan gaat het beoordelingsteam er, tenzij expliciet aangegeven, vanuit dat de betreffende aspecten deel uitmaken van de aangeboden oplossing en de prijs. Folders, brochures en weblinks (en verwijzingen hiernaar) maken geen onderdeel van de inschrijving en zullen dus niet worden beoordeeld door het beoordelingsteam.</w:t>
      </w:r>
    </w:p>
    <w:p w:rsidR="00C03E63" w:rsidP="00C03E63" w:rsidRDefault="00C03E63" w14:paraId="21C73F48" w14:textId="0DEF6896">
      <w:pPr>
        <w:pStyle w:val="Kop3"/>
      </w:pPr>
      <w:r>
        <w:t xml:space="preserve">Gunningscriterium 2: </w:t>
      </w:r>
      <w:r w:rsidR="7B88E21A">
        <w:t>Dienstverlening</w:t>
      </w:r>
    </w:p>
    <w:p w:rsidR="00484D5F" w:rsidP="00484D5F" w:rsidRDefault="00484D5F" w14:paraId="4469A154" w14:textId="77777777"/>
    <w:p w:rsidRPr="00527B1C" w:rsidR="00B723CD" w:rsidP="00B723CD" w:rsidRDefault="00B723CD" w14:paraId="3DE61B27" w14:textId="77777777">
      <w:pPr>
        <w:rPr>
          <w:b/>
          <w:bCs/>
        </w:rPr>
      </w:pPr>
      <w:r w:rsidRPr="00527B1C">
        <w:rPr>
          <w:b/>
          <w:bCs/>
        </w:rPr>
        <w:t>Doel</w:t>
      </w:r>
    </w:p>
    <w:p w:rsidRPr="00527B1C" w:rsidR="00B723CD" w:rsidP="00B723CD" w:rsidRDefault="00B723CD" w14:paraId="3FAC7FE2" w14:textId="26126C02">
      <w:r w:rsidRPr="00527B1C">
        <w:t xml:space="preserve">Het doel van dit gunningscriterium is om te beoordelen in hoeverre de </w:t>
      </w:r>
      <w:r>
        <w:t>I</w:t>
      </w:r>
      <w:r w:rsidRPr="00527B1C">
        <w:t xml:space="preserve">nschrijver een doordacht, concreet en toekomstgericht plan heeft voor het uitvoeren van de dienstverlening gedurende de looptijd van de </w:t>
      </w:r>
      <w:r w:rsidR="0050251B">
        <w:t>O</w:t>
      </w:r>
      <w:r w:rsidRPr="00527B1C">
        <w:t xml:space="preserve">vereenkomst. De Aanbestedende Dienst hecht waarde aan een stabiele, schaalbare en proactieve uitvoering, waarbij continuïteit is geborgd, ruimte is </w:t>
      </w:r>
      <w:r w:rsidRPr="00527B1C">
        <w:t xml:space="preserve">voor innovatie, en communicatie met de </w:t>
      </w:r>
      <w:r w:rsidR="003E00F7">
        <w:t>O</w:t>
      </w:r>
      <w:r w:rsidRPr="00527B1C">
        <w:t>pdrachtgever professioneel en gestructureerd verloopt.</w:t>
      </w:r>
    </w:p>
    <w:p w:rsidRPr="00527B1C" w:rsidR="00B723CD" w:rsidP="00B723CD" w:rsidRDefault="00B723CD" w14:paraId="57B2DD56" w14:textId="77777777"/>
    <w:p w:rsidRPr="00527B1C" w:rsidR="00B723CD" w:rsidP="00B723CD" w:rsidRDefault="00B723CD" w14:paraId="03E21D17" w14:textId="2BC65BC0">
      <w:r w:rsidRPr="00527B1C">
        <w:t xml:space="preserve">Het plan van aanpak moet vertrouwen geven in de kwaliteit van de uitvoering, het anticiperend vermogen van de </w:t>
      </w:r>
      <w:r w:rsidR="00EF7C85">
        <w:t>I</w:t>
      </w:r>
      <w:r w:rsidRPr="00527B1C">
        <w:t>nschrijver op veranderingen in (bron)data, én de bijdrage aan een informatievoorziening die actueel, betekenisvol en relevant blijft voor de OOV-sector.</w:t>
      </w:r>
    </w:p>
    <w:p w:rsidRPr="00527B1C" w:rsidR="00B723CD" w:rsidP="00B723CD" w:rsidRDefault="00B723CD" w14:paraId="14829D9A" w14:textId="77777777">
      <w:pPr>
        <w:rPr>
          <w:b/>
          <w:bCs/>
        </w:rPr>
      </w:pPr>
    </w:p>
    <w:p w:rsidRPr="00527B1C" w:rsidR="00B723CD" w:rsidP="00B723CD" w:rsidRDefault="00B723CD" w14:paraId="71E4D0CB" w14:textId="77777777">
      <w:pPr>
        <w:rPr>
          <w:b/>
          <w:bCs/>
        </w:rPr>
      </w:pPr>
      <w:r w:rsidRPr="00527B1C">
        <w:rPr>
          <w:b/>
          <w:bCs/>
        </w:rPr>
        <w:t>Ga in op de volgende aspecten</w:t>
      </w:r>
    </w:p>
    <w:p w:rsidRPr="00527B1C" w:rsidR="00B723CD" w:rsidP="00B723CD" w:rsidRDefault="00B723CD" w14:paraId="722AF042" w14:textId="77777777">
      <w:pPr>
        <w:rPr>
          <w:rFonts w:cs="Arial"/>
        </w:rPr>
      </w:pPr>
      <w:r w:rsidRPr="00527B1C">
        <w:rPr>
          <w:rFonts w:cs="Arial"/>
        </w:rPr>
        <w:t>De Inschrijver dient een plan van aanpak aan te leveren voor de dienstverlening gedurende de looptijd van de Opdracht waarin ten minste de volgende aspecten worden beschreven:</w:t>
      </w:r>
    </w:p>
    <w:p w:rsidRPr="00527B1C" w:rsidR="00B723CD" w:rsidP="00B723CD" w:rsidRDefault="00B723CD" w14:paraId="744FFF32" w14:textId="77777777"/>
    <w:p w:rsidRPr="00527B1C" w:rsidR="00B723CD" w:rsidP="00B608AB" w:rsidRDefault="00B723CD" w14:paraId="3BFE1EAB" w14:textId="77777777">
      <w:pPr>
        <w:numPr>
          <w:ilvl w:val="0"/>
          <w:numId w:val="29"/>
        </w:numPr>
        <w:rPr>
          <w:b/>
          <w:bCs/>
        </w:rPr>
      </w:pPr>
      <w:r w:rsidRPr="00527B1C">
        <w:rPr>
          <w:b/>
          <w:bCs/>
        </w:rPr>
        <w:t>Risico's en beheersmaatregelen</w:t>
      </w:r>
    </w:p>
    <w:p w:rsidRPr="00527B1C" w:rsidR="00B723CD" w:rsidP="00B608AB" w:rsidRDefault="00B723CD" w14:paraId="1EEB698E" w14:textId="6069DE15">
      <w:pPr>
        <w:numPr>
          <w:ilvl w:val="1"/>
          <w:numId w:val="29"/>
        </w:numPr>
      </w:pPr>
      <w:r w:rsidRPr="00527B1C">
        <w:t>Identificatie van de belangrijkste risico</w:t>
      </w:r>
      <w:r w:rsidR="00573604">
        <w:t>’</w:t>
      </w:r>
      <w:r w:rsidRPr="00527B1C">
        <w:t xml:space="preserve">s </w:t>
      </w:r>
      <w:r>
        <w:t>en</w:t>
      </w:r>
      <w:r w:rsidR="00573604">
        <w:t xml:space="preserve"> bijbehorende</w:t>
      </w:r>
      <w:r>
        <w:t xml:space="preserve"> beheersmaatregelen </w:t>
      </w:r>
      <w:r w:rsidRPr="00527B1C">
        <w:t xml:space="preserve">tijdens de looptijd van de </w:t>
      </w:r>
      <w:r w:rsidR="00305936">
        <w:t>O</w:t>
      </w:r>
      <w:r w:rsidRPr="00527B1C">
        <w:t>pdracht (bijv. uitval van brondata, wijzigende standaarden, schaalvergroting, beveiligingsrisico’s).</w:t>
      </w:r>
      <w:r w:rsidR="00573604">
        <w:t xml:space="preserve"> De kosten in verband met de aangeboden beheersmaatregelen moeten worden meegenomen in de prijsstelling.</w:t>
      </w:r>
    </w:p>
    <w:p w:rsidRPr="00527B1C" w:rsidR="00B723CD" w:rsidP="00B608AB" w:rsidRDefault="00B723CD" w14:paraId="483D217C" w14:textId="77777777">
      <w:pPr>
        <w:numPr>
          <w:ilvl w:val="0"/>
          <w:numId w:val="29"/>
        </w:numPr>
        <w:rPr>
          <w:b/>
          <w:bCs/>
        </w:rPr>
      </w:pPr>
      <w:r w:rsidRPr="00527B1C">
        <w:rPr>
          <w:b/>
          <w:bCs/>
        </w:rPr>
        <w:t>Innovatie van de dienstverlening</w:t>
      </w:r>
    </w:p>
    <w:p w:rsidR="00B723CD" w:rsidP="00B608AB" w:rsidRDefault="00B723CD" w14:paraId="6C3A7506" w14:textId="77777777">
      <w:pPr>
        <w:numPr>
          <w:ilvl w:val="1"/>
          <w:numId w:val="29"/>
        </w:numPr>
      </w:pPr>
      <w:r w:rsidRPr="00527B1C">
        <w:t xml:space="preserve">Visie op toekomstige ontwikkelingen en hoe deze kunnen worden vertaald naar waardevolle uitbreiding of optimalisatie van </w:t>
      </w:r>
      <w:r>
        <w:t>het dataplatform.</w:t>
      </w:r>
    </w:p>
    <w:p w:rsidRPr="00B47F72" w:rsidR="00B723CD" w:rsidP="00B608AB" w:rsidRDefault="00B723CD" w14:paraId="19A8655D" w14:textId="578459AC">
      <w:pPr>
        <w:numPr>
          <w:ilvl w:val="1"/>
          <w:numId w:val="29"/>
        </w:numPr>
      </w:pPr>
      <w:r w:rsidRPr="00527B1C">
        <w:t xml:space="preserve">Beschrijving van hoe de </w:t>
      </w:r>
      <w:r w:rsidR="00305936">
        <w:t>I</w:t>
      </w:r>
      <w:r w:rsidRPr="00527B1C">
        <w:t>nschrijver de dienstverlening actueel houdt en continu verbetert</w:t>
      </w:r>
      <w:r>
        <w:t>, met a</w:t>
      </w:r>
      <w:r w:rsidRPr="00B47F72">
        <w:t>andacht voor technologische innovaties (bijv. AI, betere verrijkingsmethoden, 3D-visualisatie), procesverbeteringen of nieuwe databronnen.</w:t>
      </w:r>
    </w:p>
    <w:p w:rsidRPr="00527B1C" w:rsidR="00B723CD" w:rsidP="00B608AB" w:rsidRDefault="00B723CD" w14:paraId="6C454FC3" w14:textId="40919ACC">
      <w:pPr>
        <w:numPr>
          <w:ilvl w:val="0"/>
          <w:numId w:val="29"/>
        </w:numPr>
        <w:rPr>
          <w:b/>
          <w:bCs/>
        </w:rPr>
      </w:pPr>
      <w:r w:rsidRPr="00527B1C">
        <w:rPr>
          <w:b/>
          <w:bCs/>
        </w:rPr>
        <w:t xml:space="preserve">Communicatie </w:t>
      </w:r>
      <w:r>
        <w:rPr>
          <w:b/>
          <w:bCs/>
        </w:rPr>
        <w:t xml:space="preserve">en samenwerking </w:t>
      </w:r>
      <w:r w:rsidRPr="00527B1C">
        <w:rPr>
          <w:b/>
          <w:bCs/>
        </w:rPr>
        <w:t xml:space="preserve">met de </w:t>
      </w:r>
      <w:r w:rsidR="00176C0B">
        <w:rPr>
          <w:b/>
          <w:bCs/>
        </w:rPr>
        <w:t>O</w:t>
      </w:r>
      <w:r w:rsidRPr="00527B1C">
        <w:rPr>
          <w:b/>
          <w:bCs/>
        </w:rPr>
        <w:t>pdrachtgever</w:t>
      </w:r>
    </w:p>
    <w:p w:rsidRPr="00527B1C" w:rsidR="00B723CD" w:rsidP="00B608AB" w:rsidRDefault="00B723CD" w14:paraId="3A11E7C6" w14:textId="77777777">
      <w:pPr>
        <w:numPr>
          <w:ilvl w:val="1"/>
          <w:numId w:val="29"/>
        </w:numPr>
      </w:pPr>
      <w:r w:rsidRPr="00527B1C">
        <w:t>Beschrijving van de overlegstructuur, rapportagevormen en communicatiemomenten (bijv. voortgangsoverleggen, updates, escalatieprocedure).</w:t>
      </w:r>
    </w:p>
    <w:p w:rsidRPr="00527B1C" w:rsidR="00B723CD" w:rsidP="00B608AB" w:rsidRDefault="00B723CD" w14:paraId="5BF55B30" w14:textId="77777777">
      <w:pPr>
        <w:numPr>
          <w:ilvl w:val="1"/>
          <w:numId w:val="29"/>
        </w:numPr>
      </w:pPr>
      <w:r w:rsidRPr="00527B1C">
        <w:t>Toewijzing van een vast aanspreekpunt / accountmanager.</w:t>
      </w:r>
    </w:p>
    <w:p w:rsidRPr="00527B1C" w:rsidR="00B723CD" w:rsidP="00B608AB" w:rsidRDefault="00B723CD" w14:paraId="6EB82C7B" w14:textId="0147B730">
      <w:pPr>
        <w:numPr>
          <w:ilvl w:val="1"/>
          <w:numId w:val="29"/>
        </w:numPr>
      </w:pPr>
      <w:r w:rsidRPr="00527B1C">
        <w:t xml:space="preserve">Beschrijving van de wijze waarop signalen vanuit de </w:t>
      </w:r>
      <w:r w:rsidR="00176C0B">
        <w:t>O</w:t>
      </w:r>
      <w:r w:rsidRPr="00527B1C">
        <w:t>pdrachtgever (gebruikerservaringen, verbetervoorstellen) worden verwerkt.</w:t>
      </w:r>
    </w:p>
    <w:p w:rsidRPr="00527B1C" w:rsidR="00B723CD" w:rsidP="00B608AB" w:rsidRDefault="00B723CD" w14:paraId="2A8F680A" w14:textId="77777777">
      <w:pPr>
        <w:numPr>
          <w:ilvl w:val="0"/>
          <w:numId w:val="29"/>
        </w:numPr>
        <w:rPr>
          <w:b/>
          <w:bCs/>
        </w:rPr>
      </w:pPr>
      <w:r w:rsidRPr="00527B1C">
        <w:rPr>
          <w:b/>
          <w:bCs/>
        </w:rPr>
        <w:t>Beheer en actualisatie van data en metadata</w:t>
      </w:r>
    </w:p>
    <w:p w:rsidR="00B723CD" w:rsidP="00B608AB" w:rsidRDefault="00B723CD" w14:paraId="5A971D20" w14:textId="77777777">
      <w:pPr>
        <w:numPr>
          <w:ilvl w:val="1"/>
          <w:numId w:val="29"/>
        </w:numPr>
      </w:pPr>
      <w:r>
        <w:t>Toelichting op de wijze waarop data en metadata betrouwbaar, actueel, consistent en volledig worden gehouden, bijvoorbeeld bij wijzigingen in brondata.</w:t>
      </w:r>
    </w:p>
    <w:p w:rsidR="00B723CD" w:rsidP="00B608AB" w:rsidRDefault="00B723CD" w14:paraId="72453821" w14:textId="77777777">
      <w:pPr>
        <w:numPr>
          <w:ilvl w:val="1"/>
          <w:numId w:val="29"/>
        </w:numPr>
      </w:pPr>
      <w:r>
        <w:t>Toelichting op welke wijze oude datasets uitgefaseerd worden.</w:t>
      </w:r>
    </w:p>
    <w:p w:rsidRPr="001B4E4E" w:rsidR="00B723CD" w:rsidP="00B608AB" w:rsidRDefault="00B723CD" w14:paraId="64872C38" w14:textId="77777777">
      <w:pPr>
        <w:numPr>
          <w:ilvl w:val="1"/>
          <w:numId w:val="29"/>
        </w:numPr>
      </w:pPr>
      <w:r w:rsidRPr="4DB2E25E">
        <w:t>Toelichting op de gehanteerde URL-strategie</w:t>
      </w:r>
      <w:r>
        <w:t>, waarbij in wordt gegaan op de eenduidigheid van de strategie.</w:t>
      </w:r>
      <w:r w:rsidRPr="00527B1C">
        <w:t xml:space="preserve"> </w:t>
      </w:r>
    </w:p>
    <w:p w:rsidRPr="00527B1C" w:rsidR="00B723CD" w:rsidP="00B608AB" w:rsidRDefault="00B723CD" w14:paraId="30B83F47" w14:textId="77777777">
      <w:pPr>
        <w:numPr>
          <w:ilvl w:val="0"/>
          <w:numId w:val="29"/>
        </w:numPr>
        <w:rPr>
          <w:b/>
          <w:bCs/>
        </w:rPr>
      </w:pPr>
      <w:r w:rsidRPr="00527B1C">
        <w:rPr>
          <w:b/>
          <w:bCs/>
        </w:rPr>
        <w:t>Gebruikersondersteuning en documentatie</w:t>
      </w:r>
    </w:p>
    <w:p w:rsidRPr="00527B1C" w:rsidR="00B723CD" w:rsidP="00B608AB" w:rsidRDefault="00B723CD" w14:paraId="276065F4" w14:textId="77777777">
      <w:pPr>
        <w:numPr>
          <w:ilvl w:val="1"/>
          <w:numId w:val="29"/>
        </w:numPr>
      </w:pPr>
      <w:r w:rsidRPr="00527B1C">
        <w:t xml:space="preserve">Aangeboden ondersteuning aan gebruikers (bijv. </w:t>
      </w:r>
      <w:r w:rsidRPr="4DB2E25E">
        <w:t xml:space="preserve">opleidings- of begeleidingsaanbod, </w:t>
      </w:r>
      <w:r w:rsidRPr="00527B1C">
        <w:t>supportdesk, gebruikersdocumentatie, technische ondersteuning bij integraties).</w:t>
      </w:r>
    </w:p>
    <w:p w:rsidR="00B723CD" w:rsidP="00B608AB" w:rsidRDefault="00B723CD" w14:paraId="38340F58" w14:textId="77777777">
      <w:pPr>
        <w:numPr>
          <w:ilvl w:val="1"/>
          <w:numId w:val="29"/>
        </w:numPr>
      </w:pPr>
      <w:r w:rsidRPr="00527B1C">
        <w:t>Beschikbaarheid van documentatie, configuratiehandleidingen, changelogs.</w:t>
      </w:r>
    </w:p>
    <w:p w:rsidR="00B723CD" w:rsidP="00B608AB" w:rsidRDefault="00B723CD" w14:paraId="76AE0A36" w14:textId="716BA6F0">
      <w:pPr>
        <w:numPr>
          <w:ilvl w:val="0"/>
          <w:numId w:val="29"/>
        </w:numPr>
        <w:rPr>
          <w:b/>
          <w:bCs/>
        </w:rPr>
      </w:pPr>
      <w:r>
        <w:rPr>
          <w:b/>
          <w:bCs/>
        </w:rPr>
        <w:t>Duurzaamheid</w:t>
      </w:r>
    </w:p>
    <w:p w:rsidRPr="00527B1C" w:rsidR="00B723CD" w:rsidP="00B608AB" w:rsidRDefault="005122E6" w14:paraId="633483C4" w14:textId="7375D3CF">
      <w:pPr>
        <w:numPr>
          <w:ilvl w:val="1"/>
          <w:numId w:val="29"/>
        </w:numPr>
        <w:rPr>
          <w:b/>
          <w:bCs/>
        </w:rPr>
      </w:pPr>
      <w:r>
        <w:t xml:space="preserve">Toelichting </w:t>
      </w:r>
      <w:r w:rsidR="00EF41BA">
        <w:t xml:space="preserve">op de wijze waarop </w:t>
      </w:r>
      <w:r w:rsidR="0017795E">
        <w:t xml:space="preserve">deze </w:t>
      </w:r>
      <w:r w:rsidR="002E0152">
        <w:t>O</w:t>
      </w:r>
      <w:r w:rsidR="0017795E">
        <w:t xml:space="preserve">pdracht op een </w:t>
      </w:r>
      <w:r w:rsidR="00440AB8">
        <w:t xml:space="preserve">energie-efficiënte </w:t>
      </w:r>
      <w:r w:rsidR="0017795E">
        <w:t xml:space="preserve">manier wordt uitgevoerd. </w:t>
      </w:r>
      <w:r w:rsidR="002E34A2">
        <w:t xml:space="preserve">Ga bij de beschrijving in op </w:t>
      </w:r>
      <w:r w:rsidR="001C4687">
        <w:t>de energie-efficiënti</w:t>
      </w:r>
      <w:r w:rsidR="00440AB8">
        <w:t>e</w:t>
      </w:r>
      <w:r w:rsidR="009C7C87">
        <w:t xml:space="preserve"> </w:t>
      </w:r>
      <w:r w:rsidR="00440AB8">
        <w:t xml:space="preserve">(de </w:t>
      </w:r>
      <w:r w:rsidRPr="009C7C87" w:rsidR="009C7C87">
        <w:t>Power Usage Effectiveness</w:t>
      </w:r>
      <w:r w:rsidR="00440AB8">
        <w:t>)</w:t>
      </w:r>
      <w:r w:rsidR="001C4687">
        <w:t xml:space="preserve"> van de datacenters die voor deze opdracht gebruikt worden</w:t>
      </w:r>
      <w:r w:rsidR="00E4603D">
        <w:t>.</w:t>
      </w:r>
      <w:r w:rsidR="003B3FD1">
        <w:t xml:space="preserve"> </w:t>
      </w:r>
      <w:r w:rsidR="00E4603D">
        <w:t xml:space="preserve"> </w:t>
      </w:r>
    </w:p>
    <w:p w:rsidRPr="00527B1C" w:rsidR="00B723CD" w:rsidP="00B723CD" w:rsidRDefault="00B723CD" w14:paraId="403D644E" w14:textId="77777777">
      <w:pPr>
        <w:rPr>
          <w:b/>
          <w:bCs/>
        </w:rPr>
      </w:pPr>
    </w:p>
    <w:p w:rsidRPr="00527B1C" w:rsidR="00B723CD" w:rsidP="00B723CD" w:rsidRDefault="00B723CD" w14:paraId="0E3DED2A" w14:textId="77777777">
      <w:pPr>
        <w:rPr>
          <w:b/>
          <w:bCs/>
        </w:rPr>
      </w:pPr>
    </w:p>
    <w:tbl>
      <w:tblPr>
        <w:tblStyle w:val="TableGridLight1"/>
        <w:tblW w:w="0" w:type="auto"/>
        <w:tblLook w:val="04A0" w:firstRow="1" w:lastRow="0" w:firstColumn="1" w:lastColumn="0" w:noHBand="0" w:noVBand="1"/>
      </w:tblPr>
      <w:tblGrid>
        <w:gridCol w:w="8211"/>
      </w:tblGrid>
      <w:tr w:rsidRPr="00527B1C" w:rsidR="00B723CD" w:rsidTr="00240365" w14:paraId="66DC7D95" w14:textId="77777777">
        <w:tc>
          <w:tcPr>
            <w:tcW w:w="8211" w:type="dxa"/>
          </w:tcPr>
          <w:p w:rsidRPr="00527B1C" w:rsidR="00B723CD" w:rsidP="00240365" w:rsidRDefault="00B723CD" w14:paraId="78C01C27" w14:textId="066C4F3E">
            <w:pPr>
              <w:spacing w:line="280" w:lineRule="atLeast"/>
              <w:textAlignment w:val="baseline"/>
              <w:rPr>
                <w:rFonts w:cs="Arial"/>
                <w:b/>
                <w:bCs/>
              </w:rPr>
            </w:pPr>
            <w:r w:rsidRPr="00527B1C">
              <w:rPr>
                <w:rFonts w:cs="Arial"/>
                <w:b/>
                <w:bCs/>
              </w:rPr>
              <w:t xml:space="preserve">Evaluatiekader G2: </w:t>
            </w:r>
            <w:r w:rsidR="00D40372">
              <w:rPr>
                <w:rFonts w:cs="Arial"/>
                <w:b/>
                <w:bCs/>
              </w:rPr>
              <w:t>Dienst</w:t>
            </w:r>
            <w:r w:rsidR="002356C1">
              <w:rPr>
                <w:rFonts w:cs="Arial"/>
                <w:b/>
                <w:bCs/>
              </w:rPr>
              <w:t>verlening</w:t>
            </w:r>
          </w:p>
          <w:p w:rsidRPr="00527B1C" w:rsidR="00B723CD" w:rsidP="00240365" w:rsidRDefault="00B723CD" w14:paraId="7D04F156" w14:textId="77777777">
            <w:pPr>
              <w:spacing w:line="280" w:lineRule="atLeast"/>
              <w:textAlignment w:val="baseline"/>
              <w:rPr>
                <w:rFonts w:cs="Arial"/>
              </w:rPr>
            </w:pPr>
            <w:r w:rsidRPr="00527B1C">
              <w:rPr>
                <w:rFonts w:cs="Arial"/>
              </w:rPr>
              <w:t xml:space="preserve">De beschrijving van Gunningscriterium </w:t>
            </w:r>
            <w:r>
              <w:rPr>
                <w:rFonts w:cs="Arial"/>
              </w:rPr>
              <w:t>2</w:t>
            </w:r>
            <w:r w:rsidRPr="00527B1C">
              <w:rPr>
                <w:rFonts w:cs="Arial"/>
              </w:rPr>
              <w:t xml:space="preserve">: </w:t>
            </w:r>
            <w:r>
              <w:rPr>
                <w:rFonts w:cs="Arial"/>
              </w:rPr>
              <w:t>Dienstverlening</w:t>
            </w:r>
            <w:r w:rsidRPr="00527B1C">
              <w:rPr>
                <w:rFonts w:cs="Arial"/>
              </w:rPr>
              <w:t xml:space="preserve"> wordt kwalitatief en in zijn geheel beoordeeld. Daarbij worden de volgende beoordelingsaspecten in overweging genomen:</w:t>
            </w:r>
            <w:r w:rsidRPr="00527B1C">
              <w:rPr>
                <w:rFonts w:ascii="Times New Roman" w:hAnsi="Times New Roman"/>
                <w:sz w:val="24"/>
                <w:szCs w:val="24"/>
              </w:rPr>
              <w:t> </w:t>
            </w:r>
          </w:p>
          <w:p w:rsidRPr="00527B1C" w:rsidR="00B723CD" w:rsidP="00240365" w:rsidRDefault="00B723CD" w14:paraId="41AB631C" w14:textId="77777777">
            <w:pPr>
              <w:spacing w:line="280" w:lineRule="atLeast"/>
              <w:textAlignment w:val="baseline"/>
              <w:rPr>
                <w:rFonts w:ascii="Segoe UI" w:hAnsi="Segoe UI" w:cs="Segoe UI"/>
                <w:sz w:val="18"/>
                <w:szCs w:val="18"/>
              </w:rPr>
            </w:pPr>
            <w:r w:rsidRPr="00527B1C">
              <w:rPr>
                <w:rFonts w:cs="Arial"/>
              </w:rPr>
              <w:t> </w:t>
            </w:r>
          </w:p>
          <w:p w:rsidRPr="00527B1C" w:rsidR="00B723CD" w:rsidP="00B608AB" w:rsidRDefault="00B723CD" w14:paraId="6705EE2E" w14:textId="77777777">
            <w:pPr>
              <w:numPr>
                <w:ilvl w:val="0"/>
                <w:numId w:val="26"/>
              </w:numPr>
              <w:spacing w:line="280" w:lineRule="atLeast"/>
              <w:ind w:left="1080"/>
              <w:textAlignment w:val="baseline"/>
              <w:rPr>
                <w:rFonts w:cs="Arial"/>
              </w:rPr>
            </w:pPr>
            <w:r w:rsidRPr="00527B1C">
              <w:rPr>
                <w:rFonts w:cs="Arial"/>
              </w:rPr>
              <w:t>De mate waarin de beschrijving volledig is (alle genoemde aspecten aan bod komen); </w:t>
            </w:r>
          </w:p>
          <w:p w:rsidRPr="00527B1C" w:rsidR="00B723CD" w:rsidP="00B608AB" w:rsidRDefault="00B723CD" w14:paraId="698F3FB6" w14:textId="77777777">
            <w:pPr>
              <w:numPr>
                <w:ilvl w:val="0"/>
                <w:numId w:val="27"/>
              </w:numPr>
              <w:spacing w:line="280" w:lineRule="atLeast"/>
              <w:ind w:left="1080"/>
              <w:textAlignment w:val="baseline"/>
              <w:rPr>
                <w:rFonts w:cs="Arial"/>
              </w:rPr>
            </w:pPr>
            <w:r w:rsidRPr="00527B1C">
              <w:rPr>
                <w:rFonts w:cs="Arial"/>
              </w:rPr>
              <w:t>De mate waarin de beschrijving concreet is;</w:t>
            </w:r>
          </w:p>
          <w:p w:rsidRPr="00527B1C" w:rsidR="00B723CD" w:rsidP="00B608AB" w:rsidRDefault="00B723CD" w14:paraId="378C23A0" w14:textId="77777777">
            <w:pPr>
              <w:numPr>
                <w:ilvl w:val="0"/>
                <w:numId w:val="27"/>
              </w:numPr>
              <w:spacing w:line="280" w:lineRule="atLeast"/>
              <w:ind w:left="1080"/>
              <w:textAlignment w:val="baseline"/>
              <w:rPr>
                <w:rFonts w:cs="Arial"/>
              </w:rPr>
            </w:pPr>
            <w:r w:rsidRPr="00527B1C">
              <w:rPr>
                <w:rFonts w:cs="Arial"/>
              </w:rPr>
              <w:t>De mate waarin de beschrijving relevant is voor de context van de Opdracht; </w:t>
            </w:r>
          </w:p>
          <w:p w:rsidRPr="00527B1C" w:rsidR="00B723CD" w:rsidP="00B608AB" w:rsidRDefault="00B723CD" w14:paraId="163F8A4B" w14:textId="77777777">
            <w:pPr>
              <w:numPr>
                <w:ilvl w:val="0"/>
                <w:numId w:val="27"/>
              </w:numPr>
              <w:spacing w:line="280" w:lineRule="atLeast"/>
              <w:ind w:left="1080"/>
              <w:textAlignment w:val="baseline"/>
              <w:rPr>
                <w:rFonts w:cs="Arial"/>
              </w:rPr>
            </w:pPr>
            <w:r w:rsidRPr="00527B1C">
              <w:rPr>
                <w:rFonts w:cs="Arial"/>
              </w:rPr>
              <w:t>De mate waarin de beschrijving haalbaar is binnen de context van de Opdracht;</w:t>
            </w:r>
          </w:p>
          <w:p w:rsidRPr="00527B1C" w:rsidR="00B723CD" w:rsidP="00B608AB" w:rsidRDefault="00B723CD" w14:paraId="1EA91892" w14:textId="77777777">
            <w:pPr>
              <w:numPr>
                <w:ilvl w:val="0"/>
                <w:numId w:val="27"/>
              </w:numPr>
              <w:spacing w:line="280" w:lineRule="atLeast"/>
              <w:ind w:left="1080"/>
              <w:textAlignment w:val="baseline"/>
              <w:rPr>
                <w:rFonts w:cs="Arial"/>
              </w:rPr>
            </w:pPr>
            <w:r w:rsidRPr="00527B1C">
              <w:rPr>
                <w:rFonts w:cs="Arial"/>
              </w:rPr>
              <w:t>De mate waarin de beschrijving passend is voor de Opdracht en daarmee vertrouwen wekt bij de Opdrachtgever dat Inschrijver in staat is de Opdracht succesvol uit te voeren.</w:t>
            </w:r>
          </w:p>
          <w:p w:rsidRPr="00527B1C" w:rsidR="00B723CD" w:rsidP="00B608AB" w:rsidRDefault="00B723CD" w14:paraId="58204ACA" w14:textId="77777777">
            <w:pPr>
              <w:numPr>
                <w:ilvl w:val="0"/>
                <w:numId w:val="28"/>
              </w:numPr>
              <w:spacing w:line="280" w:lineRule="atLeast"/>
              <w:ind w:left="1080"/>
              <w:textAlignment w:val="baseline"/>
              <w:rPr>
                <w:rFonts w:cs="Arial"/>
              </w:rPr>
            </w:pPr>
            <w:r w:rsidRPr="00527B1C">
              <w:rPr>
                <w:rFonts w:cs="Arial"/>
              </w:rPr>
              <w:t>De mate waarin de beschrijving aansluit bij het doel van dit gunningscriterium. </w:t>
            </w:r>
          </w:p>
          <w:p w:rsidRPr="00527B1C" w:rsidR="00B723CD" w:rsidP="00240365" w:rsidRDefault="00B723CD" w14:paraId="69E21899" w14:textId="77777777">
            <w:pPr>
              <w:spacing w:line="280" w:lineRule="atLeast"/>
              <w:ind w:left="1080"/>
              <w:textAlignment w:val="baseline"/>
              <w:rPr>
                <w:rFonts w:cs="Arial"/>
              </w:rPr>
            </w:pPr>
          </w:p>
          <w:p w:rsidRPr="00527B1C" w:rsidR="00B723CD" w:rsidP="00240365" w:rsidRDefault="00B723CD" w14:paraId="21D69108" w14:textId="7A9E6725">
            <w:pPr>
              <w:spacing w:line="280" w:lineRule="atLeast"/>
              <w:textAlignment w:val="baseline"/>
              <w:rPr>
                <w:rFonts w:ascii="Segoe UI" w:hAnsi="Segoe UI" w:cs="Segoe UI"/>
                <w:sz w:val="18"/>
                <w:szCs w:val="18"/>
              </w:rPr>
            </w:pPr>
            <w:r w:rsidRPr="00527B1C">
              <w:rPr>
                <w:rFonts w:cs="Arial"/>
              </w:rPr>
              <w:t>Hoe beter de beschrijving aansluit bij wat er is gevraagd</w:t>
            </w:r>
            <w:r w:rsidR="00186788">
              <w:rPr>
                <w:rFonts w:cs="Arial"/>
              </w:rPr>
              <w:t xml:space="preserve"> en hoe concreter en meetbaarder de onderbouwing ervan</w:t>
            </w:r>
            <w:r w:rsidRPr="00527B1C">
              <w:rPr>
                <w:rFonts w:cs="Arial"/>
              </w:rPr>
              <w:t>, des te hoger de beoordeling zal zijn. </w:t>
            </w:r>
          </w:p>
          <w:p w:rsidRPr="00527B1C" w:rsidR="00B723CD" w:rsidP="00240365" w:rsidRDefault="00B723CD" w14:paraId="3F86A584" w14:textId="77777777">
            <w:pPr>
              <w:spacing w:line="280" w:lineRule="atLeast"/>
              <w:textAlignment w:val="baseline"/>
              <w:rPr>
                <w:rFonts w:ascii="Segoe UI" w:hAnsi="Segoe UI" w:cs="Segoe UI"/>
                <w:sz w:val="18"/>
                <w:szCs w:val="18"/>
              </w:rPr>
            </w:pPr>
            <w:r w:rsidRPr="00527B1C">
              <w:rPr>
                <w:rFonts w:cs="Arial"/>
              </w:rPr>
              <w:t> </w:t>
            </w:r>
          </w:p>
          <w:p w:rsidRPr="00527B1C" w:rsidR="00B723CD" w:rsidP="00240365" w:rsidRDefault="00B723CD" w14:paraId="2B8888FA" w14:textId="77777777">
            <w:pPr>
              <w:spacing w:line="280" w:lineRule="atLeast"/>
              <w:textAlignment w:val="baseline"/>
              <w:rPr>
                <w:rFonts w:ascii="Segoe UI" w:hAnsi="Segoe UI" w:cs="Segoe UI"/>
                <w:sz w:val="18"/>
                <w:szCs w:val="18"/>
              </w:rPr>
            </w:pPr>
            <w:r w:rsidRPr="00527B1C">
              <w:rPr>
                <w:rFonts w:cs="Arial"/>
              </w:rPr>
              <w:t>De beoordelingsaspecten zijn geen aanvullende gunningscriteria en hebben geen individuele wegingsfactor. Het zijn aspecten waarop de beoordelaars dit gunningscriterium beoordelen om tot één integrale eindbeoordeling te komen, met inachtneming van de onderbouwing. De Aanbestedende Dienst kiest bewust voor een geïntegreerde beoordeling, omdat zij gelooft dat er een duidelijke samenhang is tussen de beoordelingsaspecten. De uitwerking van dit gunningscriterium moet een duidelijke en concrete beschrijving van het aanbod bevatten en op zorgvuldige wijze onderbouwd zijn. </w:t>
            </w:r>
          </w:p>
          <w:p w:rsidRPr="00527B1C" w:rsidR="00B723CD" w:rsidP="00240365" w:rsidRDefault="00B723CD" w14:paraId="2FFBB85C" w14:textId="77777777">
            <w:pPr>
              <w:rPr>
                <w:b/>
                <w:bCs/>
              </w:rPr>
            </w:pPr>
          </w:p>
        </w:tc>
      </w:tr>
    </w:tbl>
    <w:p w:rsidRPr="00527B1C" w:rsidR="00B723CD" w:rsidP="00B723CD" w:rsidRDefault="00B723CD" w14:paraId="33CAA701" w14:textId="77777777">
      <w:pPr>
        <w:rPr>
          <w:b/>
          <w:bCs/>
        </w:rPr>
      </w:pPr>
    </w:p>
    <w:p w:rsidRPr="00906AD2" w:rsidR="00B723CD" w:rsidP="00B723CD" w:rsidRDefault="00B723CD" w14:paraId="00759E18" w14:textId="320F6B63">
      <w:pPr>
        <w:rPr>
          <w:rFonts w:cs="Arial"/>
        </w:rPr>
      </w:pPr>
      <w:r w:rsidRPr="00906AD2">
        <w:rPr>
          <w:rFonts w:cs="Arial"/>
        </w:rPr>
        <w:t xml:space="preserve">De omvang van </w:t>
      </w:r>
      <w:r>
        <w:rPr>
          <w:rFonts w:cs="Arial"/>
        </w:rPr>
        <w:t>het plan van aanpak</w:t>
      </w:r>
      <w:r w:rsidRPr="00906AD2">
        <w:rPr>
          <w:rFonts w:cs="Arial"/>
        </w:rPr>
        <w:t xml:space="preserve"> is maximaal </w:t>
      </w:r>
      <w:r>
        <w:rPr>
          <w:rFonts w:cs="Arial"/>
        </w:rPr>
        <w:t>5</w:t>
      </w:r>
      <w:r w:rsidRPr="00906AD2">
        <w:rPr>
          <w:rFonts w:cs="Arial"/>
        </w:rPr>
        <w:t xml:space="preserve"> A4 exclusief aparte bijlage(n). Het opnemen van aparte bijlagen is </w:t>
      </w:r>
      <w:r w:rsidR="00680961">
        <w:rPr>
          <w:rFonts w:cs="Arial"/>
        </w:rPr>
        <w:t xml:space="preserve">niet </w:t>
      </w:r>
      <w:r w:rsidRPr="00906AD2">
        <w:rPr>
          <w:rFonts w:cs="Arial"/>
        </w:rPr>
        <w:t>toegestaan</w:t>
      </w:r>
      <w:r w:rsidR="00680961">
        <w:rPr>
          <w:rFonts w:cs="Arial"/>
        </w:rPr>
        <w:t xml:space="preserve"> en</w:t>
      </w:r>
      <w:r w:rsidRPr="00906AD2">
        <w:rPr>
          <w:rFonts w:cs="Arial"/>
        </w:rPr>
        <w:t xml:space="preserve"> deze bijlagen maken </w:t>
      </w:r>
      <w:r w:rsidR="00680961">
        <w:rPr>
          <w:rFonts w:cs="Arial"/>
        </w:rPr>
        <w:t xml:space="preserve">dan ook </w:t>
      </w:r>
      <w:r w:rsidRPr="00906AD2">
        <w:rPr>
          <w:rFonts w:cs="Arial"/>
        </w:rPr>
        <w:t xml:space="preserve">geen onderdeel uit van de beoordeling. Als bij de beantwoording sprake is van ‘kunnen’, ‘mogelijk zijn’ of formuleringen van gelijke strekking, dan gaat het beoordelingsteam er, tenzij expliciet aangegeven, vanuit dat de betreffende aspecten deel uitmaken van de aangeboden oplossing en de prijs. Folders, brochures en weblinks (en verwijzingen hiernaar) maken geen onderdeel van de </w:t>
      </w:r>
      <w:r w:rsidR="001B3F9D">
        <w:rPr>
          <w:rFonts w:cs="Arial"/>
        </w:rPr>
        <w:t>I</w:t>
      </w:r>
      <w:r w:rsidRPr="00906AD2">
        <w:rPr>
          <w:rFonts w:cs="Arial"/>
        </w:rPr>
        <w:t>nschrijving en zullen dus niet worden beoordeeld door het beoordelingsteam.</w:t>
      </w:r>
    </w:p>
    <w:p w:rsidR="009B5178" w:rsidP="009B5178" w:rsidRDefault="009B5178" w14:paraId="64641B17" w14:textId="6F1F9A94">
      <w:pPr>
        <w:pStyle w:val="Kop3"/>
      </w:pPr>
      <w:r>
        <w:t xml:space="preserve">Gunningscriterium </w:t>
      </w:r>
      <w:r w:rsidR="00C03E63">
        <w:t>3</w:t>
      </w:r>
      <w:r>
        <w:t>: Prijs</w:t>
      </w:r>
    </w:p>
    <w:p w:rsidRPr="009A6A23" w:rsidR="00F620FA" w:rsidP="00F620FA" w:rsidRDefault="00F620FA" w14:paraId="083E7ACC" w14:textId="74396126">
      <w:pPr>
        <w:suppressAutoHyphens/>
      </w:pPr>
      <w:r w:rsidRPr="009A6A23">
        <w:t xml:space="preserve">Voor </w:t>
      </w:r>
      <w:r>
        <w:t>sub-</w:t>
      </w:r>
      <w:r w:rsidRPr="009A6A23">
        <w:t>gunningscriterium</w:t>
      </w:r>
      <w:r>
        <w:t xml:space="preserve"> P</w:t>
      </w:r>
      <w:r w:rsidRPr="003A17E2">
        <w:t xml:space="preserve">rijs kan Inschrijver maximaal </w:t>
      </w:r>
      <w:r w:rsidRPr="003A17E2" w:rsidR="003A17E2">
        <w:t>1</w:t>
      </w:r>
      <w:r w:rsidRPr="003A17E2">
        <w:t xml:space="preserve">0 punten scoren. </w:t>
      </w:r>
    </w:p>
    <w:p w:rsidRPr="009A6A23" w:rsidR="00F620FA" w:rsidP="00F620FA" w:rsidRDefault="00F620FA" w14:paraId="5FF99662" w14:textId="77777777">
      <w:pPr>
        <w:suppressAutoHyphens/>
        <w:spacing w:line="284" w:lineRule="atLeast"/>
        <w:rPr>
          <w:rFonts w:ascii="Verdana" w:hAnsi="Verdana" w:cs="Arial"/>
        </w:rPr>
      </w:pPr>
    </w:p>
    <w:p w:rsidR="00F620FA" w:rsidP="00F620FA" w:rsidRDefault="00F620FA" w14:paraId="050B293D" w14:textId="6066C46D">
      <w:pPr>
        <w:suppressAutoHyphens/>
        <w:rPr>
          <w:rFonts w:eastAsia="Arial" w:cs="Arial"/>
        </w:rPr>
      </w:pPr>
      <w:r w:rsidRPr="009A6A23">
        <w:t xml:space="preserve">De Inschrijver dient voor gunningscriterium </w:t>
      </w:r>
      <w:r>
        <w:t>3</w:t>
      </w:r>
      <w:r w:rsidRPr="009A6A23">
        <w:t xml:space="preserve"> (prijs) bij zijn Inschrijving het volledig ingevulde </w:t>
      </w:r>
      <w:r w:rsidRPr="00F865F5">
        <w:t>prijze</w:t>
      </w:r>
      <w:r w:rsidRPr="00647195">
        <w:t>nblad (</w:t>
      </w:r>
      <w:r w:rsidRPr="00880202">
        <w:t>bijlage 1</w:t>
      </w:r>
      <w:r w:rsidRPr="00880202" w:rsidR="00647195">
        <w:t>2</w:t>
      </w:r>
      <w:r w:rsidRPr="00880202">
        <w:t xml:space="preserve">) te voegen. </w:t>
      </w:r>
      <w:r w:rsidRPr="00880202">
        <w:rPr>
          <w:rFonts w:eastAsia="Arial" w:cs="Arial"/>
        </w:rPr>
        <w:t xml:space="preserve">De beoordeling van het sub-gunningscriterium inzake prijs geschiedt op basis van de totaalprijs </w:t>
      </w:r>
      <w:r w:rsidRPr="00880202" w:rsidR="00880202">
        <w:rPr>
          <w:rFonts w:eastAsia="Arial" w:cs="Arial"/>
        </w:rPr>
        <w:t xml:space="preserve">voor één jaar </w:t>
      </w:r>
      <w:r w:rsidRPr="00880202">
        <w:rPr>
          <w:rFonts w:eastAsia="Arial" w:cs="Arial"/>
        </w:rPr>
        <w:t>het prijzenblad</w:t>
      </w:r>
      <w:r w:rsidRPr="009A6A23">
        <w:rPr>
          <w:rFonts w:eastAsia="Arial" w:cs="Arial"/>
        </w:rPr>
        <w:t>.</w:t>
      </w:r>
      <w:r w:rsidR="00997014">
        <w:rPr>
          <w:rFonts w:eastAsia="Arial" w:cs="Arial"/>
        </w:rPr>
        <w:t xml:space="preserve"> De totaalprijs bestaat uit de jaarlijkse exploitatiekosten en de kosten voor additionele ondersteuning.</w:t>
      </w:r>
      <w:r w:rsidR="00880202">
        <w:rPr>
          <w:rFonts w:eastAsia="Arial" w:cs="Arial"/>
        </w:rPr>
        <w:t xml:space="preserve"> </w:t>
      </w:r>
      <w:r w:rsidRPr="008612DE">
        <w:rPr>
          <w:rFonts w:eastAsia="Arial" w:cs="Arial"/>
        </w:rPr>
        <w:t>Om te bepalen welke score aan de ingediende prijs wordt toegekend, wordt het onderstaande diagram gebruikt:</w:t>
      </w:r>
    </w:p>
    <w:p w:rsidR="00F620FA" w:rsidP="00F620FA" w:rsidRDefault="00F620FA" w14:paraId="2F0E3569" w14:textId="77777777">
      <w:pPr>
        <w:suppressAutoHyphens/>
        <w:rPr>
          <w:rFonts w:eastAsia="Arial" w:cs="Arial"/>
        </w:rPr>
      </w:pPr>
    </w:p>
    <w:p w:rsidR="00F620FA" w:rsidP="00F620FA" w:rsidRDefault="003A17E2" w14:paraId="28B9E43C" w14:textId="60059F14">
      <w:pPr>
        <w:suppressAutoHyphens/>
        <w:rPr>
          <w:rFonts w:eastAsia="Arial" w:cs="Arial"/>
        </w:rPr>
      </w:pPr>
      <w:r>
        <w:rPr>
          <w:noProof/>
        </w:rPr>
        <w:drawing>
          <wp:inline distT="0" distB="0" distL="0" distR="0" wp14:anchorId="52B4B847" wp14:editId="7A0E58DA">
            <wp:extent cx="4009407" cy="2337153"/>
            <wp:effectExtent l="0" t="0" r="10160" b="6350"/>
            <wp:docPr id="1226034962" name="Grafiek 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C06A8">
        <w:rPr>
          <w:rFonts w:eastAsia="Arial" w:cs="Arial"/>
        </w:rPr>
        <w:br w:type="textWrapping" w:clear="all"/>
      </w:r>
    </w:p>
    <w:p w:rsidR="008E4645" w:rsidP="00F620FA" w:rsidRDefault="008E4645" w14:paraId="6ADED5C1" w14:textId="77777777">
      <w:pPr>
        <w:suppressAutoHyphens/>
        <w:rPr>
          <w:rFonts w:eastAsia="Arial" w:cs="Arial"/>
        </w:rPr>
      </w:pPr>
    </w:p>
    <w:p w:rsidR="001F47F8" w:rsidP="0045001C" w:rsidRDefault="001F47F8" w14:paraId="4335E687" w14:textId="05D9A4E9">
      <w:pPr>
        <w:spacing w:line="240" w:lineRule="auto"/>
        <w:rPr>
          <w:b/>
          <w:bCs/>
        </w:rPr>
      </w:pPr>
      <w:r w:rsidRPr="008D5689">
        <w:rPr>
          <w:b/>
          <w:bCs/>
        </w:rPr>
        <w:t>Score</w:t>
      </w:r>
    </w:p>
    <w:p w:rsidRPr="008D5689" w:rsidR="00A92B9A" w:rsidP="00A92B9A" w:rsidRDefault="00A92B9A" w14:paraId="36AFFC19" w14:textId="77777777">
      <w:pPr>
        <w:suppressAutoHyphens/>
        <w:spacing w:line="284" w:lineRule="atLeast"/>
      </w:pPr>
      <w:r w:rsidRPr="008D5689">
        <w:t>Formule om de score te berekenen:</w:t>
      </w:r>
    </w:p>
    <w:p w:rsidR="008E4645" w:rsidP="00F620FA" w:rsidRDefault="001675C7" w14:paraId="098F0E61" w14:textId="1DB722A1">
      <w:pPr>
        <w:suppressAutoHyphens/>
        <w:rPr>
          <w:rFonts w:eastAsia="Arial" w:cs="Arial"/>
        </w:rPr>
      </w:pPr>
      <w:r w:rsidRPr="001675C7">
        <w:t xml:space="preserve">= </w:t>
      </w:r>
      <w:r w:rsidR="00680961">
        <w:t>0 + (0-10)</w:t>
      </w:r>
      <w:r w:rsidRPr="001675C7">
        <w:t xml:space="preserve"> / (700000- 600000) * (Inschrijfprijs - 700000)</w:t>
      </w:r>
    </w:p>
    <w:p w:rsidR="001675C7" w:rsidP="00F620FA" w:rsidRDefault="001675C7" w14:paraId="1FC39C1A" w14:textId="77777777">
      <w:pPr>
        <w:suppressAutoHyphens/>
        <w:rPr>
          <w:rFonts w:eastAsia="Arial" w:cs="Arial"/>
        </w:rPr>
      </w:pPr>
    </w:p>
    <w:p w:rsidR="002C06A8" w:rsidP="002C06A8" w:rsidRDefault="002C06A8" w14:paraId="53F60A8E" w14:textId="75C2A7AD">
      <w:pPr>
        <w:suppressAutoHyphens/>
        <w:spacing w:line="284" w:lineRule="atLeast"/>
      </w:pPr>
      <w:r>
        <w:t xml:space="preserve">De totaalprijs mag tot maximaal twee cijfers achter de komma worden ingevuld, dus maximaal 0,00. </w:t>
      </w:r>
    </w:p>
    <w:p w:rsidR="001675C7" w:rsidP="002C06A8" w:rsidRDefault="001675C7" w14:paraId="1395E14D" w14:textId="77777777">
      <w:pPr>
        <w:suppressAutoHyphens/>
        <w:spacing w:line="284" w:lineRule="atLeast"/>
      </w:pPr>
    </w:p>
    <w:p w:rsidR="0098229B" w:rsidP="002C06A8" w:rsidRDefault="0098229B" w14:paraId="3402A7EF" w14:textId="0F14D21C">
      <w:pPr>
        <w:suppressAutoHyphens/>
        <w:spacing w:line="284" w:lineRule="atLeast"/>
      </w:pPr>
      <w:r>
        <w:t>Voor de score geldt dat d</w:t>
      </w:r>
      <w:r w:rsidRPr="00287B8D">
        <w:t>ecimalen van 0,</w:t>
      </w:r>
      <w:r>
        <w:t>05</w:t>
      </w:r>
      <w:r w:rsidRPr="00287B8D">
        <w:t xml:space="preserve"> of hoger worden naar boven afgerond, en decimalen lager dan 0,</w:t>
      </w:r>
      <w:r>
        <w:t>05</w:t>
      </w:r>
      <w:r w:rsidRPr="00287B8D">
        <w:t xml:space="preserve"> worden naar beneden afgerond.</w:t>
      </w:r>
    </w:p>
    <w:p w:rsidR="008907B3" w:rsidP="002C06A8" w:rsidRDefault="008907B3" w14:paraId="387E1B7D" w14:textId="77777777">
      <w:pPr>
        <w:suppressAutoHyphens/>
        <w:spacing w:line="284" w:lineRule="atLeast"/>
      </w:pPr>
    </w:p>
    <w:p w:rsidRPr="008D5689" w:rsidR="008907B3" w:rsidP="008907B3" w:rsidRDefault="008907B3" w14:paraId="62B62ABD" w14:textId="77777777">
      <w:pPr>
        <w:suppressAutoHyphens/>
        <w:spacing w:line="284" w:lineRule="atLeast"/>
        <w:rPr>
          <w:b/>
          <w:bCs/>
        </w:rPr>
      </w:pPr>
      <w:r w:rsidRPr="008D5689">
        <w:rPr>
          <w:b/>
          <w:bCs/>
        </w:rPr>
        <w:t xml:space="preserve">Maximale punten: </w:t>
      </w:r>
    </w:p>
    <w:p w:rsidRPr="008D5689" w:rsidR="008907B3" w:rsidP="008907B3" w:rsidRDefault="008907B3" w14:paraId="0192850F" w14:textId="4F9E393A">
      <w:pPr>
        <w:suppressAutoHyphens/>
        <w:spacing w:line="284" w:lineRule="atLeast"/>
      </w:pPr>
      <w:r w:rsidRPr="008D5689">
        <w:t xml:space="preserve">Bij een </w:t>
      </w:r>
      <w:r>
        <w:t>totaalprijs</w:t>
      </w:r>
      <w:r w:rsidRPr="008D5689">
        <w:t xml:space="preserve"> van </w:t>
      </w:r>
      <w:r>
        <w:t>€600.000 exclusief btw</w:t>
      </w:r>
      <w:r w:rsidRPr="008D5689">
        <w:t xml:space="preserve"> word</w:t>
      </w:r>
      <w:r w:rsidRPr="001675C7">
        <w:t xml:space="preserve">en </w:t>
      </w:r>
      <w:r w:rsidRPr="001675C7" w:rsidR="001675C7">
        <w:t>1</w:t>
      </w:r>
      <w:r w:rsidRPr="001675C7">
        <w:t>0 punten toegekend</w:t>
      </w:r>
      <w:r w:rsidRPr="008D5689">
        <w:t>.</w:t>
      </w:r>
    </w:p>
    <w:p w:rsidRPr="008D5689" w:rsidR="008907B3" w:rsidP="008907B3" w:rsidRDefault="008907B3" w14:paraId="6D072F3E" w14:textId="77777777">
      <w:pPr>
        <w:suppressAutoHyphens/>
        <w:spacing w:line="284" w:lineRule="atLeast"/>
      </w:pPr>
    </w:p>
    <w:p w:rsidRPr="008D5689" w:rsidR="008907B3" w:rsidP="008907B3" w:rsidRDefault="008907B3" w14:paraId="47AC5077" w14:textId="77777777">
      <w:pPr>
        <w:suppressAutoHyphens/>
        <w:spacing w:line="284" w:lineRule="atLeast"/>
        <w:rPr>
          <w:b/>
          <w:bCs/>
        </w:rPr>
      </w:pPr>
      <w:r w:rsidRPr="008D5689">
        <w:rPr>
          <w:b/>
          <w:bCs/>
        </w:rPr>
        <w:t xml:space="preserve">Minimale punten: </w:t>
      </w:r>
    </w:p>
    <w:p w:rsidRPr="008D5689" w:rsidR="008907B3" w:rsidP="008907B3" w:rsidRDefault="008907B3" w14:paraId="3897BCAC" w14:textId="08121404">
      <w:pPr>
        <w:suppressAutoHyphens/>
        <w:spacing w:line="284" w:lineRule="atLeast"/>
      </w:pPr>
      <w:r w:rsidRPr="008D5689">
        <w:t xml:space="preserve">Bij een </w:t>
      </w:r>
      <w:r>
        <w:t>totaalprijs van €7</w:t>
      </w:r>
      <w:r w:rsidR="001675C7">
        <w:t>0</w:t>
      </w:r>
      <w:r>
        <w:t xml:space="preserve">0.000 exclusief btw </w:t>
      </w:r>
      <w:r w:rsidRPr="008D5689">
        <w:t>worden 0 punten toegekend.</w:t>
      </w:r>
    </w:p>
    <w:p w:rsidRPr="008D5689" w:rsidR="008907B3" w:rsidP="008907B3" w:rsidRDefault="008907B3" w14:paraId="302DEB5A" w14:textId="77777777">
      <w:pPr>
        <w:suppressAutoHyphens/>
        <w:spacing w:line="284" w:lineRule="atLeast"/>
      </w:pPr>
    </w:p>
    <w:p w:rsidRPr="008D5689" w:rsidR="008907B3" w:rsidP="008907B3" w:rsidRDefault="008907B3" w14:paraId="6CAA9F81" w14:textId="77777777">
      <w:pPr>
        <w:suppressAutoHyphens/>
        <w:spacing w:line="284" w:lineRule="atLeast"/>
        <w:rPr>
          <w:b/>
          <w:bCs/>
        </w:rPr>
      </w:pPr>
      <w:r w:rsidRPr="008D5689">
        <w:rPr>
          <w:b/>
          <w:bCs/>
        </w:rPr>
        <w:t xml:space="preserve">Biedingen buiten het scoringsbereik: </w:t>
      </w:r>
    </w:p>
    <w:p w:rsidR="00D26D4B" w:rsidP="008907B3" w:rsidRDefault="00350314" w14:paraId="3A920AF8" w14:textId="20843B90">
      <w:pPr>
        <w:suppressAutoHyphens/>
        <w:spacing w:line="284" w:lineRule="atLeast"/>
      </w:pPr>
      <w:r>
        <w:t xml:space="preserve">De Aanbestedende Dienst hanteert een bandbreedte voor de </w:t>
      </w:r>
      <w:r w:rsidR="00702DFC">
        <w:t>totaalprijs tussen de € 600.000 en € 700.000 exclusief btw.</w:t>
      </w:r>
      <w:r>
        <w:t xml:space="preserve"> </w:t>
      </w:r>
      <w:r w:rsidRPr="008D5689" w:rsidR="008907B3">
        <w:t xml:space="preserve">Biedingen </w:t>
      </w:r>
      <w:r>
        <w:t>van</w:t>
      </w:r>
      <w:r w:rsidR="00680961">
        <w:t>,</w:t>
      </w:r>
      <w:r>
        <w:t xml:space="preserve"> of lager</w:t>
      </w:r>
      <w:r w:rsidR="00680961">
        <w:t xml:space="preserve"> dan,</w:t>
      </w:r>
      <w:r>
        <w:t xml:space="preserve"> </w:t>
      </w:r>
      <w:r w:rsidR="008907B3">
        <w:t>€600.000 exclusief btw</w:t>
      </w:r>
      <w:r w:rsidRPr="008D5689" w:rsidR="008907B3">
        <w:t xml:space="preserve"> krijgen </w:t>
      </w:r>
      <w:r w:rsidR="001675C7">
        <w:t>1</w:t>
      </w:r>
      <w:r w:rsidR="00C363D1">
        <w:t>0</w:t>
      </w:r>
      <w:r w:rsidRPr="008D5689" w:rsidR="008907B3">
        <w:t xml:space="preserve"> punten. </w:t>
      </w:r>
      <w:r w:rsidR="00702DFC">
        <w:t>Het staat Inschrijvers vrij naar eigen inzicht een totaalprijs a</w:t>
      </w:r>
      <w:r w:rsidR="00D26D4B">
        <w:t>an te bieden die lager is dan € 600.000, maar dat leidt niet tot een hogere score dan de maximale score.</w:t>
      </w:r>
      <w:r w:rsidR="00702DFC">
        <w:t xml:space="preserve"> </w:t>
      </w:r>
    </w:p>
    <w:p w:rsidR="00D26D4B" w:rsidP="008907B3" w:rsidRDefault="00D26D4B" w14:paraId="4ED27888" w14:textId="77777777">
      <w:pPr>
        <w:suppressAutoHyphens/>
        <w:spacing w:line="284" w:lineRule="atLeast"/>
      </w:pPr>
    </w:p>
    <w:p w:rsidRPr="008D5689" w:rsidR="008907B3" w:rsidP="008907B3" w:rsidRDefault="008907B3" w14:paraId="68B60076" w14:textId="64C403CB">
      <w:pPr>
        <w:suppressAutoHyphens/>
        <w:spacing w:line="284" w:lineRule="atLeast"/>
      </w:pPr>
      <w:r w:rsidRPr="008D5689">
        <w:t xml:space="preserve">Biedingen hoger dan </w:t>
      </w:r>
      <w:r>
        <w:t>€7</w:t>
      </w:r>
      <w:r w:rsidR="001675C7">
        <w:t>0</w:t>
      </w:r>
      <w:r>
        <w:t xml:space="preserve">0.000 exclusief btw </w:t>
      </w:r>
      <w:r w:rsidRPr="008D5689">
        <w:t>worden uitgesloten van verdere deelname en hebben dus geen kans om het contract te winnen.</w:t>
      </w:r>
    </w:p>
    <w:p w:rsidRPr="008D5689" w:rsidR="008907B3" w:rsidP="008907B3" w:rsidRDefault="008907B3" w14:paraId="293C9E96" w14:textId="77777777">
      <w:pPr>
        <w:suppressAutoHyphens/>
        <w:spacing w:line="284" w:lineRule="atLeast"/>
      </w:pPr>
    </w:p>
    <w:p w:rsidRPr="008D5689" w:rsidR="008907B3" w:rsidP="008907B3" w:rsidRDefault="008907B3" w14:paraId="159CB3AA" w14:textId="77777777">
      <w:pPr>
        <w:suppressAutoHyphens/>
        <w:spacing w:line="284" w:lineRule="atLeast"/>
        <w:rPr>
          <w:b/>
          <w:bCs/>
        </w:rPr>
      </w:pPr>
      <w:r w:rsidRPr="008D5689">
        <w:rPr>
          <w:b/>
          <w:bCs/>
        </w:rPr>
        <w:t xml:space="preserve">Voorbeeld: </w:t>
      </w:r>
    </w:p>
    <w:p w:rsidRPr="00276E2C" w:rsidR="008907B3" w:rsidP="00276E2C" w:rsidRDefault="008907B3" w14:paraId="37A54C10" w14:textId="65F3FCCE">
      <w:pPr>
        <w:suppressAutoHyphens/>
        <w:rPr>
          <w:rFonts w:eastAsia="Arial" w:cs="Arial"/>
        </w:rPr>
      </w:pPr>
      <w:r w:rsidRPr="008D5689">
        <w:t xml:space="preserve">Aanbieder X behaalt met een </w:t>
      </w:r>
      <w:r>
        <w:t>totaalprijs</w:t>
      </w:r>
      <w:r w:rsidRPr="008D5689">
        <w:t xml:space="preserve"> van </w:t>
      </w:r>
      <w:r>
        <w:t xml:space="preserve">€660.000 exclusief btw </w:t>
      </w:r>
      <w:r w:rsidRPr="008D5689">
        <w:t xml:space="preserve">een score </w:t>
      </w:r>
      <w:r w:rsidR="00276E2C">
        <w:t>0 + (0-10)</w:t>
      </w:r>
      <w:r w:rsidRPr="001675C7" w:rsidR="00276E2C">
        <w:t xml:space="preserve"> / (700000- 600000) * (</w:t>
      </w:r>
      <w:r w:rsidR="00276E2C">
        <w:t>660.000</w:t>
      </w:r>
      <w:r w:rsidRPr="001675C7" w:rsidR="00276E2C">
        <w:t xml:space="preserve"> - 700000)</w:t>
      </w:r>
      <w:r w:rsidR="00276E2C">
        <w:t xml:space="preserve"> = 4 punten.</w:t>
      </w:r>
    </w:p>
    <w:p w:rsidRPr="00555C9B" w:rsidR="009B5178" w:rsidP="009B5178" w:rsidRDefault="009B5178" w14:paraId="4B252509" w14:textId="77777777">
      <w:pPr>
        <w:suppressAutoHyphens/>
      </w:pPr>
    </w:p>
    <w:p w:rsidRPr="0070397B" w:rsidR="009B5178" w:rsidP="009B5178" w:rsidRDefault="009B5178" w14:paraId="6B0AB291" w14:textId="77777777">
      <w:pPr>
        <w:suppressAutoHyphens/>
        <w:ind w:right="-284"/>
        <w:rPr>
          <w:b/>
          <w:bCs/>
        </w:rPr>
      </w:pPr>
      <w:r w:rsidRPr="0070397B">
        <w:rPr>
          <w:b/>
          <w:bCs/>
        </w:rPr>
        <w:t>Anti- manipulatiebeding</w:t>
      </w:r>
    </w:p>
    <w:p w:rsidR="009B5178" w:rsidP="009B5178" w:rsidRDefault="009B5178" w14:paraId="5C51E7D4" w14:textId="77777777">
      <w:pPr>
        <w:suppressAutoHyphens/>
      </w:pPr>
      <w:r w:rsidRPr="00555C9B">
        <w:t>Bij het invullen van het prijzenblad en het bepalen van de te offreren prijzen, moet de Inschrijver de volgende uitgangspunten op straffe van uitsluiting in acht nemen</w:t>
      </w:r>
      <w:r>
        <w:t xml:space="preserve">. De Aanbestedende Dienst legt Inschrijvingen die in strijd zijn met één of meerdere van de </w:t>
      </w:r>
      <w:r>
        <w:t>onderstaande voorschriften terzijde, tenzij dat in het individuele geval disproportioneel zou zijn.</w:t>
      </w:r>
      <w:r w:rsidRPr="00F85050">
        <w:t xml:space="preserve"> </w:t>
      </w:r>
      <w:r w:rsidRPr="00555C9B">
        <w:t xml:space="preserve">Deze beoordeling betreft een eigen en exclusieve afweging van </w:t>
      </w:r>
      <w:r>
        <w:t>d</w:t>
      </w:r>
      <w:r w:rsidRPr="00555C9B">
        <w:t>e Aanbestedende Dienst. De Aanbestedende Dienst zal een besluit tot terzijdelegging deugdelijk motiveren, opdat de Inschrijver voldoende rechtsbescherming wordt geboden.</w:t>
      </w:r>
    </w:p>
    <w:p w:rsidRPr="00555C9B" w:rsidR="009B5178" w:rsidP="009B5178" w:rsidRDefault="009B5178" w14:paraId="4D37A727" w14:textId="77777777">
      <w:pPr>
        <w:suppressAutoHyphens/>
      </w:pPr>
    </w:p>
    <w:p w:rsidRPr="00555C9B" w:rsidR="009B5178" w:rsidP="00AA114F" w:rsidRDefault="009B5178" w14:paraId="6B1455A9" w14:textId="77777777">
      <w:pPr>
        <w:pStyle w:val="Lijstalinea"/>
        <w:numPr>
          <w:ilvl w:val="0"/>
          <w:numId w:val="16"/>
        </w:numPr>
        <w:tabs>
          <w:tab w:val="clear" w:pos="397"/>
        </w:tabs>
        <w:suppressAutoHyphens/>
        <w:ind w:left="426" w:hanging="426"/>
      </w:pPr>
      <w:r w:rsidRPr="00555C9B">
        <w:t xml:space="preserve">Alle prijzen moeten worden afgerond tot twee cijfers achter de komma. </w:t>
      </w:r>
    </w:p>
    <w:p w:rsidRPr="00555C9B" w:rsidR="009B5178" w:rsidP="00AA114F" w:rsidRDefault="009B5178" w14:paraId="06273414" w14:textId="77777777">
      <w:pPr>
        <w:pStyle w:val="Lijstalinea"/>
        <w:numPr>
          <w:ilvl w:val="0"/>
          <w:numId w:val="16"/>
        </w:numPr>
        <w:tabs>
          <w:tab w:val="clear" w:pos="397"/>
        </w:tabs>
        <w:suppressAutoHyphens/>
        <w:ind w:left="426" w:hanging="426"/>
      </w:pPr>
      <w:r w:rsidRPr="00555C9B">
        <w:t>Alle prijzen moeten worden opgegeven in euro’s.</w:t>
      </w:r>
    </w:p>
    <w:p w:rsidRPr="00555C9B" w:rsidR="009B5178" w:rsidP="00AA114F" w:rsidRDefault="009B5178" w14:paraId="29058429" w14:textId="35ED7CE1">
      <w:pPr>
        <w:pStyle w:val="Lijstalinea"/>
        <w:numPr>
          <w:ilvl w:val="0"/>
          <w:numId w:val="16"/>
        </w:numPr>
        <w:tabs>
          <w:tab w:val="clear" w:pos="397"/>
        </w:tabs>
        <w:suppressAutoHyphens/>
        <w:ind w:left="426" w:hanging="426"/>
      </w:pPr>
      <w:r w:rsidRPr="00555C9B">
        <w:t xml:space="preserve">Alle prijzen moeten worden opgegeven </w:t>
      </w:r>
      <w:r w:rsidR="007D074C">
        <w:t>exclusief</w:t>
      </w:r>
      <w:r w:rsidRPr="00555C9B">
        <w:t xml:space="preserve"> omzetbelasting (btw)</w:t>
      </w:r>
      <w:r>
        <w:t>, een eventuele foutieve fiscale classificering komt voor rekening en risico van de Inschrijver</w:t>
      </w:r>
      <w:r w:rsidRPr="00555C9B">
        <w:t>.</w:t>
      </w:r>
    </w:p>
    <w:p w:rsidRPr="00555C9B" w:rsidR="009B5178" w:rsidP="00AA114F" w:rsidRDefault="009B5178" w14:paraId="53ABE8C4" w14:textId="77777777">
      <w:pPr>
        <w:pStyle w:val="Lijstalinea"/>
        <w:numPr>
          <w:ilvl w:val="0"/>
          <w:numId w:val="16"/>
        </w:numPr>
        <w:tabs>
          <w:tab w:val="clear" w:pos="397"/>
        </w:tabs>
        <w:suppressAutoHyphens/>
        <w:ind w:left="426" w:hanging="426"/>
      </w:pPr>
      <w:r w:rsidRPr="00555C9B">
        <w:t xml:space="preserve">Alle prijzen zijn inclusief alle bijkomende kosten, zoals (maar niet uitsluitend) reis- en verblijfkosten. Dit betekent dat de Aanbestedende Dienst, behalve de door de Inschrijver geoffreerde tarieven, niets aan de Inschrijver verschuldigd is. </w:t>
      </w:r>
    </w:p>
    <w:p w:rsidR="009B5178" w:rsidP="00AA114F" w:rsidRDefault="009B5178" w14:paraId="050D992C" w14:textId="77777777">
      <w:pPr>
        <w:pStyle w:val="Lijstalinea"/>
        <w:numPr>
          <w:ilvl w:val="0"/>
          <w:numId w:val="16"/>
        </w:numPr>
        <w:tabs>
          <w:tab w:val="clear" w:pos="397"/>
        </w:tabs>
        <w:suppressAutoHyphens/>
        <w:ind w:left="426" w:hanging="426"/>
      </w:pPr>
      <w:r w:rsidRPr="00555C9B">
        <w:t xml:space="preserve">Het indienen van een irreële of manipulatieve Inschrijving is verboden. </w:t>
      </w:r>
    </w:p>
    <w:p w:rsidR="009B5178" w:rsidP="00AA114F" w:rsidRDefault="009B5178" w14:paraId="75B9EB06" w14:textId="77777777">
      <w:pPr>
        <w:pStyle w:val="Lijstalinea"/>
        <w:numPr>
          <w:ilvl w:val="0"/>
          <w:numId w:val="16"/>
        </w:numPr>
        <w:tabs>
          <w:tab w:val="clear" w:pos="397"/>
        </w:tabs>
        <w:suppressAutoHyphens/>
        <w:ind w:left="426" w:hanging="426"/>
      </w:pPr>
      <w:r>
        <w:t xml:space="preserve">Het inschrijven met een onrealistische totaalprijs is verboden. Inschrijver mag dus niet onder zijn kostprijs inschrijven. Onrealistische prijzen zijn prijzen die niet vanuit het kostenperspectief van de Inschrijver te verantwoorden zijn. </w:t>
      </w:r>
    </w:p>
    <w:p w:rsidRPr="00555C9B" w:rsidR="009B5178" w:rsidP="00AA114F" w:rsidRDefault="009B5178" w14:paraId="787A2E4D" w14:textId="77777777">
      <w:pPr>
        <w:pStyle w:val="Lijstalinea"/>
        <w:numPr>
          <w:ilvl w:val="0"/>
          <w:numId w:val="16"/>
        </w:numPr>
        <w:tabs>
          <w:tab w:val="clear" w:pos="397"/>
        </w:tabs>
        <w:suppressAutoHyphens/>
        <w:ind w:left="426" w:hanging="426"/>
      </w:pPr>
      <w:r>
        <w:t xml:space="preserve">Het inschrijven met </w:t>
      </w:r>
      <w:r w:rsidRPr="00555C9B">
        <w:t>negatieve of nultarieven</w:t>
      </w:r>
      <w:r>
        <w:t xml:space="preserve"> is verboden</w:t>
      </w:r>
      <w:r w:rsidRPr="00555C9B">
        <w:t xml:space="preserve">; </w:t>
      </w:r>
    </w:p>
    <w:p w:rsidRPr="00555C9B" w:rsidR="009B5178" w:rsidP="00AA114F" w:rsidRDefault="009B5178" w14:paraId="024F3A2F" w14:textId="77777777">
      <w:pPr>
        <w:pStyle w:val="Lijstalinea"/>
        <w:numPr>
          <w:ilvl w:val="0"/>
          <w:numId w:val="8"/>
        </w:numPr>
        <w:tabs>
          <w:tab w:val="clear" w:pos="397"/>
        </w:tabs>
        <w:suppressAutoHyphens/>
        <w:ind w:left="426" w:right="-143" w:hanging="426"/>
      </w:pPr>
      <w:r w:rsidRPr="00555C9B">
        <w:t>Het prijsformulier dient</w:t>
      </w:r>
      <w:r>
        <w:t xml:space="preserve"> </w:t>
      </w:r>
      <w:r w:rsidRPr="00555C9B">
        <w:t xml:space="preserve">volledig te worden ingevuld. </w:t>
      </w:r>
    </w:p>
    <w:p w:rsidRPr="00555C9B" w:rsidR="009B5178" w:rsidP="00AA114F" w:rsidRDefault="009B5178" w14:paraId="3477DA71" w14:textId="77777777">
      <w:pPr>
        <w:pStyle w:val="Lijstalinea"/>
        <w:numPr>
          <w:ilvl w:val="0"/>
          <w:numId w:val="8"/>
        </w:numPr>
        <w:tabs>
          <w:tab w:val="clear" w:pos="397"/>
        </w:tabs>
        <w:suppressAutoHyphens/>
        <w:ind w:left="426" w:right="-143" w:hanging="426"/>
      </w:pPr>
      <w:r w:rsidRPr="00555C9B">
        <w:t>Het is Inschrijver</w:t>
      </w:r>
      <w:r>
        <w:t xml:space="preserve"> </w:t>
      </w:r>
      <w:r w:rsidRPr="00555C9B">
        <w:t xml:space="preserve">niet toegestaan de prijzen op een andere wijze aan te bieden dan door middel van het voorgeschreven prijzenblad van bijlage 12. </w:t>
      </w:r>
    </w:p>
    <w:p w:rsidRPr="00555C9B" w:rsidR="009B5178" w:rsidP="00AA114F" w:rsidRDefault="009B5178" w14:paraId="7503F1D3" w14:textId="77777777">
      <w:pPr>
        <w:pStyle w:val="Lijstalinea"/>
        <w:numPr>
          <w:ilvl w:val="0"/>
          <w:numId w:val="8"/>
        </w:numPr>
        <w:tabs>
          <w:tab w:val="clear" w:pos="397"/>
        </w:tabs>
        <w:suppressAutoHyphens/>
        <w:ind w:left="426" w:right="-143" w:hanging="426"/>
      </w:pPr>
      <w:r w:rsidRPr="00555C9B">
        <w:t>De Aanbestedende Dienst controleert niet of de prijzen juist zijn ingevuld en doorberekend.</w:t>
      </w:r>
    </w:p>
    <w:p w:rsidR="009B5178" w:rsidP="009B5178" w:rsidRDefault="009B5178" w14:paraId="2E75496B" w14:textId="372CF064">
      <w:pPr>
        <w:pStyle w:val="Lijstalinea"/>
        <w:numPr>
          <w:ilvl w:val="0"/>
          <w:numId w:val="8"/>
        </w:numPr>
        <w:tabs>
          <w:tab w:val="clear" w:pos="397"/>
        </w:tabs>
        <w:suppressAutoHyphens/>
        <w:ind w:left="426" w:right="-143" w:hanging="426"/>
      </w:pPr>
      <w:r w:rsidRPr="00555C9B">
        <w:t xml:space="preserve">De Inschrijver is zelf verantwoordelijk voor de juistheid en volledigheid van de ingevulde gegevens. </w:t>
      </w:r>
    </w:p>
    <w:p w:rsidR="007C50FC" w:rsidP="007C50FC" w:rsidRDefault="007C50FC" w14:paraId="4E03E2BF" w14:textId="77777777">
      <w:pPr>
        <w:pStyle w:val="Kop2"/>
      </w:pPr>
      <w:bookmarkStart w:name="_Toc198738844" w:id="123"/>
      <w:bookmarkStart w:name="_Toc205383363" w:id="124"/>
      <w:r w:rsidRPr="009A6A23">
        <w:t>Beoordeling</w:t>
      </w:r>
      <w:r>
        <w:t xml:space="preserve">skader- en </w:t>
      </w:r>
      <w:r w:rsidRPr="009A6A23">
        <w:t>proces</w:t>
      </w:r>
      <w:bookmarkEnd w:id="123"/>
      <w:bookmarkEnd w:id="124"/>
    </w:p>
    <w:p w:rsidR="007C50FC" w:rsidP="007C50FC" w:rsidRDefault="007C50FC" w14:paraId="061E8691" w14:textId="420120A2">
      <w:r>
        <w:t>Deze paragraaf beschrijft het beoordelingskader- en -proces.</w:t>
      </w:r>
    </w:p>
    <w:p w:rsidR="007C50FC" w:rsidP="007C50FC" w:rsidRDefault="007C50FC" w14:paraId="5C1D1F99" w14:textId="77777777"/>
    <w:p w:rsidRPr="009A6A23" w:rsidR="007C50FC" w:rsidP="007C50FC" w:rsidRDefault="007C50FC" w14:paraId="64520FE4" w14:textId="145181BE">
      <w:pPr>
        <w:rPr>
          <w:rFonts w:cs="Arial"/>
        </w:rPr>
      </w:pPr>
      <w:r w:rsidRPr="009A6A23">
        <w:t xml:space="preserve">Voor de kwalitatieve </w:t>
      </w:r>
      <w:r>
        <w:t>sub-</w:t>
      </w:r>
      <w:r w:rsidRPr="009A6A23">
        <w:t>gunningscriteria worden punten toegekend aan de hand van beoordelings</w:t>
      </w:r>
      <w:r w:rsidR="00511A89">
        <w:t>waarderingen die lopen van uitstekend tot en met geen beantwoording</w:t>
      </w:r>
      <w:r w:rsidRPr="009A6A23">
        <w:t xml:space="preserve">, conform onderstaand schema. </w:t>
      </w:r>
      <w:r w:rsidRPr="009A6A23">
        <w:rPr>
          <w:rFonts w:cs="Arial"/>
        </w:rPr>
        <w:t xml:space="preserve">De leden van de beoordelingscommissie beoordelen de </w:t>
      </w:r>
      <w:r>
        <w:rPr>
          <w:rFonts w:cs="Arial"/>
        </w:rPr>
        <w:t>sub-</w:t>
      </w:r>
      <w:r w:rsidRPr="009A6A23">
        <w:rPr>
          <w:rFonts w:cs="Arial"/>
        </w:rPr>
        <w:t xml:space="preserve">gunningscriteria eerst individueel. Vervolgens zal een consensus-vergadering plaatsvinden en wordt </w:t>
      </w:r>
      <w:r w:rsidR="00F521E6">
        <w:rPr>
          <w:rFonts w:cs="Arial"/>
        </w:rPr>
        <w:t>de</w:t>
      </w:r>
      <w:r w:rsidRPr="009A6A23" w:rsidR="00F521E6">
        <w:rPr>
          <w:rFonts w:cs="Arial"/>
        </w:rPr>
        <w:t xml:space="preserve"> </w:t>
      </w:r>
      <w:r w:rsidRPr="009A6A23">
        <w:rPr>
          <w:rFonts w:cs="Arial"/>
        </w:rPr>
        <w:t xml:space="preserve">uiteindelijke </w:t>
      </w:r>
      <w:r w:rsidRPr="009A6A23" w:rsidR="0003462E">
        <w:rPr>
          <w:rFonts w:cs="Arial"/>
        </w:rPr>
        <w:t>beoordelings</w:t>
      </w:r>
      <w:r w:rsidR="0003462E">
        <w:rPr>
          <w:rFonts w:cs="Arial"/>
        </w:rPr>
        <w:t xml:space="preserve">waardering </w:t>
      </w:r>
      <w:r w:rsidRPr="009A6A23">
        <w:rPr>
          <w:rFonts w:cs="Arial"/>
        </w:rPr>
        <w:t xml:space="preserve">door alle leden van de beoordelingscommissie gezamenlijk vastgesteld. Het verslag van deze vergadering zal niet worden gedeeld met de </w:t>
      </w:r>
      <w:r>
        <w:rPr>
          <w:rFonts w:cs="Arial"/>
        </w:rPr>
        <w:t>I</w:t>
      </w:r>
      <w:r w:rsidRPr="009A6A23">
        <w:rPr>
          <w:rFonts w:cs="Arial"/>
        </w:rPr>
        <w:t>nschrijvers, omdat niet kan worden uitgesloten dat hierin bedrijfsvertrouwelijke gegevens zijn opgenomen.</w:t>
      </w:r>
      <w:r w:rsidR="00F521E6">
        <w:rPr>
          <w:rFonts w:cs="Arial"/>
        </w:rPr>
        <w:t xml:space="preserve"> De definitieve score per kwalitatief sub-subgunningscriterium is een con</w:t>
      </w:r>
      <w:r w:rsidR="00F807FE">
        <w:rPr>
          <w:rFonts w:cs="Arial"/>
        </w:rPr>
        <w:t>sensusscore en geen gemiddelde.</w:t>
      </w:r>
    </w:p>
    <w:p w:rsidRPr="009A6A23" w:rsidR="007C50FC" w:rsidP="007C50FC" w:rsidRDefault="007C50FC" w14:paraId="3B387977" w14:textId="77777777">
      <w:pPr>
        <w:suppressAutoHyphens/>
      </w:pPr>
    </w:p>
    <w:p w:rsidR="007C50FC" w:rsidP="007C50FC" w:rsidRDefault="007C50FC" w14:paraId="0098A9B1" w14:textId="01855E87">
      <w:pPr>
        <w:suppressAutoHyphens/>
      </w:pPr>
      <w:r w:rsidRPr="009A6A23">
        <w:t xml:space="preserve">Vervolgens wordt per </w:t>
      </w:r>
      <w:r>
        <w:t>sub-</w:t>
      </w:r>
      <w:r w:rsidRPr="009A6A23">
        <w:t>gunningscriterium het toegekende beoordelings</w:t>
      </w:r>
      <w:r w:rsidR="0003462E">
        <w:t>waardering</w:t>
      </w:r>
      <w:r w:rsidRPr="009A6A23">
        <w:t xml:space="preserve"> omgerekend naar het bijbehorende aantal punten via de onderstaande tabel en de navolgende formule:</w:t>
      </w:r>
    </w:p>
    <w:p w:rsidR="007C50FC" w:rsidP="007C50FC" w:rsidRDefault="007C50FC" w14:paraId="7BB2AE82" w14:textId="77777777">
      <w:pPr>
        <w:suppressAutoHyphens/>
      </w:pPr>
    </w:p>
    <w:p w:rsidRPr="009A6A23" w:rsidR="007C50FC" w:rsidP="007C50FC" w:rsidRDefault="007C50FC" w14:paraId="10DDAED0" w14:textId="77777777">
      <w:pPr>
        <w:suppressAutoHyphens/>
        <w:spacing w:line="240" w:lineRule="auto"/>
        <w:rPr>
          <w:b/>
        </w:rPr>
      </w:pPr>
      <w:r w:rsidRPr="009A6A23">
        <w:rPr>
          <w:b/>
        </w:rPr>
        <w:t xml:space="preserve"> Puntenscore = maximum puntenscore * behaald percentage </w:t>
      </w:r>
    </w:p>
    <w:p w:rsidR="007C50FC" w:rsidP="007C50FC" w:rsidRDefault="007C50FC" w14:paraId="23880AB3" w14:textId="77777777">
      <w:pPr>
        <w:suppressAutoHyphens/>
        <w:spacing w:line="240" w:lineRule="auto"/>
        <w:rPr>
          <w:b/>
        </w:rPr>
      </w:pPr>
    </w:p>
    <w:tbl>
      <w:tblPr>
        <w:tblStyle w:val="Tabelraster"/>
        <w:tblW w:w="0" w:type="auto"/>
        <w:tblLook w:val="04A0" w:firstRow="1" w:lastRow="0" w:firstColumn="1" w:lastColumn="0" w:noHBand="0" w:noVBand="1"/>
      </w:tblPr>
      <w:tblGrid>
        <w:gridCol w:w="1838"/>
        <w:gridCol w:w="1985"/>
        <w:gridCol w:w="4388"/>
      </w:tblGrid>
      <w:tr w:rsidRPr="009A6A23" w:rsidR="007C50FC" w14:paraId="667068F0" w14:textId="77777777">
        <w:trPr>
          <w:cnfStyle w:val="100000000000" w:firstRow="1" w:lastRow="0" w:firstColumn="0" w:lastColumn="0" w:oddVBand="0" w:evenVBand="0" w:oddHBand="0" w:evenHBand="0" w:firstRowFirstColumn="0" w:firstRowLastColumn="0" w:lastRowFirstColumn="0" w:lastRowLastColumn="0"/>
        </w:trPr>
        <w:tc>
          <w:tcPr>
            <w:tcW w:w="1838" w:type="dxa"/>
          </w:tcPr>
          <w:p w:rsidRPr="009A6A23" w:rsidR="007C50FC" w:rsidRDefault="007C50FC" w14:paraId="350F4427" w14:textId="77777777">
            <w:pPr>
              <w:suppressAutoHyphens/>
              <w:rPr>
                <w:b/>
                <w:bCs/>
              </w:rPr>
            </w:pPr>
            <w:r w:rsidRPr="009A6A23">
              <w:rPr>
                <w:rFonts w:cs="Arial"/>
                <w:b/>
                <w:bCs/>
              </w:rPr>
              <w:t>Waardering</w:t>
            </w:r>
          </w:p>
        </w:tc>
        <w:tc>
          <w:tcPr>
            <w:tcW w:w="1985" w:type="dxa"/>
          </w:tcPr>
          <w:p w:rsidRPr="009A6A23" w:rsidR="007C50FC" w:rsidRDefault="007C50FC" w14:paraId="25B65ED1" w14:textId="77777777">
            <w:pPr>
              <w:suppressAutoHyphens/>
              <w:rPr>
                <w:b/>
                <w:bCs/>
              </w:rPr>
            </w:pPr>
            <w:r w:rsidRPr="009A6A23">
              <w:rPr>
                <w:rFonts w:cs="Arial"/>
                <w:b/>
                <w:bCs/>
              </w:rPr>
              <w:t>Percentage van maximaal te behalen punten</w:t>
            </w:r>
          </w:p>
        </w:tc>
        <w:tc>
          <w:tcPr>
            <w:tcW w:w="4388" w:type="dxa"/>
          </w:tcPr>
          <w:p w:rsidRPr="009A6A23" w:rsidR="007C50FC" w:rsidRDefault="007C50FC" w14:paraId="606038D0" w14:textId="77777777">
            <w:pPr>
              <w:suppressAutoHyphens/>
              <w:rPr>
                <w:b/>
                <w:bCs/>
              </w:rPr>
            </w:pPr>
            <w:r w:rsidRPr="009A6A23">
              <w:rPr>
                <w:rFonts w:cs="Arial"/>
                <w:b/>
                <w:bCs/>
              </w:rPr>
              <w:t xml:space="preserve"> Toelichting</w:t>
            </w:r>
          </w:p>
        </w:tc>
      </w:tr>
      <w:tr w:rsidRPr="009A6A23" w:rsidR="007C50FC" w14:paraId="7CC69B13" w14:textId="77777777">
        <w:trPr>
          <w:cnfStyle w:val="000000100000" w:firstRow="0" w:lastRow="0" w:firstColumn="0" w:lastColumn="0" w:oddVBand="0" w:evenVBand="0" w:oddHBand="1" w:evenHBand="0" w:firstRowFirstColumn="0" w:firstRowLastColumn="0" w:lastRowFirstColumn="0" w:lastRowLastColumn="0"/>
        </w:trPr>
        <w:tc>
          <w:tcPr>
            <w:tcW w:w="1838" w:type="dxa"/>
          </w:tcPr>
          <w:p w:rsidRPr="009A6A23" w:rsidR="007C50FC" w:rsidRDefault="007C50FC" w14:paraId="0176B62E" w14:textId="77777777">
            <w:pPr>
              <w:suppressAutoHyphens/>
              <w:rPr>
                <w:b/>
              </w:rPr>
            </w:pPr>
            <w:r w:rsidRPr="009A6A23">
              <w:rPr>
                <w:rFonts w:cs="Arial"/>
                <w:b/>
                <w:bCs/>
              </w:rPr>
              <w:t>Uitstekend</w:t>
            </w:r>
          </w:p>
        </w:tc>
        <w:tc>
          <w:tcPr>
            <w:tcW w:w="1985" w:type="dxa"/>
          </w:tcPr>
          <w:p w:rsidR="007C50FC" w:rsidRDefault="007C50FC" w14:paraId="39AF5043" w14:textId="77777777">
            <w:pPr>
              <w:suppressAutoHyphens/>
              <w:rPr>
                <w:rFonts w:cs="Arial"/>
              </w:rPr>
            </w:pPr>
            <w:r w:rsidRPr="009A6A23">
              <w:rPr>
                <w:rFonts w:cs="Arial"/>
              </w:rPr>
              <w:t>100% van het maximaal te behalen punten</w:t>
            </w:r>
          </w:p>
          <w:p w:rsidR="007231ED" w:rsidRDefault="007231ED" w14:paraId="0708C7D7" w14:textId="77777777">
            <w:pPr>
              <w:suppressAutoHyphens/>
              <w:rPr>
                <w:rFonts w:cs="Arial"/>
                <w:b/>
              </w:rPr>
            </w:pPr>
          </w:p>
          <w:p w:rsidRPr="009A6A23" w:rsidR="007231ED" w:rsidRDefault="007231ED" w14:paraId="4237A0E8" w14:textId="77777777">
            <w:pPr>
              <w:suppressAutoHyphens/>
              <w:rPr>
                <w:b/>
              </w:rPr>
            </w:pPr>
          </w:p>
        </w:tc>
        <w:tc>
          <w:tcPr>
            <w:tcW w:w="4388" w:type="dxa"/>
          </w:tcPr>
          <w:p w:rsidRPr="003F6F36" w:rsidR="007C50FC" w:rsidRDefault="007C50FC" w14:paraId="6B24C5D6" w14:textId="1F633418">
            <w:pPr>
              <w:suppressAutoHyphens/>
            </w:pPr>
            <w:r>
              <w:t>Het merendeel van de</w:t>
            </w:r>
            <w:r w:rsidRPr="009A6A23">
              <w:t xml:space="preserve"> uitwerking </w:t>
            </w:r>
            <w:r>
              <w:t xml:space="preserve">van de aangeleverde informatie bij het subgunningscriterium is in uitstekende mate volledig, duidelijk, concreet, relevant, haalbaar, passend, vertrouwenwekkend, zorgvuldig onderbouwd en sluit in uitstekend mate aan bij het doel van het subgunningscriterium. </w:t>
            </w:r>
          </w:p>
        </w:tc>
      </w:tr>
      <w:tr w:rsidRPr="009A6A23" w:rsidR="007C50FC" w14:paraId="2E3568D2" w14:textId="77777777">
        <w:trPr>
          <w:cnfStyle w:val="000000010000" w:firstRow="0" w:lastRow="0" w:firstColumn="0" w:lastColumn="0" w:oddVBand="0" w:evenVBand="0" w:oddHBand="0" w:evenHBand="1" w:firstRowFirstColumn="0" w:firstRowLastColumn="0" w:lastRowFirstColumn="0" w:lastRowLastColumn="0"/>
        </w:trPr>
        <w:tc>
          <w:tcPr>
            <w:tcW w:w="1838" w:type="dxa"/>
          </w:tcPr>
          <w:p w:rsidRPr="009A6A23" w:rsidR="007C50FC" w:rsidRDefault="007C50FC" w14:paraId="6A381D50" w14:textId="77777777">
            <w:pPr>
              <w:suppressAutoHyphens/>
              <w:rPr>
                <w:b/>
              </w:rPr>
            </w:pPr>
            <w:r w:rsidRPr="009A6A23">
              <w:rPr>
                <w:rFonts w:cs="Arial"/>
                <w:b/>
                <w:bCs/>
              </w:rPr>
              <w:t>Goed</w:t>
            </w:r>
          </w:p>
        </w:tc>
        <w:tc>
          <w:tcPr>
            <w:tcW w:w="1985" w:type="dxa"/>
          </w:tcPr>
          <w:p w:rsidR="007C50FC" w:rsidRDefault="007C50FC" w14:paraId="2086A8F3" w14:textId="77777777">
            <w:pPr>
              <w:suppressAutoHyphens/>
              <w:rPr>
                <w:rFonts w:cs="Arial"/>
              </w:rPr>
            </w:pPr>
            <w:r w:rsidRPr="009A6A23">
              <w:rPr>
                <w:rFonts w:cs="Arial"/>
              </w:rPr>
              <w:t>80% van het maximaal te behalen punten</w:t>
            </w:r>
          </w:p>
          <w:p w:rsidR="008C68D3" w:rsidRDefault="008C68D3" w14:paraId="665D0776" w14:textId="77777777">
            <w:pPr>
              <w:suppressAutoHyphens/>
              <w:rPr>
                <w:rFonts w:cs="Arial"/>
                <w:b/>
              </w:rPr>
            </w:pPr>
          </w:p>
          <w:p w:rsidRPr="001675C7" w:rsidR="008C68D3" w:rsidRDefault="008C68D3" w14:paraId="05C9782F" w14:textId="5B6F30FC">
            <w:pPr>
              <w:suppressAutoHyphens/>
              <w:rPr>
                <w:bCs/>
              </w:rPr>
            </w:pPr>
          </w:p>
        </w:tc>
        <w:tc>
          <w:tcPr>
            <w:tcW w:w="4388" w:type="dxa"/>
          </w:tcPr>
          <w:p w:rsidRPr="009A6A23" w:rsidR="007C50FC" w:rsidRDefault="007C50FC" w14:paraId="1D1448B1" w14:textId="77777777">
            <w:pPr>
              <w:suppressAutoHyphens/>
              <w:rPr>
                <w:b/>
              </w:rPr>
            </w:pPr>
            <w:r>
              <w:t>Het merendeel van de</w:t>
            </w:r>
            <w:r w:rsidRPr="009A6A23">
              <w:t xml:space="preserve"> uitwerking </w:t>
            </w:r>
            <w:r>
              <w:t>van de aangeleverde informatie bij het subgunningscriterium is in goede mate volledig, duidelijk, concreet, relevant, haalbaar, passend, vertrouwenwekkend, zorgvuldig onderbouwd en sluit in goede mate aan bij het doel van het subgunningscriterium.</w:t>
            </w:r>
          </w:p>
        </w:tc>
      </w:tr>
      <w:tr w:rsidRPr="009A6A23" w:rsidR="007C50FC" w14:paraId="07AF47DA" w14:textId="77777777">
        <w:trPr>
          <w:cnfStyle w:val="000000100000" w:firstRow="0" w:lastRow="0" w:firstColumn="0" w:lastColumn="0" w:oddVBand="0" w:evenVBand="0" w:oddHBand="1" w:evenHBand="0" w:firstRowFirstColumn="0" w:firstRowLastColumn="0" w:lastRowFirstColumn="0" w:lastRowLastColumn="0"/>
        </w:trPr>
        <w:tc>
          <w:tcPr>
            <w:tcW w:w="1838" w:type="dxa"/>
          </w:tcPr>
          <w:p w:rsidRPr="009A6A23" w:rsidR="007C50FC" w:rsidRDefault="007C50FC" w14:paraId="520314CF" w14:textId="77777777">
            <w:pPr>
              <w:suppressAutoHyphens/>
              <w:rPr>
                <w:b/>
              </w:rPr>
            </w:pPr>
            <w:r w:rsidRPr="009A6A23">
              <w:rPr>
                <w:rFonts w:cs="Arial"/>
                <w:b/>
                <w:bCs/>
              </w:rPr>
              <w:t>Voldoende</w:t>
            </w:r>
          </w:p>
        </w:tc>
        <w:tc>
          <w:tcPr>
            <w:tcW w:w="1985" w:type="dxa"/>
          </w:tcPr>
          <w:p w:rsidRPr="009A6A23" w:rsidR="008C68D3" w:rsidRDefault="007C50FC" w14:paraId="5B421ED7" w14:textId="3E24A987">
            <w:pPr>
              <w:suppressAutoHyphens/>
              <w:rPr>
                <w:b/>
              </w:rPr>
            </w:pPr>
            <w:r w:rsidRPr="009A6A23">
              <w:rPr>
                <w:rFonts w:cs="Arial"/>
              </w:rPr>
              <w:t>60% van het maximaal te behalen punten</w:t>
            </w:r>
          </w:p>
        </w:tc>
        <w:tc>
          <w:tcPr>
            <w:tcW w:w="4388" w:type="dxa"/>
          </w:tcPr>
          <w:p w:rsidRPr="009A6A23" w:rsidR="007C50FC" w:rsidRDefault="007C50FC" w14:paraId="12A60F8D" w14:textId="77777777">
            <w:pPr>
              <w:suppressAutoHyphens/>
              <w:rPr>
                <w:b/>
              </w:rPr>
            </w:pPr>
            <w:r>
              <w:t>Het merendeel van de</w:t>
            </w:r>
            <w:r w:rsidRPr="009A6A23">
              <w:t xml:space="preserve"> uitwerking </w:t>
            </w:r>
            <w:r>
              <w:t>van de aangeleverde informatie bij het subgunningscriterium is in voldoende mate volledig, duidelijk, concreet, relevant, haalbaar, passend, vertrouwenwekkend, zorgvuldig onderbouwd en sluit in voldoende mate aan bij het doel van het subgunningscriterium.</w:t>
            </w:r>
          </w:p>
        </w:tc>
      </w:tr>
      <w:tr w:rsidRPr="009A6A23" w:rsidR="007C50FC" w14:paraId="11688B93" w14:textId="77777777">
        <w:trPr>
          <w:cnfStyle w:val="000000010000" w:firstRow="0" w:lastRow="0" w:firstColumn="0" w:lastColumn="0" w:oddVBand="0" w:evenVBand="0" w:oddHBand="0" w:evenHBand="1" w:firstRowFirstColumn="0" w:firstRowLastColumn="0" w:lastRowFirstColumn="0" w:lastRowLastColumn="0"/>
        </w:trPr>
        <w:tc>
          <w:tcPr>
            <w:tcW w:w="1838" w:type="dxa"/>
          </w:tcPr>
          <w:p w:rsidRPr="009A6A23" w:rsidR="007C50FC" w:rsidRDefault="007C50FC" w14:paraId="6A642F70" w14:textId="77777777">
            <w:pPr>
              <w:suppressAutoHyphens/>
              <w:rPr>
                <w:b/>
              </w:rPr>
            </w:pPr>
            <w:r w:rsidRPr="009A6A23">
              <w:rPr>
                <w:rFonts w:cs="Arial"/>
                <w:b/>
                <w:bCs/>
              </w:rPr>
              <w:t>Matig</w:t>
            </w:r>
          </w:p>
        </w:tc>
        <w:tc>
          <w:tcPr>
            <w:tcW w:w="1985" w:type="dxa"/>
          </w:tcPr>
          <w:p w:rsidRPr="001675C7" w:rsidR="00CE1BE9" w:rsidRDefault="007C50FC" w14:paraId="207CD333" w14:textId="02249F30">
            <w:pPr>
              <w:suppressAutoHyphens/>
              <w:rPr>
                <w:bCs/>
              </w:rPr>
            </w:pPr>
            <w:r w:rsidRPr="009A6A23">
              <w:rPr>
                <w:rFonts w:cs="Arial"/>
              </w:rPr>
              <w:t>40% van het maximaal te behalen punten</w:t>
            </w:r>
          </w:p>
        </w:tc>
        <w:tc>
          <w:tcPr>
            <w:tcW w:w="4388" w:type="dxa"/>
          </w:tcPr>
          <w:p w:rsidRPr="009A6A23" w:rsidR="007C50FC" w:rsidRDefault="007C50FC" w14:paraId="6FBF1A80" w14:textId="2E05B670">
            <w:pPr>
              <w:suppressAutoHyphens/>
              <w:rPr>
                <w:b/>
              </w:rPr>
            </w:pPr>
            <w:r>
              <w:t>Het merendeel van de</w:t>
            </w:r>
            <w:r w:rsidRPr="009A6A23">
              <w:t xml:space="preserve"> uitwerking </w:t>
            </w:r>
            <w:r>
              <w:t>van de aangeleverde informatie bij het subgunningscriterium is in matige mate volledig, duidelijk, concreet, relevant, haalbaar, passend, vertrouwenwekkend, zorgvuldig onderbouwd en sluit in matige mate aan bij het doel van het subgunningscriterium.</w:t>
            </w:r>
          </w:p>
        </w:tc>
      </w:tr>
      <w:tr w:rsidRPr="009A6A23" w:rsidR="007C50FC" w14:paraId="7606FFCB" w14:textId="77777777">
        <w:trPr>
          <w:cnfStyle w:val="000000100000" w:firstRow="0" w:lastRow="0" w:firstColumn="0" w:lastColumn="0" w:oddVBand="0" w:evenVBand="0" w:oddHBand="1" w:evenHBand="0" w:firstRowFirstColumn="0" w:firstRowLastColumn="0" w:lastRowFirstColumn="0" w:lastRowLastColumn="0"/>
        </w:trPr>
        <w:tc>
          <w:tcPr>
            <w:tcW w:w="1838" w:type="dxa"/>
          </w:tcPr>
          <w:p w:rsidRPr="009A6A23" w:rsidR="007C50FC" w:rsidRDefault="007C50FC" w14:paraId="72BF4F9B" w14:textId="77777777">
            <w:pPr>
              <w:suppressAutoHyphens/>
              <w:rPr>
                <w:b/>
              </w:rPr>
            </w:pPr>
            <w:r w:rsidRPr="009A6A23">
              <w:rPr>
                <w:rFonts w:cs="Arial"/>
                <w:b/>
                <w:bCs/>
              </w:rPr>
              <w:t xml:space="preserve">Onvoldoende </w:t>
            </w:r>
          </w:p>
        </w:tc>
        <w:tc>
          <w:tcPr>
            <w:tcW w:w="1985" w:type="dxa"/>
          </w:tcPr>
          <w:p w:rsidRPr="009A6A23" w:rsidR="00AD6FC6" w:rsidRDefault="007C50FC" w14:paraId="305DD8E8" w14:textId="59604C53">
            <w:pPr>
              <w:suppressAutoHyphens/>
              <w:rPr>
                <w:b/>
              </w:rPr>
            </w:pPr>
            <w:r w:rsidRPr="009A6A23">
              <w:rPr>
                <w:rFonts w:cs="Arial"/>
                <w:color w:val="000000"/>
              </w:rPr>
              <w:t>20% van het maximaal te behalen punten</w:t>
            </w:r>
          </w:p>
        </w:tc>
        <w:tc>
          <w:tcPr>
            <w:tcW w:w="4388" w:type="dxa"/>
          </w:tcPr>
          <w:p w:rsidRPr="009A6A23" w:rsidR="007C50FC" w:rsidRDefault="007C50FC" w14:paraId="1B570FD4" w14:textId="49B54E8C">
            <w:pPr>
              <w:suppressAutoHyphens/>
              <w:rPr>
                <w:b/>
              </w:rPr>
            </w:pPr>
            <w:r>
              <w:t>Het merendeel van de</w:t>
            </w:r>
            <w:r w:rsidRPr="009A6A23">
              <w:t xml:space="preserve"> uitwerking </w:t>
            </w:r>
            <w:r>
              <w:t>van de aangeleverde informatie bij het subgunningscriterium is in onvoldoende mate volledig, duidelijk, concreet, relevant, haalbaar, passend, zorgvuldig onderbouwd en sluit in onvoldoende mate aan bij het doel van het subgunningscriterium.</w:t>
            </w:r>
          </w:p>
        </w:tc>
      </w:tr>
      <w:tr w:rsidRPr="009A6A23" w:rsidR="007C50FC" w14:paraId="3604A975" w14:textId="77777777">
        <w:trPr>
          <w:cnfStyle w:val="000000010000" w:firstRow="0" w:lastRow="0" w:firstColumn="0" w:lastColumn="0" w:oddVBand="0" w:evenVBand="0" w:oddHBand="0" w:evenHBand="1" w:firstRowFirstColumn="0" w:firstRowLastColumn="0" w:lastRowFirstColumn="0" w:lastRowLastColumn="0"/>
        </w:trPr>
        <w:tc>
          <w:tcPr>
            <w:tcW w:w="1838" w:type="dxa"/>
          </w:tcPr>
          <w:p w:rsidRPr="009A6A23" w:rsidR="007C50FC" w:rsidRDefault="007C50FC" w14:paraId="05900F67" w14:textId="77777777">
            <w:pPr>
              <w:suppressAutoHyphens/>
              <w:rPr>
                <w:b/>
              </w:rPr>
            </w:pPr>
            <w:r w:rsidRPr="009A6A23">
              <w:rPr>
                <w:rFonts w:cs="Arial"/>
                <w:b/>
                <w:bCs/>
              </w:rPr>
              <w:t>Geen beantwoording</w:t>
            </w:r>
          </w:p>
        </w:tc>
        <w:tc>
          <w:tcPr>
            <w:tcW w:w="1985" w:type="dxa"/>
          </w:tcPr>
          <w:p w:rsidRPr="009A6A23" w:rsidR="00E27A3B" w:rsidRDefault="007C50FC" w14:paraId="02AB9141" w14:textId="3E230432">
            <w:pPr>
              <w:suppressAutoHyphens/>
              <w:rPr>
                <w:b/>
              </w:rPr>
            </w:pPr>
            <w:r w:rsidRPr="009A6A23">
              <w:rPr>
                <w:rFonts w:cs="Arial"/>
              </w:rPr>
              <w:t>0% van het maximaal te behalen punten</w:t>
            </w:r>
          </w:p>
        </w:tc>
        <w:tc>
          <w:tcPr>
            <w:tcW w:w="4388" w:type="dxa"/>
          </w:tcPr>
          <w:p w:rsidRPr="009A6A23" w:rsidR="007C50FC" w:rsidRDefault="007C50FC" w14:paraId="0AF00BE3" w14:textId="153307DA">
            <w:pPr>
              <w:suppressAutoHyphens/>
              <w:rPr>
                <w:b/>
              </w:rPr>
            </w:pPr>
            <w:r w:rsidRPr="00541AD7">
              <w:rPr>
                <w:rFonts w:cs="Arial"/>
                <w:color w:val="000000"/>
              </w:rPr>
              <w:t xml:space="preserve">De </w:t>
            </w:r>
            <w:r>
              <w:rPr>
                <w:rFonts w:cs="Arial"/>
                <w:color w:val="000000"/>
              </w:rPr>
              <w:t>I</w:t>
            </w:r>
            <w:r w:rsidRPr="00541AD7">
              <w:rPr>
                <w:rFonts w:cs="Arial"/>
                <w:color w:val="000000"/>
              </w:rPr>
              <w:t>nschrijver heeft geen</w:t>
            </w:r>
            <w:r w:rsidR="00590321">
              <w:rPr>
                <w:rFonts w:cs="Arial"/>
                <w:color w:val="000000"/>
              </w:rPr>
              <w:t xml:space="preserve"> (relevante)</w:t>
            </w:r>
            <w:r w:rsidRPr="00541AD7">
              <w:rPr>
                <w:rFonts w:cs="Arial"/>
                <w:color w:val="000000"/>
              </w:rPr>
              <w:t xml:space="preserve"> </w:t>
            </w:r>
            <w:r>
              <w:rPr>
                <w:rFonts w:cs="Arial"/>
                <w:color w:val="000000"/>
              </w:rPr>
              <w:t xml:space="preserve">informatie aangeleverd voor </w:t>
            </w:r>
            <w:r w:rsidRPr="00541AD7">
              <w:rPr>
                <w:rFonts w:cs="Arial"/>
                <w:color w:val="000000"/>
              </w:rPr>
              <w:t xml:space="preserve">dit (onderdeel van het) </w:t>
            </w:r>
            <w:r>
              <w:rPr>
                <w:rFonts w:cs="Arial"/>
                <w:color w:val="000000"/>
              </w:rPr>
              <w:t>sub</w:t>
            </w:r>
            <w:r w:rsidRPr="00541AD7">
              <w:rPr>
                <w:rFonts w:cs="Arial"/>
                <w:color w:val="000000"/>
              </w:rPr>
              <w:t>gunningscriterium.</w:t>
            </w:r>
          </w:p>
        </w:tc>
      </w:tr>
    </w:tbl>
    <w:p w:rsidRPr="009A6A23" w:rsidR="007C50FC" w:rsidP="007C50FC" w:rsidRDefault="007C50FC" w14:paraId="6BE5BB7E" w14:textId="77777777">
      <w:pPr>
        <w:suppressAutoHyphens/>
        <w:spacing w:line="240" w:lineRule="auto"/>
        <w:rPr>
          <w:b/>
        </w:rPr>
      </w:pPr>
    </w:p>
    <w:p w:rsidR="00881C68" w:rsidP="00881C68" w:rsidRDefault="007C50FC" w14:paraId="32D6D490" w14:textId="023CB064">
      <w:pPr>
        <w:suppressAutoHyphens/>
        <w:rPr>
          <w:rFonts w:cs="Arial"/>
        </w:rPr>
      </w:pPr>
      <w:r w:rsidRPr="009A6A23">
        <w:rPr>
          <w:rFonts w:cs="Arial"/>
        </w:rPr>
        <w:t xml:space="preserve">De </w:t>
      </w:r>
      <w:r>
        <w:rPr>
          <w:rFonts w:cs="Arial"/>
        </w:rPr>
        <w:t>Aanbestedende Dienst</w:t>
      </w:r>
      <w:r w:rsidRPr="009A6A23">
        <w:rPr>
          <w:rFonts w:cs="Arial"/>
        </w:rPr>
        <w:t xml:space="preserve"> heeft een beoordelingsteam samengesteld bestaan</w:t>
      </w:r>
      <w:r w:rsidRPr="00970619">
        <w:rPr>
          <w:rFonts w:cs="Arial"/>
        </w:rPr>
        <w:t xml:space="preserve">de uit </w:t>
      </w:r>
      <w:r w:rsidR="001675C7">
        <w:rPr>
          <w:rFonts w:cs="Arial"/>
        </w:rPr>
        <w:t>5</w:t>
      </w:r>
      <w:r w:rsidRPr="00970619">
        <w:rPr>
          <w:rFonts w:cs="Arial"/>
        </w:rPr>
        <w:t xml:space="preserve"> </w:t>
      </w:r>
      <w:r>
        <w:rPr>
          <w:rFonts w:cs="Arial"/>
        </w:rPr>
        <w:t>beoordelaars</w:t>
      </w:r>
      <w:r w:rsidRPr="00970619">
        <w:rPr>
          <w:rFonts w:cs="Arial"/>
        </w:rPr>
        <w:t>.</w:t>
      </w:r>
      <w:r>
        <w:rPr>
          <w:rFonts w:cs="Arial"/>
        </w:rPr>
        <w:t xml:space="preserve"> Dit beoordelingsteam bestaat uit een</w:t>
      </w:r>
      <w:r w:rsidR="00881C68">
        <w:rPr>
          <w:rFonts w:cs="Arial"/>
        </w:rPr>
        <w:t>:</w:t>
      </w:r>
    </w:p>
    <w:p w:rsidRPr="00881C68" w:rsidR="00881C68" w:rsidP="00881C68" w:rsidRDefault="007C50FC" w14:paraId="60FF3EF2" w14:textId="3BBF6D4F">
      <w:pPr>
        <w:suppressAutoHyphens/>
        <w:rPr>
          <w:rFonts w:cs="Arial"/>
        </w:rPr>
      </w:pPr>
      <w:r>
        <w:rPr>
          <w:rFonts w:cs="Arial"/>
        </w:rPr>
        <w:t xml:space="preserve"> </w:t>
      </w:r>
      <w:r w:rsidRPr="00881C68" w:rsidR="00881C68">
        <w:rPr>
          <w:rFonts w:cs="Arial"/>
        </w:rPr>
        <w:t>•</w:t>
      </w:r>
      <w:r w:rsidRPr="00881C68" w:rsidR="00881C68">
        <w:rPr>
          <w:rFonts w:cs="Arial"/>
        </w:rPr>
        <w:tab/>
      </w:r>
      <w:r w:rsidRPr="00881C68" w:rsidR="00881C68">
        <w:rPr>
          <w:rFonts w:cs="Arial"/>
        </w:rPr>
        <w:t xml:space="preserve">Teamleider Datateam </w:t>
      </w:r>
    </w:p>
    <w:p w:rsidRPr="00881C68" w:rsidR="00881C68" w:rsidP="00881C68" w:rsidRDefault="00881C68" w14:paraId="3B1EC1A6" w14:textId="28AE249D">
      <w:pPr>
        <w:suppressAutoHyphens/>
        <w:rPr>
          <w:rFonts w:cs="Arial"/>
        </w:rPr>
      </w:pPr>
      <w:r w:rsidRPr="00881C68">
        <w:rPr>
          <w:rFonts w:cs="Arial"/>
        </w:rPr>
        <w:t>•</w:t>
      </w:r>
      <w:r w:rsidRPr="00881C68">
        <w:rPr>
          <w:rFonts w:cs="Arial"/>
        </w:rPr>
        <w:tab/>
      </w:r>
      <w:r w:rsidRPr="00881C68">
        <w:rPr>
          <w:rFonts w:cs="Arial"/>
        </w:rPr>
        <w:t xml:space="preserve">Informatieadviseur </w:t>
      </w:r>
    </w:p>
    <w:p w:rsidRPr="00881C68" w:rsidR="00881C68" w:rsidP="00881C68" w:rsidRDefault="00881C68" w14:paraId="25F7E130" w14:textId="27D8BD18">
      <w:pPr>
        <w:suppressAutoHyphens/>
        <w:rPr>
          <w:rFonts w:cs="Arial"/>
        </w:rPr>
      </w:pPr>
      <w:r w:rsidRPr="00881C68">
        <w:rPr>
          <w:rFonts w:cs="Arial"/>
        </w:rPr>
        <w:t>•</w:t>
      </w:r>
      <w:r w:rsidRPr="00881C68">
        <w:rPr>
          <w:rFonts w:cs="Arial"/>
        </w:rPr>
        <w:tab/>
      </w:r>
      <w:r w:rsidRPr="00881C68">
        <w:rPr>
          <w:rFonts w:cs="Arial"/>
        </w:rPr>
        <w:t xml:space="preserve">Informatieadviseur </w:t>
      </w:r>
    </w:p>
    <w:p w:rsidRPr="00881C68" w:rsidR="00881C68" w:rsidP="00881C68" w:rsidRDefault="00881C68" w14:paraId="3186A6C9" w14:textId="40DB02AF">
      <w:pPr>
        <w:suppressAutoHyphens/>
        <w:rPr>
          <w:rFonts w:cs="Arial"/>
        </w:rPr>
      </w:pPr>
      <w:r w:rsidRPr="00881C68">
        <w:rPr>
          <w:rFonts w:cs="Arial"/>
        </w:rPr>
        <w:t>•</w:t>
      </w:r>
      <w:r w:rsidRPr="00881C68">
        <w:rPr>
          <w:rFonts w:cs="Arial"/>
        </w:rPr>
        <w:tab/>
      </w:r>
      <w:r w:rsidRPr="00881C68">
        <w:rPr>
          <w:rFonts w:cs="Arial"/>
        </w:rPr>
        <w:t>Informatiespecialist Geo/BI</w:t>
      </w:r>
    </w:p>
    <w:p w:rsidR="00881C68" w:rsidP="007C50FC" w:rsidRDefault="00881C68" w14:paraId="635B0FC6" w14:textId="7604B786">
      <w:pPr>
        <w:suppressAutoHyphens/>
        <w:rPr>
          <w:rFonts w:cs="Arial"/>
        </w:rPr>
      </w:pPr>
      <w:r w:rsidRPr="00881C68">
        <w:rPr>
          <w:rFonts w:cs="Arial"/>
        </w:rPr>
        <w:t>•</w:t>
      </w:r>
      <w:r w:rsidRPr="00881C68">
        <w:rPr>
          <w:rFonts w:cs="Arial"/>
        </w:rPr>
        <w:tab/>
      </w:r>
      <w:r w:rsidRPr="00881C68">
        <w:rPr>
          <w:rFonts w:cs="Arial"/>
        </w:rPr>
        <w:t xml:space="preserve">ICT/Cloud-specialist </w:t>
      </w:r>
    </w:p>
    <w:p w:rsidR="00881C68" w:rsidP="007C50FC" w:rsidRDefault="00881C68" w14:paraId="67A6CC6C" w14:textId="77777777">
      <w:pPr>
        <w:suppressAutoHyphens/>
        <w:rPr>
          <w:rFonts w:cs="Arial"/>
        </w:rPr>
      </w:pPr>
    </w:p>
    <w:p w:rsidR="00881C68" w:rsidP="007C50FC" w:rsidRDefault="00881C68" w14:paraId="7FF9CAC2" w14:textId="0D53ED9F">
      <w:pPr>
        <w:suppressAutoHyphens/>
        <w:rPr>
          <w:rFonts w:cs="Arial"/>
        </w:rPr>
      </w:pPr>
      <w:r>
        <w:rPr>
          <w:rFonts w:cs="Arial"/>
        </w:rPr>
        <w:t>Mocht</w:t>
      </w:r>
      <w:r w:rsidR="00813394">
        <w:rPr>
          <w:rFonts w:cs="Arial"/>
        </w:rPr>
        <w:t xml:space="preserve"> er iemand uit het bovenstaande beoordelingsteam onverhoopt niet kunnen beoordelen, dan wordt </w:t>
      </w:r>
      <w:r w:rsidR="0061458A">
        <w:rPr>
          <w:rFonts w:cs="Arial"/>
        </w:rPr>
        <w:t xml:space="preserve">deze persoon vervangen </w:t>
      </w:r>
      <w:r w:rsidR="00CF6CD1">
        <w:rPr>
          <w:rFonts w:cs="Arial"/>
        </w:rPr>
        <w:t xml:space="preserve">een van de onderstaande </w:t>
      </w:r>
      <w:r w:rsidR="00A956F2">
        <w:rPr>
          <w:rFonts w:cs="Arial"/>
        </w:rPr>
        <w:t>reserves</w:t>
      </w:r>
      <w:r w:rsidR="00CF6CD1">
        <w:rPr>
          <w:rFonts w:cs="Arial"/>
        </w:rPr>
        <w:t>:</w:t>
      </w:r>
    </w:p>
    <w:p w:rsidRPr="00A956F2" w:rsidR="00A956F2" w:rsidP="00B608AB" w:rsidRDefault="00A956F2" w14:paraId="53D353F6" w14:textId="1A02F1AA">
      <w:pPr>
        <w:numPr>
          <w:ilvl w:val="0"/>
          <w:numId w:val="33"/>
        </w:numPr>
        <w:suppressAutoHyphens/>
        <w:rPr>
          <w:rFonts w:cs="Arial"/>
        </w:rPr>
      </w:pPr>
      <w:r w:rsidRPr="00A956F2">
        <w:rPr>
          <w:rFonts w:cs="Arial"/>
        </w:rPr>
        <w:t>Adviseur crisisbeheersing</w:t>
      </w:r>
    </w:p>
    <w:p w:rsidRPr="00A956F2" w:rsidR="00A956F2" w:rsidP="00B608AB" w:rsidRDefault="00A956F2" w14:paraId="6D48D42A" w14:textId="04C1895F">
      <w:pPr>
        <w:numPr>
          <w:ilvl w:val="0"/>
          <w:numId w:val="33"/>
        </w:numPr>
        <w:suppressAutoHyphens/>
        <w:rPr>
          <w:rFonts w:cs="Arial"/>
        </w:rPr>
      </w:pPr>
      <w:r w:rsidRPr="00A956F2">
        <w:rPr>
          <w:rFonts w:cs="Arial"/>
        </w:rPr>
        <w:t xml:space="preserve">Adviseur Informatie gestuurde veiligheid </w:t>
      </w:r>
    </w:p>
    <w:p w:rsidR="00881C68" w:rsidP="007C50FC" w:rsidRDefault="00881C68" w14:paraId="3C3EF1F0" w14:textId="77777777">
      <w:pPr>
        <w:suppressAutoHyphens/>
        <w:rPr>
          <w:rFonts w:cs="Arial"/>
        </w:rPr>
      </w:pPr>
    </w:p>
    <w:p w:rsidRPr="00AD23B4" w:rsidR="007C50FC" w:rsidP="007C50FC" w:rsidRDefault="00590321" w14:paraId="06D2CD0F" w14:textId="320DD9E2">
      <w:pPr>
        <w:suppressAutoHyphens/>
        <w:rPr>
          <w:rFonts w:cs="Arial"/>
        </w:rPr>
      </w:pPr>
      <w:r>
        <w:rPr>
          <w:rFonts w:cs="Arial"/>
        </w:rPr>
        <w:t>Het</w:t>
      </w:r>
      <w:r w:rsidRPr="00AD23B4">
        <w:rPr>
          <w:rFonts w:cs="Arial"/>
        </w:rPr>
        <w:t xml:space="preserve"> </w:t>
      </w:r>
      <w:r w:rsidRPr="00AD23B4" w:rsidR="007C50FC">
        <w:rPr>
          <w:rFonts w:cs="Arial"/>
        </w:rPr>
        <w:t xml:space="preserve">beoordelingsteam </w:t>
      </w:r>
      <w:r>
        <w:rPr>
          <w:rFonts w:cs="Arial"/>
        </w:rPr>
        <w:t xml:space="preserve">heeft </w:t>
      </w:r>
      <w:r w:rsidRPr="00AD23B4" w:rsidR="007C50FC">
        <w:rPr>
          <w:rFonts w:cs="Arial"/>
        </w:rPr>
        <w:t xml:space="preserve">een voorzitter die zelf niet beoordeelt. De voorzitter verdeelt de beoordelingstaken onder de leden van </w:t>
      </w:r>
      <w:r w:rsidR="00BD4FD1">
        <w:rPr>
          <w:rFonts w:cs="Arial"/>
        </w:rPr>
        <w:t>het</w:t>
      </w:r>
      <w:r w:rsidRPr="00AD23B4" w:rsidR="00BD4FD1">
        <w:rPr>
          <w:rFonts w:cs="Arial"/>
        </w:rPr>
        <w:t xml:space="preserve"> </w:t>
      </w:r>
      <w:r w:rsidRPr="00AD23B4" w:rsidR="007C50FC">
        <w:rPr>
          <w:rFonts w:cs="Arial"/>
        </w:rPr>
        <w:t>beoordelingsteam.</w:t>
      </w:r>
    </w:p>
    <w:p w:rsidRPr="009A6A23" w:rsidR="007C50FC" w:rsidP="007C50FC" w:rsidRDefault="007C50FC" w14:paraId="60116E8C" w14:textId="77777777">
      <w:pPr>
        <w:suppressAutoHyphens/>
        <w:ind w:left="567"/>
        <w:rPr>
          <w:rFonts w:cs="Arial"/>
        </w:rPr>
      </w:pPr>
    </w:p>
    <w:p w:rsidRPr="009A6A23" w:rsidR="007C50FC" w:rsidP="007C50FC" w:rsidRDefault="007C50FC" w14:paraId="17CAD03F" w14:textId="74881198">
      <w:pPr>
        <w:suppressAutoHyphens/>
      </w:pPr>
      <w:r w:rsidRPr="009A6A23">
        <w:t xml:space="preserve">De beoordeling van de Inschrijvingen op de </w:t>
      </w:r>
      <w:r>
        <w:t>sub-</w:t>
      </w:r>
      <w:r w:rsidRPr="009A6A23">
        <w:t>gunningscriteria vindt plaats in twee fasen:</w:t>
      </w:r>
    </w:p>
    <w:p w:rsidRPr="009A6A23" w:rsidR="007C50FC" w:rsidP="007C50FC" w:rsidRDefault="007C50FC" w14:paraId="5AA3BD21" w14:textId="77777777">
      <w:pPr>
        <w:tabs>
          <w:tab w:val="left" w:pos="1134"/>
          <w:tab w:val="left" w:pos="1418"/>
          <w:tab w:val="left" w:pos="1985"/>
          <w:tab w:val="left" w:pos="2127"/>
          <w:tab w:val="right" w:pos="9332"/>
        </w:tabs>
        <w:suppressAutoHyphens/>
        <w:ind w:left="1134"/>
      </w:pPr>
    </w:p>
    <w:p w:rsidRPr="00555C9B" w:rsidR="00AB1487" w:rsidP="00AB1487" w:rsidRDefault="00AB1487" w14:paraId="6C9DE727" w14:textId="761254F9">
      <w:pPr>
        <w:tabs>
          <w:tab w:val="left" w:pos="1134"/>
          <w:tab w:val="left" w:pos="1418"/>
          <w:tab w:val="left" w:pos="1985"/>
          <w:tab w:val="left" w:pos="2127"/>
          <w:tab w:val="right" w:pos="9332"/>
        </w:tabs>
        <w:suppressAutoHyphens/>
        <w:ind w:left="1134" w:hanging="1134"/>
        <w:rPr>
          <w:i/>
        </w:rPr>
      </w:pPr>
      <w:r w:rsidRPr="00555C9B">
        <w:rPr>
          <w:i/>
        </w:rPr>
        <w:t>Fase 1: beoordeling kwalitatieve gunningscriteria (1</w:t>
      </w:r>
      <w:r w:rsidR="00A956F2">
        <w:rPr>
          <w:i/>
        </w:rPr>
        <w:t xml:space="preserve"> en 2</w:t>
      </w:r>
      <w:r w:rsidRPr="00555C9B">
        <w:rPr>
          <w:i/>
        </w:rPr>
        <w:t xml:space="preserve">) </w:t>
      </w:r>
    </w:p>
    <w:p w:rsidRPr="00555C9B" w:rsidR="00AB1487" w:rsidP="00AB1487" w:rsidRDefault="00AB1487" w14:paraId="00B9B716" w14:textId="5C36AED5">
      <w:pPr>
        <w:suppressAutoHyphens/>
      </w:pPr>
      <w:bookmarkStart w:name="_Hlk185502965" w:id="125"/>
      <w:r w:rsidRPr="00555C9B">
        <w:t xml:space="preserve">De </w:t>
      </w:r>
      <w:r>
        <w:t xml:space="preserve">geldige </w:t>
      </w:r>
      <w:r w:rsidRPr="00555C9B">
        <w:t xml:space="preserve">Inschrijvingen </w:t>
      </w:r>
      <w:r>
        <w:t xml:space="preserve">van niet uitgesloten Inschrijvers </w:t>
      </w:r>
      <w:r w:rsidRPr="00555C9B">
        <w:t xml:space="preserve">worden door het beoordelingsteam allereerst beoordeeld op basis van de kwalitatieve gunningscriteria. </w:t>
      </w:r>
      <w:bookmarkEnd w:id="125"/>
      <w:r w:rsidRPr="00555C9B">
        <w:t xml:space="preserve">De inschrijfprijzen (voor gunningscriterium </w:t>
      </w:r>
      <w:r w:rsidR="00A956F2">
        <w:t>3</w:t>
      </w:r>
      <w:r w:rsidRPr="00555C9B">
        <w:t xml:space="preserve"> (prijs)) zijn bij de beoordelaars op dat moment nog niet bekend.</w:t>
      </w:r>
    </w:p>
    <w:p w:rsidRPr="00555C9B" w:rsidR="00AB1487" w:rsidP="00AB1487" w:rsidRDefault="00AB1487" w14:paraId="6FB17A77" w14:textId="77777777">
      <w:pPr>
        <w:tabs>
          <w:tab w:val="left" w:pos="1134"/>
          <w:tab w:val="left" w:pos="1418"/>
          <w:tab w:val="left" w:pos="1985"/>
          <w:tab w:val="left" w:pos="2127"/>
          <w:tab w:val="right" w:pos="9332"/>
        </w:tabs>
        <w:suppressAutoHyphens/>
        <w:ind w:left="1134"/>
      </w:pPr>
    </w:p>
    <w:p w:rsidRPr="009A6A23" w:rsidR="007C50FC" w:rsidP="007C50FC" w:rsidRDefault="007C50FC" w14:paraId="1928077A" w14:textId="77777777">
      <w:pPr>
        <w:suppressAutoHyphens/>
        <w:rPr>
          <w:u w:val="single"/>
        </w:rPr>
      </w:pPr>
      <w:r>
        <w:rPr>
          <w:u w:val="single"/>
        </w:rPr>
        <w:t>C</w:t>
      </w:r>
      <w:r w:rsidRPr="009A6A23">
        <w:rPr>
          <w:u w:val="single"/>
        </w:rPr>
        <w:t>onsensus</w:t>
      </w:r>
    </w:p>
    <w:p w:rsidRPr="009A6A23" w:rsidR="007C50FC" w:rsidP="007C50FC" w:rsidRDefault="007C50FC" w14:paraId="2FB393E9" w14:textId="77777777">
      <w:pPr>
        <w:suppressAutoHyphens/>
      </w:pPr>
      <w:r w:rsidRPr="009A6A23">
        <w:t xml:space="preserve">Alle leden van het beoordelingsteam beoordelen </w:t>
      </w:r>
      <w:r>
        <w:t xml:space="preserve">eerst </w:t>
      </w:r>
      <w:r w:rsidRPr="009A6A23">
        <w:t xml:space="preserve">individueel iedere Inschrijving per kwalitatief </w:t>
      </w:r>
      <w:r>
        <w:t>sub-</w:t>
      </w:r>
      <w:r w:rsidRPr="009A6A23">
        <w:t xml:space="preserve">gunningscriterium en kennen per kwalitatief </w:t>
      </w:r>
      <w:r>
        <w:t>sub-</w:t>
      </w:r>
      <w:r w:rsidRPr="009A6A23">
        <w:t xml:space="preserve">gunningscriterium een beoordelingswaardering toe. </w:t>
      </w:r>
    </w:p>
    <w:p w:rsidRPr="009A6A23" w:rsidR="007C50FC" w:rsidP="007C50FC" w:rsidRDefault="007C50FC" w14:paraId="173E1B27" w14:textId="77777777">
      <w:pPr>
        <w:tabs>
          <w:tab w:val="left" w:pos="1134"/>
          <w:tab w:val="left" w:pos="1418"/>
          <w:tab w:val="left" w:pos="1985"/>
          <w:tab w:val="left" w:pos="2127"/>
          <w:tab w:val="right" w:pos="9332"/>
        </w:tabs>
        <w:suppressAutoHyphens/>
        <w:ind w:left="1134"/>
      </w:pPr>
    </w:p>
    <w:p w:rsidRPr="009A6A23" w:rsidR="007C50FC" w:rsidP="007C50FC" w:rsidRDefault="007C50FC" w14:paraId="44A461E9" w14:textId="77777777">
      <w:pPr>
        <w:suppressAutoHyphens/>
      </w:pPr>
      <w:r w:rsidRPr="009A6A23">
        <w:t xml:space="preserve">Na de individuele beoordeling van de Inschrijvingen op de kwalitatieve </w:t>
      </w:r>
      <w:r>
        <w:t>sub-</w:t>
      </w:r>
      <w:r w:rsidRPr="009A6A23">
        <w:t xml:space="preserve">gunningscriteria vindt een plenaire bijeenkomst van het beoordelingsteam plaats. Tijdens deze bijeenkomst worden de individuele beoordelingsresultaten per kwalitatief </w:t>
      </w:r>
      <w:r>
        <w:t>sub-</w:t>
      </w:r>
      <w:r w:rsidRPr="009A6A23">
        <w:t xml:space="preserve">gunningscriterium besproken. Per kwalitatief </w:t>
      </w:r>
      <w:r>
        <w:t>sub-</w:t>
      </w:r>
      <w:r w:rsidRPr="009A6A23">
        <w:t>gunningscriterium bespreken de betrokken beoordelaars hun individuele beoordelingen en motiveren zij waarom zij tot een bepaalde beoordeling zijn gekomen.</w:t>
      </w:r>
    </w:p>
    <w:p w:rsidRPr="009A6A23" w:rsidR="007C50FC" w:rsidP="007C50FC" w:rsidRDefault="007C50FC" w14:paraId="714D1111" w14:textId="77777777">
      <w:pPr>
        <w:suppressAutoHyphens/>
      </w:pPr>
    </w:p>
    <w:p w:rsidRPr="009A6A23" w:rsidR="007C50FC" w:rsidP="007C50FC" w:rsidRDefault="007C50FC" w14:paraId="3494A8D2" w14:textId="77777777">
      <w:pPr>
        <w:suppressAutoHyphens/>
      </w:pPr>
      <w:r w:rsidRPr="009A6A23">
        <w:t xml:space="preserve">Hierna wordt door de beoordelaars in consensus een </w:t>
      </w:r>
      <w:r>
        <w:t xml:space="preserve">waardering </w:t>
      </w:r>
      <w:r w:rsidRPr="009A6A23">
        <w:t xml:space="preserve">per </w:t>
      </w:r>
      <w:r>
        <w:t xml:space="preserve">kwalitatief </w:t>
      </w:r>
      <w:r w:rsidRPr="009A6A23">
        <w:t xml:space="preserve">subgunningscriterium vastgesteld. Afronding van punten vindt indien nodig plaats op twee cijfers achter de komma. </w:t>
      </w:r>
    </w:p>
    <w:p w:rsidRPr="009A6A23" w:rsidR="007C50FC" w:rsidP="007C50FC" w:rsidRDefault="007C50FC" w14:paraId="461D4CA4" w14:textId="77777777">
      <w:pPr>
        <w:tabs>
          <w:tab w:val="left" w:pos="1134"/>
          <w:tab w:val="left" w:pos="2685"/>
        </w:tabs>
        <w:suppressAutoHyphens/>
        <w:ind w:left="1134"/>
      </w:pPr>
      <w:r w:rsidRPr="009A6A23">
        <w:tab/>
      </w:r>
    </w:p>
    <w:p w:rsidRPr="009A6A23" w:rsidR="007C50FC" w:rsidP="007C50FC" w:rsidRDefault="007C50FC" w14:paraId="6D120CF0" w14:textId="77777777">
      <w:pPr>
        <w:suppressAutoHyphens/>
      </w:pPr>
      <w:r w:rsidRPr="009A6A23">
        <w:t xml:space="preserve">Nadat de definitieve beoordeling per kwalitatief </w:t>
      </w:r>
      <w:r>
        <w:t>sub-</w:t>
      </w:r>
      <w:r w:rsidRPr="009A6A23">
        <w:t xml:space="preserve">gunningscriterium is vastgesteld, wordt per kwalitatief </w:t>
      </w:r>
      <w:r>
        <w:t>sub</w:t>
      </w:r>
      <w:r w:rsidRPr="009A6A23">
        <w:t>gunningscriterium aan de Inschrijving het bijbehorende aantal punten toegekend. Per Inschrijver wordt dan ook de totale score voor de kwalitatieve subgunningscriteria gezamenlijk vastgesteld.</w:t>
      </w:r>
    </w:p>
    <w:p w:rsidRPr="009A6A23" w:rsidR="007C50FC" w:rsidP="007C50FC" w:rsidRDefault="007C50FC" w14:paraId="68873976" w14:textId="77777777">
      <w:pPr>
        <w:rPr>
          <w:rFonts w:cs="Arial"/>
        </w:rPr>
      </w:pPr>
    </w:p>
    <w:p w:rsidRPr="00555C9B" w:rsidR="00A44B1B" w:rsidP="00A44B1B" w:rsidRDefault="00A44B1B" w14:paraId="4F655382" w14:textId="10D9865D">
      <w:pPr>
        <w:tabs>
          <w:tab w:val="left" w:pos="1134"/>
          <w:tab w:val="left" w:pos="1418"/>
          <w:tab w:val="left" w:pos="1985"/>
          <w:tab w:val="left" w:pos="2127"/>
          <w:tab w:val="right" w:pos="9332"/>
        </w:tabs>
        <w:suppressAutoHyphens/>
        <w:ind w:left="1134" w:hanging="1134"/>
        <w:rPr>
          <w:i/>
        </w:rPr>
      </w:pPr>
      <w:r w:rsidRPr="00555C9B">
        <w:rPr>
          <w:i/>
        </w:rPr>
        <w:t xml:space="preserve">Fase 2: beoordeling gunningscriterium </w:t>
      </w:r>
      <w:r w:rsidR="00A956F2">
        <w:rPr>
          <w:i/>
        </w:rPr>
        <w:t>3</w:t>
      </w:r>
      <w:r w:rsidRPr="00555C9B">
        <w:rPr>
          <w:i/>
        </w:rPr>
        <w:t xml:space="preserve"> (prijs)</w:t>
      </w:r>
    </w:p>
    <w:p w:rsidRPr="00555C9B" w:rsidR="00A44B1B" w:rsidP="00A44B1B" w:rsidRDefault="00A44B1B" w14:paraId="7D417A0A" w14:textId="0FC8F9CD">
      <w:pPr>
        <w:suppressAutoHyphens/>
      </w:pPr>
      <w:r w:rsidRPr="00555C9B">
        <w:t>Nadat de beoordeling van de Inschrijvingen op basis van de kwalitatieve gunningscriteria heeft plaatsgevonden,</w:t>
      </w:r>
      <w:r w:rsidR="00EB6CB9">
        <w:t xml:space="preserve"> wordt het onderdeel inzake de prijs </w:t>
      </w:r>
      <w:r w:rsidR="008B54F4">
        <w:t>geopend.</w:t>
      </w:r>
      <w:r w:rsidRPr="00555C9B">
        <w:t xml:space="preserve"> </w:t>
      </w:r>
      <w:r w:rsidR="008B54F4">
        <w:t>D</w:t>
      </w:r>
      <w:r w:rsidRPr="00555C9B">
        <w:t xml:space="preserve">e Inschrijvingen </w:t>
      </w:r>
      <w:r w:rsidR="008B54F4">
        <w:t xml:space="preserve">worden </w:t>
      </w:r>
      <w:r w:rsidRPr="00555C9B">
        <w:t xml:space="preserve">beoordeeld op basis van gunningscriterium </w:t>
      </w:r>
      <w:r w:rsidR="00A956F2">
        <w:t>3</w:t>
      </w:r>
      <w:r w:rsidRPr="00555C9B">
        <w:t xml:space="preserve"> (prijs) aan de hand van de in paragraaf 9.2 bekendgemaakte formule. </w:t>
      </w:r>
      <w:r w:rsidR="00BE7554">
        <w:t>Als na de voorlopige gunning de voorlopig begunstigde Inschrijver toch een ongeldige Inschrijving zou hebben ingediend, dan handhaaft de Aanbestedende Dienst de oorspronkelijke rangorde. De opdracht wordt dan voorlopig gegund aan de in rangorde opvolgende Inschrijver.</w:t>
      </w:r>
    </w:p>
    <w:p w:rsidRPr="00555C9B" w:rsidR="00A44B1B" w:rsidP="00A44B1B" w:rsidRDefault="00A44B1B" w14:paraId="4B195840" w14:textId="77777777">
      <w:pPr>
        <w:suppressAutoHyphens/>
      </w:pPr>
    </w:p>
    <w:p w:rsidRPr="00555C9B" w:rsidR="00A44B1B" w:rsidP="00A44B1B" w:rsidRDefault="00A44B1B" w14:paraId="265B5A54" w14:textId="77777777">
      <w:pPr>
        <w:suppressAutoHyphens/>
        <w:rPr>
          <w:i/>
        </w:rPr>
      </w:pPr>
      <w:r w:rsidRPr="00555C9B">
        <w:rPr>
          <w:i/>
        </w:rPr>
        <w:t>Fase 3: Eindoordeel ter zake van het gunningscriterium economisch meest voordelige Inschrijving op basis van ‘beste prijs-kwaliteitverhouding’</w:t>
      </w:r>
    </w:p>
    <w:p w:rsidRPr="00555C9B" w:rsidR="00A44B1B" w:rsidP="00A44B1B" w:rsidRDefault="00A44B1B" w14:paraId="19A52282" w14:textId="3F0BDF32">
      <w:pPr>
        <w:suppressAutoHyphens/>
      </w:pPr>
      <w:r w:rsidRPr="00555C9B">
        <w:t xml:space="preserve">De Inschrijver die de meeste punten heeft gescoord op gunningscriterium </w:t>
      </w:r>
      <w:r w:rsidR="000F3032">
        <w:t>3</w:t>
      </w:r>
      <w:r w:rsidRPr="00555C9B">
        <w:t xml:space="preserve"> (prijs) en de kwalitatieve gunningscriteria tezamen heeft de Inschrijving met de beste prijs-kwaliteitverhouding ingediend. De Aanbestedende Dienst is voornemens om de Opdracht aan deze Inschrijver te gunnen.</w:t>
      </w:r>
    </w:p>
    <w:p w:rsidRPr="00555C9B" w:rsidR="00A44B1B" w:rsidP="00A44B1B" w:rsidRDefault="00A44B1B" w14:paraId="6F298E78" w14:textId="77777777">
      <w:pPr>
        <w:suppressAutoHyphens/>
      </w:pPr>
    </w:p>
    <w:p w:rsidRPr="00555C9B" w:rsidR="00A44B1B" w:rsidP="00A44B1B" w:rsidRDefault="00A44B1B" w14:paraId="74D79FDB" w14:textId="000C49EE">
      <w:pPr>
        <w:suppressAutoHyphens/>
      </w:pPr>
      <w:r w:rsidRPr="00555C9B">
        <w:t xml:space="preserve">Indien twee of meerdere Inschrijvingen na beoordeling als hoogste zijn geëindigd, dan is de Aanbestedende Dienst voornemens om de Opdracht te gunnen aan de Inschrijver die op gunningscriterium </w:t>
      </w:r>
      <w:r w:rsidR="000F3032">
        <w:t xml:space="preserve">1 </w:t>
      </w:r>
      <w:r w:rsidR="00E143A6">
        <w:t>‘</w:t>
      </w:r>
      <w:r w:rsidR="000F3032">
        <w:t>Start garantie</w:t>
      </w:r>
      <w:r w:rsidR="00E143A6">
        <w:t>’</w:t>
      </w:r>
      <w:r w:rsidRPr="00555C9B">
        <w:t xml:space="preserve"> de hoogste score heeft behaald. </w:t>
      </w:r>
      <w:bookmarkStart w:name="_Toc357079092" w:id="126"/>
      <w:r w:rsidRPr="00555C9B">
        <w:t xml:space="preserve">Indien twee of meerdere Inschrijvingen na beoordeling als hoogste zijn geëindigd én deze Inschrijvingen op gunningscriterium </w:t>
      </w:r>
      <w:r w:rsidR="000F3032">
        <w:t xml:space="preserve">1 </w:t>
      </w:r>
      <w:r w:rsidR="00E143A6">
        <w:t>‘</w:t>
      </w:r>
      <w:r w:rsidR="000F3032">
        <w:t>Start garantie</w:t>
      </w:r>
      <w:r w:rsidR="00E143A6">
        <w:t>’</w:t>
      </w:r>
      <w:r w:rsidRPr="00555C9B">
        <w:t xml:space="preserve"> dezelfde score hebben behaald, dan zal door middel van loting worden bepaald aan welke Inschrijver de Aanbestedende Dienst de Opdracht zal gunnen. Het protocol voor de loting wordt </w:t>
      </w:r>
      <w:r w:rsidR="00E143A6">
        <w:t xml:space="preserve">in voorkomend geval </w:t>
      </w:r>
      <w:r w:rsidRPr="00555C9B">
        <w:t xml:space="preserve">bekendgemaakt aan de </w:t>
      </w:r>
      <w:r w:rsidR="00E143A6">
        <w:t xml:space="preserve">bij een loting </w:t>
      </w:r>
      <w:r w:rsidRPr="00555C9B">
        <w:t>betrokken Inschrijvers.</w:t>
      </w:r>
      <w:r w:rsidR="00E143A6">
        <w:t xml:space="preserve"> </w:t>
      </w:r>
      <w:r w:rsidR="001B3D82">
        <w:t>I</w:t>
      </w:r>
      <w:r w:rsidRPr="00555C9B">
        <w:t xml:space="preserve">nschrijvers </w:t>
      </w:r>
      <w:r w:rsidR="00E143A6">
        <w:t>zijn niet bij de loting aanwezig</w:t>
      </w:r>
      <w:r w:rsidR="001B3D82">
        <w:t>.</w:t>
      </w:r>
    </w:p>
    <w:bookmarkEnd w:id="126"/>
    <w:p w:rsidRPr="00555C9B" w:rsidR="00A44B1B" w:rsidP="00A44B1B" w:rsidRDefault="00A44B1B" w14:paraId="0F1C869A" w14:textId="77777777">
      <w:pPr>
        <w:pStyle w:val="Lijstalinea"/>
        <w:numPr>
          <w:ilvl w:val="0"/>
          <w:numId w:val="0"/>
        </w:numPr>
        <w:suppressAutoHyphens/>
        <w:ind w:left="720"/>
      </w:pPr>
    </w:p>
    <w:p w:rsidRPr="00555C9B" w:rsidR="00A44B1B" w:rsidP="00A44B1B" w:rsidRDefault="00A44B1B" w14:paraId="5464871A" w14:textId="5CD323D8">
      <w:pPr>
        <w:suppressAutoHyphens/>
      </w:pPr>
      <w:r w:rsidRPr="00555C9B">
        <w:rPr>
          <w:i/>
        </w:rPr>
        <w:t>Fase 4:</w:t>
      </w:r>
      <w:r>
        <w:rPr>
          <w:i/>
        </w:rPr>
        <w:t xml:space="preserve"> </w:t>
      </w:r>
      <w:r w:rsidR="00A956F2">
        <w:rPr>
          <w:i/>
        </w:rPr>
        <w:t>Verificatie</w:t>
      </w:r>
      <w:r w:rsidR="00653E78">
        <w:rPr>
          <w:i/>
        </w:rPr>
        <w:t>test</w:t>
      </w:r>
    </w:p>
    <w:p w:rsidR="00DE4410" w:rsidP="003A1241" w:rsidRDefault="00A44B1B" w14:paraId="2D0738E7" w14:textId="667727C4">
      <w:pPr>
        <w:suppressAutoHyphens/>
      </w:pPr>
      <w:r w:rsidRPr="00555C9B">
        <w:t xml:space="preserve">De Aanbestedende Dienst </w:t>
      </w:r>
      <w:r>
        <w:t>heeft besloten</w:t>
      </w:r>
      <w:r w:rsidRPr="00555C9B">
        <w:t xml:space="preserve"> om tijdens de opschortende en bezwaartermijn </w:t>
      </w:r>
      <w:r w:rsidR="003F01A4">
        <w:t>door</w:t>
      </w:r>
      <w:r w:rsidRPr="00555C9B">
        <w:t xml:space="preserve"> de Inschrijver aan wie zij voornemens is de Opdracht te gunnen, een </w:t>
      </w:r>
      <w:r w:rsidR="0015152F">
        <w:t>ver</w:t>
      </w:r>
      <w:r w:rsidR="003A1241">
        <w:t>ificatietest</w:t>
      </w:r>
      <w:r>
        <w:t xml:space="preserve"> te laten </w:t>
      </w:r>
      <w:r w:rsidR="003F01A4">
        <w:t>uitvoeren.</w:t>
      </w:r>
      <w:r w:rsidRPr="00555C9B">
        <w:t xml:space="preserve"> </w:t>
      </w:r>
      <w:r w:rsidR="00DE4410">
        <w:t xml:space="preserve">De </w:t>
      </w:r>
      <w:r w:rsidR="003A1241">
        <w:t xml:space="preserve">verificatietest </w:t>
      </w:r>
      <w:r w:rsidR="00DE4410">
        <w:t xml:space="preserve">is bedoeld om praktisch te toetsen of de aangeboden oplossing </w:t>
      </w:r>
      <w:r w:rsidR="003A1241">
        <w:t xml:space="preserve">voldoet aan het Programma van Eisen en de aangeboden </w:t>
      </w:r>
      <w:r w:rsidR="002C5E1C">
        <w:t>I</w:t>
      </w:r>
      <w:r w:rsidR="003A1241">
        <w:t xml:space="preserve">nschrijving van de Inschrijver. </w:t>
      </w:r>
      <w:r w:rsidR="00EC5657">
        <w:t>De verificatietest wordt uitgevoerd volgens het protocol in bijlage 5.</w:t>
      </w:r>
    </w:p>
    <w:p w:rsidR="00886CBD" w:rsidP="00A44B1B" w:rsidRDefault="00886CBD" w14:paraId="3C2F3D58" w14:textId="7715D455">
      <w:pPr>
        <w:suppressAutoHyphens/>
      </w:pPr>
      <w:bookmarkStart w:name="_Hlk185503038" w:id="127"/>
    </w:p>
    <w:p w:rsidR="00A44B1B" w:rsidP="00A44B1B" w:rsidRDefault="00A44B1B" w14:paraId="2F9FE363" w14:textId="2DD8C9BD">
      <w:pPr>
        <w:suppressAutoHyphens/>
      </w:pPr>
      <w:r w:rsidRPr="00555C9B">
        <w:t xml:space="preserve">Indien </w:t>
      </w:r>
      <w:r w:rsidR="00985887">
        <w:t xml:space="preserve">de uitkomst van de </w:t>
      </w:r>
      <w:r w:rsidR="003A1241">
        <w:t xml:space="preserve">verificatietest </w:t>
      </w:r>
      <w:r w:rsidR="00985887">
        <w:t xml:space="preserve">is dat </w:t>
      </w:r>
      <w:r w:rsidRPr="00555C9B">
        <w:t xml:space="preserve">de Inschrijving toch niet voldoet aan hetgeen in de aanbestedingsprocedure is geëist, dan wordt diens Inschrijving alsnog ongeldig verklaard. </w:t>
      </w:r>
      <w:bookmarkEnd w:id="127"/>
      <w:r w:rsidRPr="00555C9B">
        <w:t xml:space="preserve">De Aanbestedende Dienst zal vervolgens de Opdracht gunnen aan de Inschrijver die </w:t>
      </w:r>
      <w:r w:rsidR="00985887">
        <w:t>tweede is geëindigd in de aanbestedingsprocedure</w:t>
      </w:r>
      <w:r w:rsidRPr="00555C9B">
        <w:t xml:space="preserve">. </w:t>
      </w:r>
      <w:r w:rsidR="00985887">
        <w:t xml:space="preserve">Indien nummer twee </w:t>
      </w:r>
      <w:r w:rsidR="00C73034">
        <w:t xml:space="preserve">de </w:t>
      </w:r>
      <w:r w:rsidR="003A1241">
        <w:t xml:space="preserve">verificatietest </w:t>
      </w:r>
      <w:r w:rsidR="00C73034">
        <w:t xml:space="preserve">ook niet met een positief gevolg doorstaat, wordt er gegund aan de eventuele nummer drie. Dit proces </w:t>
      </w:r>
      <w:r w:rsidR="00086D40">
        <w:t xml:space="preserve">gaat door tot een partij de </w:t>
      </w:r>
      <w:r w:rsidR="003A1241">
        <w:t xml:space="preserve">verificatietest </w:t>
      </w:r>
      <w:r w:rsidR="00086D40">
        <w:t xml:space="preserve">succesvol heeft doorstaan of de Aanbestedende Dienst besluit de aanbesteding in te </w:t>
      </w:r>
      <w:r w:rsidRPr="001A1121" w:rsidR="00086D40">
        <w:t xml:space="preserve">trekken. </w:t>
      </w:r>
    </w:p>
    <w:p w:rsidR="00880202" w:rsidP="00A44B1B" w:rsidRDefault="00880202" w14:paraId="07ACEC20" w14:textId="77777777">
      <w:pPr>
        <w:suppressAutoHyphens/>
      </w:pPr>
    </w:p>
    <w:p w:rsidRPr="00555C9B" w:rsidR="00880202" w:rsidP="00A44B1B" w:rsidRDefault="00B974D0" w14:paraId="4F7AB847" w14:textId="30D7A0DF">
      <w:pPr>
        <w:suppressAutoHyphens/>
      </w:pPr>
      <w:r>
        <w:t xml:space="preserve">Voor de verificatietest mag een bedrag van €5.000 </w:t>
      </w:r>
      <w:r>
        <w:rPr>
          <w:b/>
          <w:bCs/>
        </w:rPr>
        <w:t>inclusief btw</w:t>
      </w:r>
      <w:r>
        <w:t xml:space="preserve"> in rekening worden gebracht</w:t>
      </w:r>
      <w:r w:rsidR="00825460">
        <w:t xml:space="preserve"> bij het NIPV</w:t>
      </w:r>
      <w:r w:rsidR="001D11BA">
        <w:t xml:space="preserve"> door de partij</w:t>
      </w:r>
      <w:r w:rsidR="00B17E03">
        <w:t>(en)</w:t>
      </w:r>
      <w:r w:rsidR="001D11BA">
        <w:t xml:space="preserve"> die de verificatietest ondergaa</w:t>
      </w:r>
      <w:r w:rsidR="00B17E03">
        <w:t>t/ondergaan</w:t>
      </w:r>
      <w:r w:rsidR="001D11BA">
        <w:t xml:space="preserve">. </w:t>
      </w:r>
    </w:p>
    <w:p w:rsidR="00A44B1B" w:rsidP="00A44B1B" w:rsidRDefault="00A44B1B" w14:paraId="23E318DF" w14:textId="77777777">
      <w:pPr>
        <w:suppressAutoHyphens/>
        <w:rPr>
          <w:i/>
          <w:iCs/>
        </w:rPr>
      </w:pPr>
    </w:p>
    <w:p w:rsidRPr="00555C9B" w:rsidR="00A44B1B" w:rsidP="00A44B1B" w:rsidRDefault="00A44B1B" w14:paraId="5A3DD690" w14:textId="77777777">
      <w:pPr>
        <w:suppressAutoHyphens/>
        <w:rPr>
          <w:i/>
          <w:iCs/>
        </w:rPr>
      </w:pPr>
      <w:r w:rsidRPr="00555C9B">
        <w:rPr>
          <w:i/>
          <w:iCs/>
        </w:rPr>
        <w:t>Fase 5: Definitieve gunning</w:t>
      </w:r>
    </w:p>
    <w:p w:rsidRPr="00555C9B" w:rsidR="00A44B1B" w:rsidP="00A44B1B" w:rsidRDefault="00A44B1B" w14:paraId="115D2AF5" w14:textId="72F049D1">
      <w:pPr>
        <w:suppressAutoHyphens/>
      </w:pPr>
      <w:r w:rsidRPr="00555C9B">
        <w:t xml:space="preserve">Na beoordeling van de bewijsstukken en </w:t>
      </w:r>
      <w:r w:rsidR="00985887">
        <w:t xml:space="preserve">de </w:t>
      </w:r>
      <w:r w:rsidR="00C0458A">
        <w:t>verificatietest</w:t>
      </w:r>
      <w:r w:rsidRPr="00555C9B">
        <w:t xml:space="preserve">, kan de Aanbestedende Dienst overgaan tot de definitieve gunning. Daartoe wordt de Overeenkomst door beide partijen ondertekend. De Aanbestedende Dienst wijst erop dat de Overeenkomst pas is gesloten en de Opdracht dus pas definitief is gegund wanneer de Overeenkomst door alle contractpartijen rechtsgeldig is ondertekend. </w:t>
      </w:r>
    </w:p>
    <w:p w:rsidR="00A80048" w:rsidP="00A80048" w:rsidRDefault="00A80048" w14:paraId="47E651EB" w14:textId="77777777">
      <w:pPr>
        <w:pStyle w:val="KopBijlage"/>
      </w:pPr>
      <w:bookmarkStart w:name="_Toc205383364" w:id="128"/>
      <w:r>
        <w:t xml:space="preserve">Bijlage </w:t>
      </w:r>
      <w:r w:rsidR="00337293">
        <w:t>1</w:t>
      </w:r>
      <w:r>
        <w:t xml:space="preserve"> Overzicht bijlagen</w:t>
      </w:r>
      <w:bookmarkEnd w:id="128"/>
      <w:r>
        <w:t xml:space="preserve"> </w:t>
      </w:r>
    </w:p>
    <w:p w:rsidR="00A80048" w:rsidP="00A80048" w:rsidRDefault="00A80048" w14:paraId="69E18FAB" w14:textId="77777777">
      <w:pPr>
        <w:rPr>
          <w:i/>
        </w:rPr>
      </w:pPr>
    </w:p>
    <w:p w:rsidRPr="00A80048" w:rsidR="00A80048" w:rsidP="00A80048" w:rsidRDefault="00A80048" w14:paraId="0D517129" w14:textId="77777777">
      <w:pPr>
        <w:rPr>
          <w:iCs/>
        </w:rPr>
      </w:pPr>
      <w:r>
        <w:rPr>
          <w:iCs/>
        </w:rPr>
        <w:t>Alle bijlagen die opgenomen zijn in het overzicht zijn separaat terug te vinden op TenderNed</w:t>
      </w:r>
      <w:r w:rsidR="007C0D02">
        <w:rPr>
          <w:iCs/>
        </w:rPr>
        <w:t xml:space="preserve"> en maken deel uit van deze aanbestedingsprocedure</w:t>
      </w:r>
      <w:r>
        <w:rPr>
          <w:iCs/>
        </w:rPr>
        <w:t xml:space="preserve">. </w:t>
      </w:r>
    </w:p>
    <w:p w:rsidR="00A80048" w:rsidP="00A80048" w:rsidRDefault="00A80048" w14:paraId="086EE3CD" w14:textId="77777777"/>
    <w:tbl>
      <w:tblPr>
        <w:tblStyle w:val="Tabelraster"/>
        <w:tblW w:w="0" w:type="auto"/>
        <w:tblLook w:val="04A0" w:firstRow="1" w:lastRow="0" w:firstColumn="1" w:lastColumn="0" w:noHBand="0" w:noVBand="1"/>
      </w:tblPr>
      <w:tblGrid>
        <w:gridCol w:w="1099"/>
        <w:gridCol w:w="7112"/>
      </w:tblGrid>
      <w:tr w:rsidR="00FD1D9D" w14:paraId="455817C2" w14:textId="77777777">
        <w:trPr>
          <w:cnfStyle w:val="100000000000" w:firstRow="1" w:lastRow="0" w:firstColumn="0" w:lastColumn="0" w:oddVBand="0" w:evenVBand="0" w:oddHBand="0" w:evenHBand="0" w:firstRowFirstColumn="0" w:firstRowLastColumn="0" w:lastRowFirstColumn="0" w:lastRowLastColumn="0"/>
        </w:trPr>
        <w:tc>
          <w:tcPr>
            <w:tcW w:w="8211" w:type="dxa"/>
            <w:gridSpan w:val="2"/>
          </w:tcPr>
          <w:p w:rsidR="00FD1D9D" w:rsidP="00A80048" w:rsidRDefault="00FD1D9D" w14:paraId="2125E1E7" w14:textId="77777777">
            <w:r w:rsidRPr="00FD1D9D">
              <w:rPr>
                <w:b/>
                <w:bCs/>
              </w:rPr>
              <w:t>Bijlagen op TenderNed</w:t>
            </w:r>
          </w:p>
        </w:tc>
      </w:tr>
      <w:tr w:rsidR="00337293" w:rsidTr="00FD1D9D" w14:paraId="31A694EB"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337293" w:rsidP="00A80048" w:rsidRDefault="00337293" w14:paraId="5F945A32" w14:textId="77777777">
            <w:r>
              <w:t>Bijlage 1</w:t>
            </w:r>
          </w:p>
        </w:tc>
        <w:tc>
          <w:tcPr>
            <w:tcW w:w="7112" w:type="dxa"/>
          </w:tcPr>
          <w:p w:rsidR="00337293" w:rsidP="00A80048" w:rsidRDefault="00337293" w14:paraId="59551F82" w14:textId="77777777">
            <w:r>
              <w:t>Checklist Inschrijving</w:t>
            </w:r>
          </w:p>
        </w:tc>
      </w:tr>
      <w:tr w:rsidR="00FD1D9D" w:rsidTr="00FD1D9D" w14:paraId="0CB9536B"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FD1D9D" w:rsidP="00A80048" w:rsidRDefault="006E53CC" w14:paraId="5EABDB47" w14:textId="77777777">
            <w:r>
              <w:t>Bijlage 2</w:t>
            </w:r>
          </w:p>
        </w:tc>
        <w:tc>
          <w:tcPr>
            <w:tcW w:w="7112" w:type="dxa"/>
          </w:tcPr>
          <w:p w:rsidR="00FD1D9D" w:rsidP="00A80048" w:rsidRDefault="00FD1D9D" w14:paraId="02081FD1" w14:textId="77777777">
            <w:r>
              <w:t>Standaardformulier vragen</w:t>
            </w:r>
          </w:p>
        </w:tc>
      </w:tr>
      <w:tr w:rsidR="00FD1D9D" w:rsidTr="00FD1D9D" w14:paraId="3F8547B4"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FD1D9D" w:rsidP="00A80048" w:rsidRDefault="006E53CC" w14:paraId="3CC1F615" w14:textId="77777777">
            <w:r>
              <w:t>Bijlage 3</w:t>
            </w:r>
          </w:p>
        </w:tc>
        <w:tc>
          <w:tcPr>
            <w:tcW w:w="7112" w:type="dxa"/>
          </w:tcPr>
          <w:p w:rsidR="00FD1D9D" w:rsidP="00A80048" w:rsidRDefault="00FD1D9D" w14:paraId="780A55AA" w14:textId="77777777">
            <w:r>
              <w:t>Concept Overeenkomst</w:t>
            </w:r>
          </w:p>
        </w:tc>
      </w:tr>
      <w:tr w:rsidR="00FD1D9D" w:rsidTr="00FD1D9D" w14:paraId="508A8239"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FD1D9D" w:rsidP="00A80048" w:rsidRDefault="006E53CC" w14:paraId="771CA26C" w14:textId="77777777">
            <w:r>
              <w:t>Bijlage 4</w:t>
            </w:r>
          </w:p>
        </w:tc>
        <w:tc>
          <w:tcPr>
            <w:tcW w:w="7112" w:type="dxa"/>
          </w:tcPr>
          <w:p w:rsidR="00FD1D9D" w:rsidP="00A80048" w:rsidRDefault="00FD1D9D" w14:paraId="209007DE" w14:textId="77777777">
            <w:r>
              <w:t>Inkoopvoorwaarden</w:t>
            </w:r>
          </w:p>
        </w:tc>
      </w:tr>
      <w:tr w:rsidR="00FD1D9D" w:rsidTr="00FD1D9D" w14:paraId="0B1F08DF"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FD1D9D" w:rsidP="00A80048" w:rsidRDefault="006E53CC" w14:paraId="6CB2B5D9" w14:textId="77777777">
            <w:r>
              <w:t>Bijlage 5</w:t>
            </w:r>
          </w:p>
        </w:tc>
        <w:tc>
          <w:tcPr>
            <w:tcW w:w="7112" w:type="dxa"/>
          </w:tcPr>
          <w:p w:rsidR="00FD1D9D" w:rsidP="00A80048" w:rsidRDefault="00866E6F" w14:paraId="1EF72A50" w14:textId="0773D208">
            <w:r>
              <w:t>Protocol verificatietest</w:t>
            </w:r>
          </w:p>
        </w:tc>
      </w:tr>
      <w:tr w:rsidR="00FD1D9D" w:rsidTr="00FD1D9D" w14:paraId="71D724B8"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FD1D9D" w:rsidP="00A80048" w:rsidRDefault="006E53CC" w14:paraId="40A40344" w14:textId="77777777">
            <w:r>
              <w:t>Bijlage 6</w:t>
            </w:r>
          </w:p>
        </w:tc>
        <w:tc>
          <w:tcPr>
            <w:tcW w:w="7112" w:type="dxa"/>
          </w:tcPr>
          <w:p w:rsidR="00FD1D9D" w:rsidP="00A80048" w:rsidRDefault="006E53CC" w14:paraId="6F1E20A4" w14:textId="77777777">
            <w:r>
              <w:t>Formulier referentieopdracht</w:t>
            </w:r>
          </w:p>
        </w:tc>
      </w:tr>
      <w:tr w:rsidR="00FD1D9D" w:rsidTr="00FD1D9D" w14:paraId="03523968"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FD1D9D" w:rsidP="00A80048" w:rsidRDefault="006E53CC" w14:paraId="65A88B78" w14:textId="77777777">
            <w:r>
              <w:t>Bijlage 7</w:t>
            </w:r>
          </w:p>
        </w:tc>
        <w:tc>
          <w:tcPr>
            <w:tcW w:w="7112" w:type="dxa"/>
          </w:tcPr>
          <w:p w:rsidR="00FD1D9D" w:rsidP="00A80048" w:rsidRDefault="006E53CC" w14:paraId="0DFB78B4" w14:textId="77777777">
            <w:r>
              <w:t>Programma van Eisen</w:t>
            </w:r>
          </w:p>
        </w:tc>
      </w:tr>
      <w:tr w:rsidR="006E53CC" w:rsidTr="00FD1D9D" w14:paraId="5EF42BE8"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6E53CC" w:rsidP="00A80048" w:rsidRDefault="006E53CC" w14:paraId="0470FE1C" w14:textId="77777777">
            <w:r>
              <w:t>Bijlage 8</w:t>
            </w:r>
          </w:p>
        </w:tc>
        <w:tc>
          <w:tcPr>
            <w:tcW w:w="7112" w:type="dxa"/>
          </w:tcPr>
          <w:p w:rsidR="006E53CC" w:rsidP="00A80048" w:rsidRDefault="007C0D02" w14:paraId="7DD13BE8" w14:textId="77777777">
            <w:r>
              <w:t>Conformiteitenverklaring</w:t>
            </w:r>
          </w:p>
        </w:tc>
      </w:tr>
      <w:tr w:rsidR="006E53CC" w:rsidTr="00FD1D9D" w14:paraId="4E0C5A97"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6E53CC" w:rsidP="00A80048" w:rsidRDefault="006E53CC" w14:paraId="58453EEB" w14:textId="77777777">
            <w:r>
              <w:t>Bijlage 9</w:t>
            </w:r>
          </w:p>
        </w:tc>
        <w:tc>
          <w:tcPr>
            <w:tcW w:w="7112" w:type="dxa"/>
          </w:tcPr>
          <w:p w:rsidR="006E53CC" w:rsidP="00A80048" w:rsidRDefault="000E7236" w14:paraId="738B9CD4" w14:textId="2F6B93FC">
            <w:r>
              <w:t>Verklaring middelen derde</w:t>
            </w:r>
          </w:p>
        </w:tc>
      </w:tr>
      <w:tr w:rsidR="006E53CC" w:rsidTr="00FD1D9D" w14:paraId="1046FE5A"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6E53CC" w:rsidP="00A80048" w:rsidRDefault="007C0D02" w14:paraId="4AFC2A26" w14:textId="77777777">
            <w:r>
              <w:t>Bijlage 10</w:t>
            </w:r>
          </w:p>
        </w:tc>
        <w:tc>
          <w:tcPr>
            <w:tcW w:w="7112" w:type="dxa"/>
          </w:tcPr>
          <w:p w:rsidR="006E53CC" w:rsidP="00A80048" w:rsidRDefault="007C0D02" w14:paraId="46E9BEBC" w14:textId="77777777">
            <w:r w:rsidRPr="00555C9B">
              <w:t>Procedure klachtenafhandeling bij (EU) aanbestedingen door de Aanbestedende Dienst</w:t>
            </w:r>
          </w:p>
        </w:tc>
      </w:tr>
      <w:tr w:rsidR="006E53CC" w:rsidTr="00FD1D9D" w14:paraId="6F0B2AF9"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6E53CC" w:rsidP="00A80048" w:rsidRDefault="007C0D02" w14:paraId="0E988430" w14:textId="77777777">
            <w:r>
              <w:t>Bijlage 11</w:t>
            </w:r>
          </w:p>
        </w:tc>
        <w:tc>
          <w:tcPr>
            <w:tcW w:w="7112" w:type="dxa"/>
          </w:tcPr>
          <w:p w:rsidR="006E53CC" w:rsidP="00A80048" w:rsidRDefault="007C0D02" w14:paraId="0C13CF7A" w14:textId="77777777">
            <w:r w:rsidRPr="00555C9B">
              <w:t>Klachtenformulier aanbestedingen</w:t>
            </w:r>
          </w:p>
        </w:tc>
      </w:tr>
      <w:tr w:rsidR="006E53CC" w:rsidTr="00FD1D9D" w14:paraId="37E76B1D"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6E53CC" w:rsidP="00A80048" w:rsidRDefault="007C0D02" w14:paraId="1A7C8061" w14:textId="77777777">
            <w:r>
              <w:t>Bijlage 12</w:t>
            </w:r>
          </w:p>
        </w:tc>
        <w:tc>
          <w:tcPr>
            <w:tcW w:w="7112" w:type="dxa"/>
          </w:tcPr>
          <w:p w:rsidR="006E53CC" w:rsidP="00A80048" w:rsidRDefault="007C0D02" w14:paraId="3555CEB3" w14:textId="77777777">
            <w:r w:rsidRPr="00555C9B">
              <w:t>Prijzenblad</w:t>
            </w:r>
          </w:p>
        </w:tc>
      </w:tr>
      <w:tr w:rsidR="006E53CC" w:rsidTr="00FD1D9D" w14:paraId="7B6AE9A8"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6E53CC" w:rsidP="00A80048" w:rsidRDefault="007C0D02" w14:paraId="44051951" w14:textId="77777777">
            <w:r>
              <w:t>Bijlage 13</w:t>
            </w:r>
          </w:p>
        </w:tc>
        <w:tc>
          <w:tcPr>
            <w:tcW w:w="7112" w:type="dxa"/>
          </w:tcPr>
          <w:p w:rsidR="006E53CC" w:rsidP="00A80048" w:rsidRDefault="007C0D02" w14:paraId="12A913D7" w14:textId="287A914D">
            <w:r w:rsidRPr="00555C9B">
              <w:t>Service Level Agreement</w:t>
            </w:r>
          </w:p>
        </w:tc>
      </w:tr>
      <w:tr w:rsidR="006E53CC" w:rsidTr="00FD1D9D" w14:paraId="386CFEB4"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6E53CC" w:rsidP="00A80048" w:rsidRDefault="007C0D02" w14:paraId="4F92C7F8" w14:textId="77777777">
            <w:r>
              <w:t>Bijlage 14</w:t>
            </w:r>
          </w:p>
        </w:tc>
        <w:tc>
          <w:tcPr>
            <w:tcW w:w="7112" w:type="dxa"/>
          </w:tcPr>
          <w:p w:rsidR="006E53CC" w:rsidP="00A80048" w:rsidRDefault="007C0D02" w14:paraId="4D0E4B56" w14:textId="77777777">
            <w:r w:rsidRPr="00555C9B">
              <w:t>Stappenplan digitaal inschrijven op overheidsopdrachten via TenderNed</w:t>
            </w:r>
          </w:p>
        </w:tc>
      </w:tr>
      <w:tr w:rsidR="006E53CC" w:rsidTr="00FD1D9D" w14:paraId="49FC871B" w14:textId="77777777">
        <w:trPr>
          <w:cnfStyle w:val="000000100000" w:firstRow="0" w:lastRow="0" w:firstColumn="0" w:lastColumn="0" w:oddVBand="0" w:evenVBand="0" w:oddHBand="1" w:evenHBand="0" w:firstRowFirstColumn="0" w:firstRowLastColumn="0" w:lastRowFirstColumn="0" w:lastRowLastColumn="0"/>
        </w:trPr>
        <w:tc>
          <w:tcPr>
            <w:tcW w:w="1099" w:type="dxa"/>
          </w:tcPr>
          <w:p w:rsidR="006E53CC" w:rsidP="00A80048" w:rsidRDefault="007C0D02" w14:paraId="48741EC6" w14:textId="77777777">
            <w:r>
              <w:t>Bijlage 15</w:t>
            </w:r>
          </w:p>
        </w:tc>
        <w:tc>
          <w:tcPr>
            <w:tcW w:w="7112" w:type="dxa"/>
          </w:tcPr>
          <w:p w:rsidR="006E53CC" w:rsidP="00A80048" w:rsidRDefault="007C0D02" w14:paraId="29CD7489" w14:textId="77777777">
            <w:r>
              <w:t>Verklaring samenwerkingsverband</w:t>
            </w:r>
          </w:p>
        </w:tc>
      </w:tr>
      <w:tr w:rsidR="00240365" w:rsidTr="00FD1D9D" w14:paraId="50CB1BD9" w14:textId="77777777">
        <w:trPr>
          <w:cnfStyle w:val="000000010000" w:firstRow="0" w:lastRow="0" w:firstColumn="0" w:lastColumn="0" w:oddVBand="0" w:evenVBand="0" w:oddHBand="0" w:evenHBand="1" w:firstRowFirstColumn="0" w:firstRowLastColumn="0" w:lastRowFirstColumn="0" w:lastRowLastColumn="0"/>
        </w:trPr>
        <w:tc>
          <w:tcPr>
            <w:tcW w:w="1099" w:type="dxa"/>
          </w:tcPr>
          <w:p w:rsidR="00240365" w:rsidP="00A80048" w:rsidRDefault="00240365" w14:paraId="74AFC1B6" w14:textId="5ABC9E5D">
            <w:r>
              <w:t>Bijlage 16</w:t>
            </w:r>
          </w:p>
        </w:tc>
        <w:tc>
          <w:tcPr>
            <w:tcW w:w="7112" w:type="dxa"/>
          </w:tcPr>
          <w:p w:rsidR="00240365" w:rsidP="00A80048" w:rsidRDefault="00240365" w14:paraId="15A75DED" w14:textId="5FC21A9D">
            <w:r>
              <w:t>Verslag marktconsultatie</w:t>
            </w:r>
          </w:p>
        </w:tc>
      </w:tr>
    </w:tbl>
    <w:p w:rsidRPr="00A80048" w:rsidR="00A80048" w:rsidP="00A80048" w:rsidRDefault="00A80048" w14:paraId="4752DA4F" w14:textId="77777777"/>
    <w:p w:rsidRPr="00555C9B" w:rsidR="00A80048" w:rsidP="00A80048" w:rsidRDefault="00A80048" w14:paraId="508DDA72" w14:textId="77777777">
      <w:pPr>
        <w:suppressAutoHyphens/>
        <w:spacing w:line="240" w:lineRule="auto"/>
        <w:rPr>
          <w:rFonts w:cs="Arial"/>
        </w:rPr>
      </w:pPr>
    </w:p>
    <w:p w:rsidRPr="00555C9B" w:rsidR="00A80048" w:rsidP="00A80048" w:rsidRDefault="00A80048" w14:paraId="6D0227C5" w14:textId="77777777">
      <w:pPr>
        <w:suppressAutoHyphens/>
        <w:spacing w:line="276" w:lineRule="auto"/>
        <w:rPr>
          <w:rFonts w:cs="Arial"/>
        </w:rPr>
      </w:pPr>
    </w:p>
    <w:p w:rsidRPr="00555C9B" w:rsidR="00A80048" w:rsidP="00A80048" w:rsidRDefault="00A80048" w14:paraId="06BCA10A" w14:textId="77777777">
      <w:pPr>
        <w:suppressAutoHyphens/>
        <w:spacing w:line="240" w:lineRule="auto"/>
        <w:rPr>
          <w:rFonts w:cs="Arial"/>
        </w:rPr>
      </w:pPr>
    </w:p>
    <w:p w:rsidRPr="00555C9B" w:rsidR="00A80048" w:rsidP="00A80048" w:rsidRDefault="00A80048" w14:paraId="0D7AA27A" w14:textId="77777777">
      <w:pPr>
        <w:suppressAutoHyphens/>
      </w:pPr>
    </w:p>
    <w:p w:rsidRPr="00555C9B" w:rsidR="00A80048" w:rsidP="00A80048" w:rsidRDefault="00A80048" w14:paraId="34B7CB62" w14:textId="77777777">
      <w:pPr>
        <w:suppressAutoHyphens/>
      </w:pPr>
    </w:p>
    <w:p w:rsidRPr="00A80048" w:rsidR="00A80048" w:rsidP="00A80048" w:rsidRDefault="00A80048" w14:paraId="0A0236C3" w14:textId="77777777"/>
    <w:sectPr w:rsidRPr="00A80048" w:rsidR="00A80048" w:rsidSect="0079487B">
      <w:headerReference w:type="default" r:id="rId19"/>
      <w:footerReference w:type="even" r:id="rId20"/>
      <w:footerReference w:type="default" r:id="rId21"/>
      <w:headerReference w:type="first" r:id="rId22"/>
      <w:footerReference w:type="first" r:id="rId23"/>
      <w:type w:val="oddPage"/>
      <w:pgSz w:w="11907" w:h="16840" w:orient="portrait" w:code="9"/>
      <w:pgMar w:top="1418" w:right="1418" w:bottom="1474" w:left="2268" w:header="0" w:footer="284"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449" w:rsidRDefault="005C1449" w14:paraId="4DF0E04C" w14:textId="77777777">
      <w:r>
        <w:separator/>
      </w:r>
    </w:p>
    <w:p w:rsidR="005C1449" w:rsidRDefault="005C1449" w14:paraId="2CD9A58B" w14:textId="77777777"/>
  </w:endnote>
  <w:endnote w:type="continuationSeparator" w:id="0">
    <w:p w:rsidR="005C1449" w:rsidRDefault="005C1449" w14:paraId="7370BF5B" w14:textId="77777777">
      <w:r>
        <w:continuationSeparator/>
      </w:r>
    </w:p>
    <w:p w:rsidR="005C1449" w:rsidRDefault="005C1449" w14:paraId="4769FCBF" w14:textId="77777777"/>
  </w:endnote>
  <w:endnote w:type="continuationNotice" w:id="1">
    <w:p w:rsidR="005C1449" w:rsidRDefault="005C1449" w14:paraId="74C1665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DB375A" w:rsidTr="00875BD4" w14:paraId="500744E1" w14:textId="77777777">
      <w:tc>
        <w:tcPr>
          <w:tcW w:w="7573" w:type="dxa"/>
        </w:tcPr>
        <w:p w:rsidR="00DB375A" w:rsidP="00DB375A" w:rsidRDefault="00DB375A" w14:paraId="0D5E6AA5" w14:textId="77777777">
          <w:pPr>
            <w:pStyle w:val="Huisstijl-Voettekst"/>
          </w:pPr>
          <w:r>
            <w:t>IFV</w:t>
          </w:r>
          <w:r>
            <w:tab/>
          </w:r>
          <w:r>
            <w:fldChar w:fldCharType="begin"/>
          </w:r>
          <w:r>
            <w:instrText xml:space="preserve"> DOCPROPERTY txtTitel</w:instrText>
          </w:r>
          <w:r>
            <w:fldChar w:fldCharType="separate"/>
          </w:r>
          <w:r w:rsidR="0097318F">
            <w:t xml:space="preserve">Beschrijvend document Europese openbare aanbestedingsprocedure [onderwerp] </w:t>
          </w:r>
          <w:r>
            <w:fldChar w:fldCharType="end"/>
          </w:r>
        </w:p>
      </w:tc>
      <w:tc>
        <w:tcPr>
          <w:tcW w:w="644" w:type="dxa"/>
        </w:tcPr>
        <w:p w:rsidR="00DB375A" w:rsidP="00DB375A" w:rsidRDefault="00DB375A" w14:paraId="7A2DF46F" w14:textId="77777777">
          <w:pPr>
            <w:pStyle w:val="Huisstijl-Pagina"/>
          </w:pPr>
          <w:r>
            <w:fldChar w:fldCharType="begin"/>
          </w:r>
          <w:r>
            <w:instrText xml:space="preserve"> PAGE   \* MERGEFORMAT </w:instrText>
          </w:r>
          <w:r>
            <w:fldChar w:fldCharType="separate"/>
          </w:r>
          <w:r>
            <w:t>4</w:t>
          </w:r>
          <w:r>
            <w:fldChar w:fldCharType="end"/>
          </w:r>
          <w:r>
            <w:t>/</w:t>
          </w:r>
          <w:r>
            <w:fldChar w:fldCharType="begin"/>
          </w:r>
          <w:r>
            <w:instrText>NUMPAGES   \* MERGEFORMAT</w:instrText>
          </w:r>
          <w:r>
            <w:fldChar w:fldCharType="separate"/>
          </w:r>
          <w:r>
            <w:t>6</w:t>
          </w:r>
          <w:r>
            <w:fldChar w:fldCharType="end"/>
          </w:r>
        </w:p>
      </w:tc>
    </w:tr>
  </w:tbl>
  <w:p w:rsidR="00DB375A" w:rsidP="00DB375A" w:rsidRDefault="00DB375A" w14:paraId="41EA3DA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13"/>
      <w:gridCol w:w="704"/>
    </w:tblGrid>
    <w:tr w:rsidR="00DB375A" w:rsidTr="00770EE2" w14:paraId="507C7B69" w14:textId="77777777">
      <w:tc>
        <w:tcPr>
          <w:tcW w:w="7513" w:type="dxa"/>
        </w:tcPr>
        <w:p w:rsidR="00DB375A" w:rsidP="00DB375A" w:rsidRDefault="0003056E" w14:paraId="306799AB" w14:textId="77777777">
          <w:pPr>
            <w:pStyle w:val="Huisstijl-Voettekst"/>
            <w:ind w:left="0" w:firstLine="0"/>
          </w:pPr>
          <w:r>
            <w:rPr>
              <w:noProof/>
            </w:rPr>
            <w:drawing>
              <wp:inline distT="0" distB="0" distL="0" distR="0" wp14:anchorId="2598CC2C" wp14:editId="71DD7565">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p>
      </w:tc>
      <w:tc>
        <w:tcPr>
          <w:tcW w:w="704" w:type="dxa"/>
          <w:vAlign w:val="bottom"/>
        </w:tcPr>
        <w:p w:rsidR="00DB375A" w:rsidP="00DB375A" w:rsidRDefault="00DB375A" w14:paraId="117F0200" w14:textId="77777777">
          <w:pPr>
            <w:pStyle w:val="Huisstijl-Pagina"/>
          </w:pPr>
          <w:r>
            <w:fldChar w:fldCharType="begin"/>
          </w:r>
          <w:r>
            <w:instrText xml:space="preserve"> PAGE   \* MERGEFORMAT </w:instrText>
          </w:r>
          <w:r>
            <w:fldChar w:fldCharType="separate"/>
          </w:r>
          <w:r w:rsidR="001E7090">
            <w:t>3</w:t>
          </w:r>
          <w:r>
            <w:fldChar w:fldCharType="end"/>
          </w:r>
          <w:r>
            <w:t>/</w:t>
          </w:r>
          <w:r>
            <w:fldChar w:fldCharType="begin"/>
          </w:r>
          <w:r>
            <w:instrText>NUMPAGES   \* MERGEFORMAT</w:instrText>
          </w:r>
          <w:r>
            <w:fldChar w:fldCharType="separate"/>
          </w:r>
          <w:r w:rsidR="001E7090">
            <w:t>6</w:t>
          </w:r>
          <w:r>
            <w:fldChar w:fldCharType="end"/>
          </w:r>
        </w:p>
      </w:tc>
    </w:tr>
  </w:tbl>
  <w:p w:rsidR="00DB375A" w:rsidP="00DB375A" w:rsidRDefault="00DB375A" w14:paraId="52975AF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40"/>
      <w:gridCol w:w="2740"/>
      <w:gridCol w:w="2740"/>
    </w:tblGrid>
    <w:tr w:rsidR="7D9273F7" w:rsidTr="7D9273F7" w14:paraId="2B2DC7C2" w14:textId="77777777">
      <w:trPr>
        <w:trHeight w:val="300"/>
      </w:trPr>
      <w:tc>
        <w:tcPr>
          <w:tcW w:w="2740" w:type="dxa"/>
        </w:tcPr>
        <w:p w:rsidR="7D9273F7" w:rsidP="7D9273F7" w:rsidRDefault="7D9273F7" w14:paraId="0974812E" w14:textId="3173A226">
          <w:pPr>
            <w:pStyle w:val="Koptekst"/>
            <w:ind w:left="-115"/>
          </w:pPr>
        </w:p>
      </w:tc>
      <w:tc>
        <w:tcPr>
          <w:tcW w:w="2740" w:type="dxa"/>
        </w:tcPr>
        <w:p w:rsidR="7D9273F7" w:rsidP="7D9273F7" w:rsidRDefault="7D9273F7" w14:paraId="29A9229B" w14:textId="6302A43E">
          <w:pPr>
            <w:pStyle w:val="Koptekst"/>
            <w:jc w:val="center"/>
          </w:pPr>
        </w:p>
      </w:tc>
      <w:tc>
        <w:tcPr>
          <w:tcW w:w="2740" w:type="dxa"/>
        </w:tcPr>
        <w:p w:rsidR="7D9273F7" w:rsidP="7D9273F7" w:rsidRDefault="7D9273F7" w14:paraId="01210A2A" w14:textId="34D79287">
          <w:pPr>
            <w:pStyle w:val="Koptekst"/>
            <w:ind w:right="-115"/>
            <w:jc w:val="right"/>
          </w:pPr>
        </w:p>
      </w:tc>
    </w:tr>
  </w:tbl>
  <w:p w:rsidR="00A407CE" w:rsidRDefault="00A407CE" w14:paraId="77C8FD27" w14:textId="343BD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94D07" w:rsidR="005C1449" w:rsidP="00A00378" w:rsidRDefault="005C1449" w14:paraId="5D395800" w14:textId="77777777">
      <w:pPr>
        <w:spacing w:line="200" w:lineRule="exact"/>
        <w:rPr>
          <w:sz w:val="2"/>
        </w:rPr>
      </w:pPr>
      <w:r>
        <w:separator/>
      </w:r>
    </w:p>
  </w:footnote>
  <w:footnote w:type="continuationSeparator" w:id="0">
    <w:p w:rsidR="005C1449" w:rsidRDefault="005C1449" w14:paraId="0ABDAC3C" w14:textId="77777777">
      <w:r>
        <w:continuationSeparator/>
      </w:r>
    </w:p>
    <w:p w:rsidR="005C1449" w:rsidRDefault="005C1449" w14:paraId="29851FCA" w14:textId="77777777"/>
  </w:footnote>
  <w:footnote w:type="continuationNotice" w:id="1">
    <w:p w:rsidR="005C1449" w:rsidRDefault="005C1449" w14:paraId="5D895284" w14:textId="77777777">
      <w:pPr>
        <w:spacing w:line="240" w:lineRule="auto"/>
      </w:pPr>
    </w:p>
  </w:footnote>
  <w:footnote w:id="2">
    <w:p w:rsidR="00900981" w:rsidP="00900981" w:rsidRDefault="00900981" w14:paraId="3C08B69F" w14:textId="77777777">
      <w:pPr>
        <w:pStyle w:val="Voetnoottekst"/>
      </w:pPr>
      <w:r>
        <w:rPr>
          <w:rStyle w:val="Voetnootmarkering"/>
        </w:rPr>
        <w:footnoteRef/>
      </w:r>
      <w:r>
        <w:t xml:space="preserve"> </w:t>
      </w:r>
      <w:r w:rsidRPr="00A70C78">
        <w:t>https://www.tenderned.nl/cms/tenderned-voor-ondernemingen</w:t>
      </w:r>
    </w:p>
  </w:footnote>
  <w:footnote w:id="3">
    <w:p w:rsidR="00900981" w:rsidP="00900981" w:rsidRDefault="00900981" w14:paraId="3552BAAB" w14:textId="77777777">
      <w:pPr>
        <w:pStyle w:val="Voetnoottekst"/>
      </w:pPr>
      <w:r>
        <w:rPr>
          <w:rStyle w:val="Voetnootmarkering"/>
        </w:rPr>
        <w:footnoteRef/>
      </w:r>
      <w:r>
        <w:t xml:space="preserve"> </w:t>
      </w:r>
      <w:r w:rsidRPr="00A70C78">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40"/>
      <w:gridCol w:w="2740"/>
      <w:gridCol w:w="2740"/>
    </w:tblGrid>
    <w:tr w:rsidR="7D9273F7" w:rsidTr="7D9273F7" w14:paraId="63AB4FF5" w14:textId="77777777">
      <w:trPr>
        <w:trHeight w:val="300"/>
      </w:trPr>
      <w:tc>
        <w:tcPr>
          <w:tcW w:w="2740" w:type="dxa"/>
        </w:tcPr>
        <w:p w:rsidR="7D9273F7" w:rsidP="7D9273F7" w:rsidRDefault="7D9273F7" w14:paraId="6ED23102" w14:textId="3C911364">
          <w:pPr>
            <w:pStyle w:val="Koptekst"/>
            <w:ind w:left="-115"/>
          </w:pPr>
        </w:p>
      </w:tc>
      <w:tc>
        <w:tcPr>
          <w:tcW w:w="2740" w:type="dxa"/>
        </w:tcPr>
        <w:p w:rsidR="7D9273F7" w:rsidP="7D9273F7" w:rsidRDefault="7D9273F7" w14:paraId="26238DE5" w14:textId="43C8491A">
          <w:pPr>
            <w:pStyle w:val="Koptekst"/>
            <w:jc w:val="center"/>
          </w:pPr>
        </w:p>
      </w:tc>
      <w:tc>
        <w:tcPr>
          <w:tcW w:w="2740" w:type="dxa"/>
        </w:tcPr>
        <w:p w:rsidR="7D9273F7" w:rsidP="7D9273F7" w:rsidRDefault="7D9273F7" w14:paraId="34D538C1" w14:textId="5DA031FC">
          <w:pPr>
            <w:pStyle w:val="Koptekst"/>
            <w:ind w:right="-115"/>
            <w:jc w:val="right"/>
          </w:pPr>
        </w:p>
      </w:tc>
    </w:tr>
  </w:tbl>
  <w:p w:rsidR="00A407CE" w:rsidRDefault="00A407CE" w14:paraId="68D6FB3F" w14:textId="7F0B5E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D45D79" w:rsidTr="00B63252" w14:paraId="13123FF0" w14:textId="77777777">
      <w:trPr>
        <w:cantSplit/>
        <w:trHeight w:val="2721"/>
      </w:trPr>
      <w:tc>
        <w:tcPr>
          <w:tcW w:w="11907" w:type="dxa"/>
        </w:tcPr>
        <w:p w:rsidR="00D45D79" w:rsidP="00D45D79" w:rsidRDefault="00291153" w14:paraId="7722F4B2" w14:textId="77777777">
          <w:r>
            <w:rPr>
              <w:noProof/>
            </w:rPr>
            <w:drawing>
              <wp:anchor distT="0" distB="0" distL="114300" distR="114300" simplePos="0" relativeHeight="251658240" behindDoc="0" locked="0" layoutInCell="1" allowOverlap="1" wp14:anchorId="57ED937C" wp14:editId="503FD62F">
                <wp:simplePos x="0" y="0"/>
                <wp:positionH relativeFrom="column">
                  <wp:posOffset>494937</wp:posOffset>
                </wp:positionH>
                <wp:positionV relativeFrom="paragraph">
                  <wp:posOffset>0</wp:posOffset>
                </wp:positionV>
                <wp:extent cx="2933700" cy="113728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137285"/>
                        </a:xfrm>
                        <a:prstGeom prst="rect">
                          <a:avLst/>
                        </a:prstGeom>
                        <a:noFill/>
                        <a:ln>
                          <a:noFill/>
                        </a:ln>
                      </pic:spPr>
                    </pic:pic>
                  </a:graphicData>
                </a:graphic>
              </wp:anchor>
            </w:drawing>
          </w:r>
        </w:p>
      </w:tc>
    </w:tr>
  </w:tbl>
  <w:p w:rsidR="002E6ECD" w:rsidP="00B63252" w:rsidRDefault="002E6ECD" w14:paraId="3E2B83A0" w14:textId="77777777"/>
  <w:tbl>
    <w:tblPr>
      <w:tblW w:w="8023" w:type="dxa"/>
      <w:tblInd w:w="-454" w:type="dxa"/>
      <w:tblLayout w:type="fixed"/>
      <w:tblCellMar>
        <w:left w:w="0" w:type="dxa"/>
        <w:right w:w="0" w:type="dxa"/>
      </w:tblCellMar>
      <w:tblLook w:val="0000" w:firstRow="0" w:lastRow="0" w:firstColumn="0" w:lastColumn="0" w:noHBand="0" w:noVBand="0"/>
    </w:tblPr>
    <w:tblGrid>
      <w:gridCol w:w="8023"/>
    </w:tblGrid>
    <w:tr w:rsidR="00C21A6F" w:rsidTr="0079487B" w14:paraId="1897DC01" w14:textId="77777777">
      <w:trPr>
        <w:trHeight w:val="936" w:hRule="exact"/>
      </w:trPr>
      <w:tc>
        <w:tcPr>
          <w:tcW w:w="8023" w:type="dxa"/>
        </w:tcPr>
        <w:p w:rsidR="00C21A6F" w:rsidP="00C21A6F" w:rsidRDefault="00C21A6F" w14:paraId="266555C3" w14:textId="77777777">
          <w:pPr>
            <w:rPr>
              <w:noProof/>
            </w:rPr>
          </w:pPr>
        </w:p>
      </w:tc>
    </w:tr>
    <w:bookmarkStart w:name="bmNaw" w:colFirst="0" w:colLast="0" w:id="129"/>
    <w:tr w:rsidR="002E6ECD" w:rsidTr="0079487B" w14:paraId="69F1A10A" w14:textId="77777777">
      <w:trPr>
        <w:trHeight w:val="4275"/>
      </w:trPr>
      <w:tc>
        <w:tcPr>
          <w:tcW w:w="8023" w:type="dxa"/>
        </w:tcPr>
        <w:p w:rsidRPr="00385CAD" w:rsidR="00385CAD" w:rsidP="00BE2DA7" w:rsidRDefault="008F25FE" w14:paraId="14DFD4C1" w14:textId="2F43FCBF">
          <w:pPr>
            <w:pStyle w:val="Huisstijl-Titel"/>
            <w:suppressAutoHyphens/>
          </w:pPr>
          <w:r>
            <w:fldChar w:fldCharType="begin"/>
          </w:r>
          <w:r w:rsidR="00984B4D">
            <w:instrText xml:space="preserve"> DOCPROPERTY txtTitel</w:instrText>
          </w:r>
          <w:r>
            <w:fldChar w:fldCharType="separate"/>
          </w:r>
          <w:r w:rsidR="0097318F">
            <w:t xml:space="preserve">Beschrijvend </w:t>
          </w:r>
          <w:r w:rsidR="00084382">
            <w:t>D</w:t>
          </w:r>
          <w:r w:rsidR="0097318F">
            <w:t xml:space="preserve">ocument Europese openbare aanbestedingsprocedure </w:t>
          </w:r>
          <w:r w:rsidRPr="002900B6" w:rsidR="002900B6">
            <w:t>Online managed dataplatform t.b.v. verrijkte geo- en metadata</w:t>
          </w:r>
          <w:r>
            <w:fldChar w:fldCharType="end"/>
          </w:r>
        </w:p>
      </w:tc>
    </w:tr>
    <w:tr w:rsidR="002B2BC9" w:rsidTr="0079487B" w14:paraId="45A36926" w14:textId="77777777">
      <w:trPr>
        <w:trHeight w:val="468" w:hRule="exact"/>
      </w:trPr>
      <w:tc>
        <w:tcPr>
          <w:tcW w:w="8023" w:type="dxa"/>
        </w:tcPr>
        <w:p w:rsidR="002B2BC9" w:rsidP="002B2BC9" w:rsidRDefault="002B2BC9" w14:paraId="75BBEDEC" w14:textId="77777777">
          <w:pPr>
            <w:rPr>
              <w:noProof/>
            </w:rPr>
          </w:pPr>
        </w:p>
      </w:tc>
    </w:tr>
    <w:tr w:rsidR="002B2BC9" w:rsidTr="0079487B" w14:paraId="5C72E34C" w14:textId="77777777">
      <w:trPr>
        <w:trHeight w:val="148"/>
      </w:trPr>
      <w:tc>
        <w:tcPr>
          <w:tcW w:w="8023" w:type="dxa"/>
        </w:tcPr>
        <w:p w:rsidR="002B2BC9" w:rsidP="00B30800" w:rsidRDefault="008F25FE" w14:paraId="2905BEBB" w14:textId="1FB21A58">
          <w:pPr>
            <w:pStyle w:val="Huisstijl-Versie"/>
            <w:rPr>
              <w:noProof/>
            </w:rPr>
          </w:pPr>
          <w:r>
            <w:fldChar w:fldCharType="begin"/>
          </w:r>
          <w:r w:rsidR="00D614B8">
            <w:instrText xml:space="preserve"> DOCPROPERTY "txtVersie" </w:instrText>
          </w:r>
          <w:r>
            <w:fldChar w:fldCharType="end"/>
          </w:r>
        </w:p>
      </w:tc>
    </w:tr>
    <w:bookmarkEnd w:id="129"/>
  </w:tbl>
  <w:p w:rsidR="00363D03" w:rsidP="00C96388" w:rsidRDefault="00363D03" w14:paraId="3E86D2D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B34"/>
    <w:multiLevelType w:val="multilevel"/>
    <w:tmpl w:val="B1EE93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66716F"/>
    <w:multiLevelType w:val="hybridMultilevel"/>
    <w:tmpl w:val="27D8FF06"/>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09245CC9"/>
    <w:multiLevelType w:val="multilevel"/>
    <w:tmpl w:val="A3C8B3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1D0679"/>
    <w:multiLevelType w:val="multilevel"/>
    <w:tmpl w:val="C98C935E"/>
    <w:numStyleLink w:val="Huisstijl-Opsomming"/>
  </w:abstractNum>
  <w:abstractNum w:abstractNumId="4" w15:restartNumberingAfterBreak="0">
    <w:nsid w:val="100B3C24"/>
    <w:multiLevelType w:val="multilevel"/>
    <w:tmpl w:val="FC8E6D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B43D51"/>
    <w:multiLevelType w:val="hybridMultilevel"/>
    <w:tmpl w:val="11DC88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8872CFF"/>
    <w:multiLevelType w:val="multilevel"/>
    <w:tmpl w:val="D44846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AE4728"/>
    <w:multiLevelType w:val="hybridMultilevel"/>
    <w:tmpl w:val="1AD4BFA4"/>
    <w:lvl w:ilvl="0" w:tplc="9A2C39C6">
      <w:start w:val="1"/>
      <w:numFmt w:val="decimal"/>
      <w:lvlText w:val="%1."/>
      <w:lvlJc w:val="left"/>
      <w:pPr>
        <w:ind w:left="1020" w:hanging="360"/>
      </w:pPr>
    </w:lvl>
    <w:lvl w:ilvl="1" w:tplc="AE207A1A">
      <w:start w:val="1"/>
      <w:numFmt w:val="decimal"/>
      <w:lvlText w:val="%2."/>
      <w:lvlJc w:val="left"/>
      <w:pPr>
        <w:ind w:left="1020" w:hanging="360"/>
      </w:pPr>
    </w:lvl>
    <w:lvl w:ilvl="2" w:tplc="C034266C">
      <w:start w:val="1"/>
      <w:numFmt w:val="decimal"/>
      <w:lvlText w:val="%3."/>
      <w:lvlJc w:val="left"/>
      <w:pPr>
        <w:ind w:left="1020" w:hanging="360"/>
      </w:pPr>
    </w:lvl>
    <w:lvl w:ilvl="3" w:tplc="83F0F096">
      <w:start w:val="1"/>
      <w:numFmt w:val="decimal"/>
      <w:lvlText w:val="%4."/>
      <w:lvlJc w:val="left"/>
      <w:pPr>
        <w:ind w:left="1020" w:hanging="360"/>
      </w:pPr>
    </w:lvl>
    <w:lvl w:ilvl="4" w:tplc="2F0C41EC">
      <w:start w:val="1"/>
      <w:numFmt w:val="decimal"/>
      <w:lvlText w:val="%5."/>
      <w:lvlJc w:val="left"/>
      <w:pPr>
        <w:ind w:left="1020" w:hanging="360"/>
      </w:pPr>
    </w:lvl>
    <w:lvl w:ilvl="5" w:tplc="50E60A8A">
      <w:start w:val="1"/>
      <w:numFmt w:val="decimal"/>
      <w:lvlText w:val="%6."/>
      <w:lvlJc w:val="left"/>
      <w:pPr>
        <w:ind w:left="1020" w:hanging="360"/>
      </w:pPr>
    </w:lvl>
    <w:lvl w:ilvl="6" w:tplc="C19294A8">
      <w:start w:val="1"/>
      <w:numFmt w:val="decimal"/>
      <w:lvlText w:val="%7."/>
      <w:lvlJc w:val="left"/>
      <w:pPr>
        <w:ind w:left="1020" w:hanging="360"/>
      </w:pPr>
    </w:lvl>
    <w:lvl w:ilvl="7" w:tplc="57A2574A">
      <w:start w:val="1"/>
      <w:numFmt w:val="decimal"/>
      <w:lvlText w:val="%8."/>
      <w:lvlJc w:val="left"/>
      <w:pPr>
        <w:ind w:left="1020" w:hanging="360"/>
      </w:pPr>
    </w:lvl>
    <w:lvl w:ilvl="8" w:tplc="3B26AB22">
      <w:start w:val="1"/>
      <w:numFmt w:val="decimal"/>
      <w:lvlText w:val="%9."/>
      <w:lvlJc w:val="left"/>
      <w:pPr>
        <w:ind w:left="1020" w:hanging="360"/>
      </w:pPr>
    </w:lvl>
  </w:abstractNum>
  <w:abstractNum w:abstractNumId="8" w15:restartNumberingAfterBreak="0">
    <w:nsid w:val="1DD47A10"/>
    <w:multiLevelType w:val="multilevel"/>
    <w:tmpl w:val="6D56E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08B1CD3"/>
    <w:multiLevelType w:val="hybridMultilevel"/>
    <w:tmpl w:val="2000F6D6"/>
    <w:lvl w:ilvl="0" w:tplc="06007080">
      <w:start w:val="1"/>
      <w:numFmt w:val="bullet"/>
      <w:lvlText w:val="&gt;"/>
      <w:lvlJc w:val="left"/>
      <w:pPr>
        <w:ind w:left="36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E6266E"/>
    <w:multiLevelType w:val="hybridMultilevel"/>
    <w:tmpl w:val="FE606A8E"/>
    <w:lvl w:ilvl="0" w:tplc="06007080">
      <w:start w:val="1"/>
      <w:numFmt w:val="bullet"/>
      <w:lvlText w:val="&gt;"/>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716CEE"/>
    <w:multiLevelType w:val="hybridMultilevel"/>
    <w:tmpl w:val="53D0C2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73A0903"/>
    <w:multiLevelType w:val="hybridMultilevel"/>
    <w:tmpl w:val="B21C61E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4" w15:restartNumberingAfterBreak="0">
    <w:nsid w:val="30D9446B"/>
    <w:multiLevelType w:val="multilevel"/>
    <w:tmpl w:val="E08E4F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4C5D19"/>
    <w:multiLevelType w:val="hybridMultilevel"/>
    <w:tmpl w:val="915E5F4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6" w15:restartNumberingAfterBreak="0">
    <w:nsid w:val="32110269"/>
    <w:multiLevelType w:val="multilevel"/>
    <w:tmpl w:val="391447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EC0682"/>
    <w:multiLevelType w:val="multilevel"/>
    <w:tmpl w:val="F8E621BC"/>
    <w:lvl w:ilvl="0">
      <w:start w:val="1"/>
      <w:numFmt w:val="decimal"/>
      <w:pStyle w:val="Kop1"/>
      <w:lvlText w:val="%1"/>
      <w:lvlJc w:val="left"/>
      <w:pPr>
        <w:ind w:left="680" w:hanging="680"/>
      </w:pPr>
      <w:rPr>
        <w:rFonts w:hint="default" w:ascii="Arial" w:hAnsi="Arial"/>
        <w:color w:val="003D58"/>
        <w:sz w:val="60"/>
      </w:rPr>
    </w:lvl>
    <w:lvl w:ilvl="1">
      <w:start w:val="1"/>
      <w:numFmt w:val="decimal"/>
      <w:pStyle w:val="Kop2"/>
      <w:lvlText w:val="%1.%2"/>
      <w:lvlJc w:val="left"/>
      <w:rPr>
        <w:rFonts w:hint="default" w:ascii="Arial" w:hAnsi="Arial"/>
        <w:b w:val="0"/>
        <w:bCs w:val="0"/>
        <w:i w:val="0"/>
        <w:iCs w:val="0"/>
        <w:caps w:val="0"/>
        <w:smallCaps w:val="0"/>
        <w:strike w:val="0"/>
        <w:dstrike w:val="0"/>
        <w:noProof w:val="0"/>
        <w:vanish w:val="0"/>
        <w:color w:val="BC1413"/>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4649" w:hanging="680"/>
      </w:pPr>
      <w:rPr>
        <w:rFonts w:hint="default" w:ascii="Arial" w:hAnsi="Arial"/>
        <w:b/>
        <w:i w:val="0"/>
        <w:color w:val="BC1413"/>
        <w:sz w:val="23"/>
      </w:rPr>
    </w:lvl>
    <w:lvl w:ilvl="3">
      <w:start w:val="1"/>
      <w:numFmt w:val="upperLetter"/>
      <w:lvlRestart w:val="0"/>
      <w:pStyle w:val="Kop4"/>
      <w:lvlText w:val="%4."/>
      <w:lvlJc w:val="left"/>
      <w:pPr>
        <w:ind w:left="680" w:hanging="680"/>
      </w:pPr>
      <w:rPr>
        <w:rFonts w:hint="default" w:ascii="Arial" w:hAnsi="Arial"/>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hint="default" w:ascii="Arial" w:hAnsi="Arial"/>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565B1A"/>
    <w:multiLevelType w:val="multilevel"/>
    <w:tmpl w:val="7D128B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637DF9"/>
    <w:multiLevelType w:val="multilevel"/>
    <w:tmpl w:val="355A2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481B38"/>
    <w:multiLevelType w:val="hybridMultilevel"/>
    <w:tmpl w:val="DF0A31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8093696"/>
    <w:multiLevelType w:val="multilevel"/>
    <w:tmpl w:val="B64E5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A804406"/>
    <w:multiLevelType w:val="multilevel"/>
    <w:tmpl w:val="AE14D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5A5275"/>
    <w:multiLevelType w:val="multilevel"/>
    <w:tmpl w:val="47C4A4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E3C171D"/>
    <w:multiLevelType w:val="hybridMultilevel"/>
    <w:tmpl w:val="E14EF1B6"/>
    <w:lvl w:ilvl="0" w:tplc="06007080">
      <w:start w:val="1"/>
      <w:numFmt w:val="bullet"/>
      <w:lvlText w:val="&gt;"/>
      <w:lvlJc w:val="left"/>
      <w:pPr>
        <w:ind w:left="360" w:hanging="360"/>
      </w:pPr>
      <w:rPr>
        <w:rFonts w:hint="default" w:ascii="Times New Roman" w:hAnsi="Times New Roman" w:cs="Times New Roman"/>
      </w:rPr>
    </w:lvl>
    <w:lvl w:ilvl="1" w:tplc="211A2EA2">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hint="default" w:ascii="Arial"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1C6D23"/>
    <w:multiLevelType w:val="multilevel"/>
    <w:tmpl w:val="57B050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7B048DD"/>
    <w:multiLevelType w:val="multilevel"/>
    <w:tmpl w:val="FA9E2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717FC3"/>
    <w:multiLevelType w:val="hybridMultilevel"/>
    <w:tmpl w:val="59A215A2"/>
    <w:lvl w:ilvl="0" w:tplc="06007080">
      <w:start w:val="1"/>
      <w:numFmt w:val="bullet"/>
      <w:lvlText w:val="&gt;"/>
      <w:lvlJc w:val="left"/>
      <w:pPr>
        <w:ind w:left="36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EBA4CEB"/>
    <w:multiLevelType w:val="hybridMultilevel"/>
    <w:tmpl w:val="C1D46956"/>
    <w:lvl w:ilvl="0" w:tplc="83389A3E">
      <w:start w:val="1"/>
      <w:numFmt w:val="decimal"/>
      <w:lvlText w:val="%1."/>
      <w:lvlJc w:val="left"/>
      <w:pPr>
        <w:ind w:left="720" w:hanging="360"/>
      </w:pPr>
      <w:rPr>
        <w:rFonts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1210130"/>
    <w:multiLevelType w:val="hybridMultilevel"/>
    <w:tmpl w:val="4650DE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658F6006"/>
    <w:multiLevelType w:val="multilevel"/>
    <w:tmpl w:val="1CC65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8E267DF"/>
    <w:multiLevelType w:val="multilevel"/>
    <w:tmpl w:val="6D56E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6A1A38FE"/>
    <w:multiLevelType w:val="hybridMultilevel"/>
    <w:tmpl w:val="31D04D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6C2C207B"/>
    <w:multiLevelType w:val="hybridMultilevel"/>
    <w:tmpl w:val="C1D46956"/>
    <w:lvl w:ilvl="0" w:tplc="FFFFFFFF">
      <w:start w:val="1"/>
      <w:numFmt w:val="decimal"/>
      <w:lvlText w:val="%1."/>
      <w:lvlJc w:val="left"/>
      <w:pPr>
        <w:ind w:left="720" w:hanging="360"/>
      </w:pPr>
      <w:rPr>
        <w:rFonts w:ascii="Arial" w:hAnsi="Arial" w:eastAsia="Times New Roman"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hint="default" w:ascii="Arial" w:hAnsi="Arial"/>
        <w:sz w:val="20"/>
        <w:szCs w:val="18"/>
      </w:rPr>
    </w:lvl>
    <w:lvl w:ilvl="1">
      <w:start w:val="1"/>
      <w:numFmt w:val="bullet"/>
      <w:pStyle w:val="Lijstopsomteken2"/>
      <w:lvlText w:val="–"/>
      <w:lvlJc w:val="left"/>
      <w:pPr>
        <w:ind w:left="680" w:hanging="283"/>
      </w:pPr>
      <w:rPr>
        <w:rFonts w:hint="default" w:ascii="Arial" w:hAnsi="Arial"/>
        <w:sz w:val="20"/>
      </w:rPr>
    </w:lvl>
    <w:lvl w:ilvl="2">
      <w:start w:val="1"/>
      <w:numFmt w:val="bullet"/>
      <w:lvlText w:val="-"/>
      <w:lvlJc w:val="left"/>
      <w:pPr>
        <w:ind w:left="1080" w:hanging="360"/>
      </w:pPr>
      <w:rPr>
        <w:rFonts w:hint="default" w:ascii="Arial"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F31D04"/>
    <w:multiLevelType w:val="hybridMultilevel"/>
    <w:tmpl w:val="9BEC53B0"/>
    <w:lvl w:ilvl="0" w:tplc="06007080">
      <w:start w:val="1"/>
      <w:numFmt w:val="bullet"/>
      <w:lvlText w:val="&gt;"/>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0221B08"/>
    <w:multiLevelType w:val="multilevel"/>
    <w:tmpl w:val="7478AB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2" w15:restartNumberingAfterBreak="0">
    <w:nsid w:val="711177AC"/>
    <w:multiLevelType w:val="multilevel"/>
    <w:tmpl w:val="51B2B08E"/>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4360633"/>
    <w:multiLevelType w:val="multilevel"/>
    <w:tmpl w:val="EBBC1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74C6331"/>
    <w:multiLevelType w:val="multilevel"/>
    <w:tmpl w:val="6D56E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7B4CB298"/>
    <w:multiLevelType w:val="hybridMultilevel"/>
    <w:tmpl w:val="24AE73AA"/>
    <w:lvl w:ilvl="0" w:tplc="D20CBEAE">
      <w:start w:val="1"/>
      <w:numFmt w:val="bullet"/>
      <w:lvlText w:val=""/>
      <w:lvlJc w:val="left"/>
      <w:pPr>
        <w:ind w:left="720" w:hanging="360"/>
      </w:pPr>
      <w:rPr>
        <w:rFonts w:hint="default" w:ascii="Symbol" w:hAnsi="Symbol"/>
      </w:rPr>
    </w:lvl>
    <w:lvl w:ilvl="1" w:tplc="909ADAAE">
      <w:start w:val="1"/>
      <w:numFmt w:val="bullet"/>
      <w:lvlText w:val="o"/>
      <w:lvlJc w:val="left"/>
      <w:pPr>
        <w:ind w:left="1440" w:hanging="360"/>
      </w:pPr>
      <w:rPr>
        <w:rFonts w:hint="default" w:ascii="Courier New" w:hAnsi="Courier New"/>
      </w:rPr>
    </w:lvl>
    <w:lvl w:ilvl="2" w:tplc="E604D4B4">
      <w:start w:val="1"/>
      <w:numFmt w:val="bullet"/>
      <w:lvlText w:val=""/>
      <w:lvlJc w:val="left"/>
      <w:pPr>
        <w:ind w:left="2160" w:hanging="360"/>
      </w:pPr>
      <w:rPr>
        <w:rFonts w:hint="default" w:ascii="Wingdings" w:hAnsi="Wingdings"/>
      </w:rPr>
    </w:lvl>
    <w:lvl w:ilvl="3" w:tplc="9FF87150">
      <w:start w:val="1"/>
      <w:numFmt w:val="bullet"/>
      <w:lvlText w:val=""/>
      <w:lvlJc w:val="left"/>
      <w:pPr>
        <w:ind w:left="2880" w:hanging="360"/>
      </w:pPr>
      <w:rPr>
        <w:rFonts w:hint="default" w:ascii="Symbol" w:hAnsi="Symbol"/>
      </w:rPr>
    </w:lvl>
    <w:lvl w:ilvl="4" w:tplc="8604C59C">
      <w:start w:val="1"/>
      <w:numFmt w:val="bullet"/>
      <w:lvlText w:val="o"/>
      <w:lvlJc w:val="left"/>
      <w:pPr>
        <w:ind w:left="3600" w:hanging="360"/>
      </w:pPr>
      <w:rPr>
        <w:rFonts w:hint="default" w:ascii="Courier New" w:hAnsi="Courier New"/>
      </w:rPr>
    </w:lvl>
    <w:lvl w:ilvl="5" w:tplc="7D86E9C8">
      <w:start w:val="1"/>
      <w:numFmt w:val="bullet"/>
      <w:lvlText w:val=""/>
      <w:lvlJc w:val="left"/>
      <w:pPr>
        <w:ind w:left="4320" w:hanging="360"/>
      </w:pPr>
      <w:rPr>
        <w:rFonts w:hint="default" w:ascii="Wingdings" w:hAnsi="Wingdings"/>
      </w:rPr>
    </w:lvl>
    <w:lvl w:ilvl="6" w:tplc="637ABC64">
      <w:start w:val="1"/>
      <w:numFmt w:val="bullet"/>
      <w:lvlText w:val=""/>
      <w:lvlJc w:val="left"/>
      <w:pPr>
        <w:ind w:left="5040" w:hanging="360"/>
      </w:pPr>
      <w:rPr>
        <w:rFonts w:hint="default" w:ascii="Symbol" w:hAnsi="Symbol"/>
      </w:rPr>
    </w:lvl>
    <w:lvl w:ilvl="7" w:tplc="E682B88A">
      <w:start w:val="1"/>
      <w:numFmt w:val="bullet"/>
      <w:lvlText w:val="o"/>
      <w:lvlJc w:val="left"/>
      <w:pPr>
        <w:ind w:left="5760" w:hanging="360"/>
      </w:pPr>
      <w:rPr>
        <w:rFonts w:hint="default" w:ascii="Courier New" w:hAnsi="Courier New"/>
      </w:rPr>
    </w:lvl>
    <w:lvl w:ilvl="8" w:tplc="0CE654EE">
      <w:start w:val="1"/>
      <w:numFmt w:val="bullet"/>
      <w:lvlText w:val=""/>
      <w:lvlJc w:val="left"/>
      <w:pPr>
        <w:ind w:left="6480" w:hanging="360"/>
      </w:pPr>
      <w:rPr>
        <w:rFonts w:hint="default" w:ascii="Wingdings" w:hAnsi="Wingdings"/>
      </w:rPr>
    </w:lvl>
  </w:abstractNum>
  <w:abstractNum w:abstractNumId="46" w15:restartNumberingAfterBreak="0">
    <w:nsid w:val="7F066D8D"/>
    <w:multiLevelType w:val="hybridMultilevel"/>
    <w:tmpl w:val="FB06C79A"/>
    <w:lvl w:ilvl="0" w:tplc="06007080">
      <w:start w:val="1"/>
      <w:numFmt w:val="bullet"/>
      <w:lvlText w:val="&gt;"/>
      <w:lvlJc w:val="left"/>
      <w:pPr>
        <w:ind w:left="360" w:hanging="360"/>
      </w:pPr>
      <w:rPr>
        <w:rFonts w:hint="default" w:ascii="Times New Roman" w:hAnsi="Times New Roman" w:cs="Times New Roman"/>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760564042">
    <w:abstractNumId w:val="28"/>
  </w:num>
  <w:num w:numId="2" w16cid:durableId="1983193791">
    <w:abstractNumId w:val="18"/>
  </w:num>
  <w:num w:numId="3" w16cid:durableId="215432085">
    <w:abstractNumId w:val="39"/>
  </w:num>
  <w:num w:numId="4" w16cid:durableId="1118795161">
    <w:abstractNumId w:val="17"/>
  </w:num>
  <w:num w:numId="5" w16cid:durableId="878201045">
    <w:abstractNumId w:val="19"/>
  </w:num>
  <w:num w:numId="6" w16cid:durableId="818958587">
    <w:abstractNumId w:val="3"/>
  </w:num>
  <w:num w:numId="7" w16cid:durableId="2019966914">
    <w:abstractNumId w:val="34"/>
  </w:num>
  <w:num w:numId="8" w16cid:durableId="733621855">
    <w:abstractNumId w:val="10"/>
  </w:num>
  <w:num w:numId="9" w16cid:durableId="452595014">
    <w:abstractNumId w:val="23"/>
  </w:num>
  <w:num w:numId="10" w16cid:durableId="5638418">
    <w:abstractNumId w:val="13"/>
  </w:num>
  <w:num w:numId="11" w16cid:durableId="394818158">
    <w:abstractNumId w:val="9"/>
  </w:num>
  <w:num w:numId="12" w16cid:durableId="873926021">
    <w:abstractNumId w:val="31"/>
  </w:num>
  <w:num w:numId="13" w16cid:durableId="1232236708">
    <w:abstractNumId w:val="46"/>
  </w:num>
  <w:num w:numId="14" w16cid:durableId="1668946422">
    <w:abstractNumId w:val="32"/>
  </w:num>
  <w:num w:numId="15" w16cid:durableId="763065269">
    <w:abstractNumId w:val="27"/>
  </w:num>
  <w:num w:numId="16" w16cid:durableId="883129827">
    <w:abstractNumId w:val="40"/>
  </w:num>
  <w:num w:numId="17" w16cid:durableId="617831826">
    <w:abstractNumId w:val="36"/>
  </w:num>
  <w:num w:numId="18" w16cid:durableId="1651523595">
    <w:abstractNumId w:val="8"/>
  </w:num>
  <w:num w:numId="19" w16cid:durableId="1690835245">
    <w:abstractNumId w:val="44"/>
  </w:num>
  <w:num w:numId="20" w16cid:durableId="64880685">
    <w:abstractNumId w:val="41"/>
  </w:num>
  <w:num w:numId="21" w16cid:durableId="1435905521">
    <w:abstractNumId w:val="22"/>
  </w:num>
  <w:num w:numId="22" w16cid:durableId="1468625833">
    <w:abstractNumId w:val="38"/>
  </w:num>
  <w:num w:numId="23" w16cid:durableId="1342197963">
    <w:abstractNumId w:val="1"/>
  </w:num>
  <w:num w:numId="24" w16cid:durableId="167063151">
    <w:abstractNumId w:val="12"/>
  </w:num>
  <w:num w:numId="25" w16cid:durableId="385490118">
    <w:abstractNumId w:val="25"/>
  </w:num>
  <w:num w:numId="26" w16cid:durableId="2112620780">
    <w:abstractNumId w:val="21"/>
  </w:num>
  <w:num w:numId="27" w16cid:durableId="733969752">
    <w:abstractNumId w:val="42"/>
  </w:num>
  <w:num w:numId="28" w16cid:durableId="1308433560">
    <w:abstractNumId w:val="35"/>
  </w:num>
  <w:num w:numId="29" w16cid:durableId="514195955">
    <w:abstractNumId w:val="30"/>
  </w:num>
  <w:num w:numId="30" w16cid:durableId="1994018177">
    <w:abstractNumId w:val="11"/>
  </w:num>
  <w:num w:numId="31" w16cid:durableId="183132820">
    <w:abstractNumId w:val="5"/>
  </w:num>
  <w:num w:numId="32" w16cid:durableId="2069762671">
    <w:abstractNumId w:val="37"/>
  </w:num>
  <w:num w:numId="33" w16cid:durableId="1590845045">
    <w:abstractNumId w:val="15"/>
  </w:num>
  <w:num w:numId="34" w16cid:durableId="890267292">
    <w:abstractNumId w:val="45"/>
  </w:num>
  <w:num w:numId="35" w16cid:durableId="17235995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768135">
    <w:abstractNumId w:val="7"/>
  </w:num>
  <w:num w:numId="37" w16cid:durableId="1881670475">
    <w:abstractNumId w:val="43"/>
  </w:num>
  <w:num w:numId="38" w16cid:durableId="1849714619">
    <w:abstractNumId w:val="20"/>
  </w:num>
  <w:num w:numId="39" w16cid:durableId="1444886887">
    <w:abstractNumId w:val="16"/>
  </w:num>
  <w:num w:numId="40" w16cid:durableId="805245444">
    <w:abstractNumId w:val="26"/>
  </w:num>
  <w:num w:numId="41" w16cid:durableId="2049867734">
    <w:abstractNumId w:val="0"/>
  </w:num>
  <w:num w:numId="42" w16cid:durableId="1301378495">
    <w:abstractNumId w:val="2"/>
  </w:num>
  <w:num w:numId="43" w16cid:durableId="1176388426">
    <w:abstractNumId w:val="29"/>
  </w:num>
  <w:num w:numId="44" w16cid:durableId="680472037">
    <w:abstractNumId w:val="14"/>
  </w:num>
  <w:num w:numId="45" w16cid:durableId="921371834">
    <w:abstractNumId w:val="6"/>
  </w:num>
  <w:num w:numId="46" w16cid:durableId="718210213">
    <w:abstractNumId w:val="4"/>
  </w:num>
  <w:num w:numId="47" w16cid:durableId="153305061">
    <w:abstractNumId w:val="24"/>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97318F"/>
    <w:rsid w:val="00003152"/>
    <w:rsid w:val="00003F4F"/>
    <w:rsid w:val="00004D18"/>
    <w:rsid w:val="00010271"/>
    <w:rsid w:val="000116FA"/>
    <w:rsid w:val="00011BC2"/>
    <w:rsid w:val="00011BD6"/>
    <w:rsid w:val="0001344A"/>
    <w:rsid w:val="00013B19"/>
    <w:rsid w:val="00016464"/>
    <w:rsid w:val="00016CF5"/>
    <w:rsid w:val="000206BA"/>
    <w:rsid w:val="00020CD6"/>
    <w:rsid w:val="00020FCF"/>
    <w:rsid w:val="0002141D"/>
    <w:rsid w:val="00021965"/>
    <w:rsid w:val="0002448C"/>
    <w:rsid w:val="00024D16"/>
    <w:rsid w:val="00026006"/>
    <w:rsid w:val="0002632A"/>
    <w:rsid w:val="00027250"/>
    <w:rsid w:val="00030444"/>
    <w:rsid w:val="0003056E"/>
    <w:rsid w:val="00030E9F"/>
    <w:rsid w:val="000328A4"/>
    <w:rsid w:val="00032C77"/>
    <w:rsid w:val="0003462E"/>
    <w:rsid w:val="00034B95"/>
    <w:rsid w:val="0003683F"/>
    <w:rsid w:val="00041345"/>
    <w:rsid w:val="0004200B"/>
    <w:rsid w:val="000430D7"/>
    <w:rsid w:val="00043915"/>
    <w:rsid w:val="000443FC"/>
    <w:rsid w:val="000475F7"/>
    <w:rsid w:val="000505AB"/>
    <w:rsid w:val="00050695"/>
    <w:rsid w:val="00050938"/>
    <w:rsid w:val="00053958"/>
    <w:rsid w:val="00053C93"/>
    <w:rsid w:val="00054C01"/>
    <w:rsid w:val="00054E66"/>
    <w:rsid w:val="00055517"/>
    <w:rsid w:val="00055A6D"/>
    <w:rsid w:val="00056191"/>
    <w:rsid w:val="00056A6F"/>
    <w:rsid w:val="00057731"/>
    <w:rsid w:val="00060007"/>
    <w:rsid w:val="00062BF0"/>
    <w:rsid w:val="00063B65"/>
    <w:rsid w:val="000665FB"/>
    <w:rsid w:val="00066D9D"/>
    <w:rsid w:val="00071992"/>
    <w:rsid w:val="0007299F"/>
    <w:rsid w:val="00072A75"/>
    <w:rsid w:val="00075C9A"/>
    <w:rsid w:val="000800A5"/>
    <w:rsid w:val="0008044A"/>
    <w:rsid w:val="00081FE6"/>
    <w:rsid w:val="00083757"/>
    <w:rsid w:val="00084382"/>
    <w:rsid w:val="00084B34"/>
    <w:rsid w:val="00085B44"/>
    <w:rsid w:val="00086681"/>
    <w:rsid w:val="000868CC"/>
    <w:rsid w:val="00086D40"/>
    <w:rsid w:val="000912A6"/>
    <w:rsid w:val="00091BCE"/>
    <w:rsid w:val="000930AE"/>
    <w:rsid w:val="00095A33"/>
    <w:rsid w:val="00095D02"/>
    <w:rsid w:val="00096123"/>
    <w:rsid w:val="0009682D"/>
    <w:rsid w:val="000A22B9"/>
    <w:rsid w:val="000A3696"/>
    <w:rsid w:val="000A5424"/>
    <w:rsid w:val="000A5CF4"/>
    <w:rsid w:val="000A7905"/>
    <w:rsid w:val="000B155B"/>
    <w:rsid w:val="000B5E3F"/>
    <w:rsid w:val="000B64BE"/>
    <w:rsid w:val="000B71A2"/>
    <w:rsid w:val="000B74A5"/>
    <w:rsid w:val="000B7934"/>
    <w:rsid w:val="000B7AF9"/>
    <w:rsid w:val="000B7B8B"/>
    <w:rsid w:val="000C03EF"/>
    <w:rsid w:val="000C1F52"/>
    <w:rsid w:val="000C44B8"/>
    <w:rsid w:val="000C50BE"/>
    <w:rsid w:val="000D0E59"/>
    <w:rsid w:val="000D0E65"/>
    <w:rsid w:val="000D1D1B"/>
    <w:rsid w:val="000D1E8A"/>
    <w:rsid w:val="000D2BE8"/>
    <w:rsid w:val="000D5D4B"/>
    <w:rsid w:val="000D7B35"/>
    <w:rsid w:val="000E001C"/>
    <w:rsid w:val="000E04B3"/>
    <w:rsid w:val="000E0C87"/>
    <w:rsid w:val="000E19A7"/>
    <w:rsid w:val="000E1DE7"/>
    <w:rsid w:val="000E32D2"/>
    <w:rsid w:val="000E3B69"/>
    <w:rsid w:val="000E3BDD"/>
    <w:rsid w:val="000E49DC"/>
    <w:rsid w:val="000E6D43"/>
    <w:rsid w:val="000E7236"/>
    <w:rsid w:val="000E7637"/>
    <w:rsid w:val="000F2D50"/>
    <w:rsid w:val="000F3032"/>
    <w:rsid w:val="000F4987"/>
    <w:rsid w:val="000F5175"/>
    <w:rsid w:val="000F6492"/>
    <w:rsid w:val="000F6A9F"/>
    <w:rsid w:val="000F71E3"/>
    <w:rsid w:val="000F7FEC"/>
    <w:rsid w:val="001007D9"/>
    <w:rsid w:val="00102B3E"/>
    <w:rsid w:val="00102E2D"/>
    <w:rsid w:val="0010409B"/>
    <w:rsid w:val="00104A9D"/>
    <w:rsid w:val="00104E74"/>
    <w:rsid w:val="0010708F"/>
    <w:rsid w:val="00110315"/>
    <w:rsid w:val="00113185"/>
    <w:rsid w:val="00114C60"/>
    <w:rsid w:val="00115252"/>
    <w:rsid w:val="001153A8"/>
    <w:rsid w:val="00115F9C"/>
    <w:rsid w:val="0011607E"/>
    <w:rsid w:val="00117495"/>
    <w:rsid w:val="00121E0C"/>
    <w:rsid w:val="00122950"/>
    <w:rsid w:val="00123EC0"/>
    <w:rsid w:val="001242D5"/>
    <w:rsid w:val="001247BA"/>
    <w:rsid w:val="00125FF8"/>
    <w:rsid w:val="001261E9"/>
    <w:rsid w:val="00127575"/>
    <w:rsid w:val="0013045C"/>
    <w:rsid w:val="001327C3"/>
    <w:rsid w:val="00133759"/>
    <w:rsid w:val="00134546"/>
    <w:rsid w:val="001357C5"/>
    <w:rsid w:val="00136091"/>
    <w:rsid w:val="001363B1"/>
    <w:rsid w:val="00137548"/>
    <w:rsid w:val="0014092E"/>
    <w:rsid w:val="00140B9B"/>
    <w:rsid w:val="001427B3"/>
    <w:rsid w:val="00143BF7"/>
    <w:rsid w:val="00146BED"/>
    <w:rsid w:val="00150A1E"/>
    <w:rsid w:val="0015152F"/>
    <w:rsid w:val="00152197"/>
    <w:rsid w:val="001522BA"/>
    <w:rsid w:val="00153E91"/>
    <w:rsid w:val="001547BD"/>
    <w:rsid w:val="00154B00"/>
    <w:rsid w:val="001554C2"/>
    <w:rsid w:val="00160A37"/>
    <w:rsid w:val="00160BDD"/>
    <w:rsid w:val="00162AD3"/>
    <w:rsid w:val="00162E8B"/>
    <w:rsid w:val="00163FC1"/>
    <w:rsid w:val="001644BC"/>
    <w:rsid w:val="00164D2A"/>
    <w:rsid w:val="001675C7"/>
    <w:rsid w:val="00170724"/>
    <w:rsid w:val="0017088E"/>
    <w:rsid w:val="00173D36"/>
    <w:rsid w:val="00174C28"/>
    <w:rsid w:val="00176C0B"/>
    <w:rsid w:val="0017795E"/>
    <w:rsid w:val="00181649"/>
    <w:rsid w:val="00182788"/>
    <w:rsid w:val="00183CA4"/>
    <w:rsid w:val="00183D7B"/>
    <w:rsid w:val="00184893"/>
    <w:rsid w:val="001849FD"/>
    <w:rsid w:val="00184E98"/>
    <w:rsid w:val="0018611B"/>
    <w:rsid w:val="00186788"/>
    <w:rsid w:val="001873D9"/>
    <w:rsid w:val="00190627"/>
    <w:rsid w:val="001909DC"/>
    <w:rsid w:val="00190DC7"/>
    <w:rsid w:val="001A034C"/>
    <w:rsid w:val="001A1121"/>
    <w:rsid w:val="001A4BE5"/>
    <w:rsid w:val="001A52C6"/>
    <w:rsid w:val="001B05A8"/>
    <w:rsid w:val="001B0632"/>
    <w:rsid w:val="001B24AA"/>
    <w:rsid w:val="001B29A0"/>
    <w:rsid w:val="001B3D82"/>
    <w:rsid w:val="001B3D87"/>
    <w:rsid w:val="001B3F9D"/>
    <w:rsid w:val="001B4DDD"/>
    <w:rsid w:val="001B5056"/>
    <w:rsid w:val="001B6203"/>
    <w:rsid w:val="001C3A5B"/>
    <w:rsid w:val="001C4687"/>
    <w:rsid w:val="001C55C8"/>
    <w:rsid w:val="001C5CAB"/>
    <w:rsid w:val="001C6BB0"/>
    <w:rsid w:val="001D0921"/>
    <w:rsid w:val="001D11BA"/>
    <w:rsid w:val="001D164B"/>
    <w:rsid w:val="001D17F8"/>
    <w:rsid w:val="001D1ABF"/>
    <w:rsid w:val="001D60C5"/>
    <w:rsid w:val="001D794E"/>
    <w:rsid w:val="001E18E3"/>
    <w:rsid w:val="001E1BE7"/>
    <w:rsid w:val="001E30DB"/>
    <w:rsid w:val="001E435E"/>
    <w:rsid w:val="001E7090"/>
    <w:rsid w:val="001E7A50"/>
    <w:rsid w:val="001F046F"/>
    <w:rsid w:val="001F0E7C"/>
    <w:rsid w:val="001F47F8"/>
    <w:rsid w:val="001F5DCC"/>
    <w:rsid w:val="00201139"/>
    <w:rsid w:val="002047D5"/>
    <w:rsid w:val="00204D88"/>
    <w:rsid w:val="00204D97"/>
    <w:rsid w:val="0020591E"/>
    <w:rsid w:val="0020601C"/>
    <w:rsid w:val="0020650F"/>
    <w:rsid w:val="00206755"/>
    <w:rsid w:val="0021079F"/>
    <w:rsid w:val="00211F4D"/>
    <w:rsid w:val="00212B21"/>
    <w:rsid w:val="002135E3"/>
    <w:rsid w:val="002136A7"/>
    <w:rsid w:val="002141F8"/>
    <w:rsid w:val="00214FB8"/>
    <w:rsid w:val="00217538"/>
    <w:rsid w:val="00217D44"/>
    <w:rsid w:val="002210B0"/>
    <w:rsid w:val="0022429F"/>
    <w:rsid w:val="00224906"/>
    <w:rsid w:val="00225102"/>
    <w:rsid w:val="002273F4"/>
    <w:rsid w:val="0023005E"/>
    <w:rsid w:val="00230814"/>
    <w:rsid w:val="002348B1"/>
    <w:rsid w:val="00234C41"/>
    <w:rsid w:val="002356C1"/>
    <w:rsid w:val="00235F9A"/>
    <w:rsid w:val="00240365"/>
    <w:rsid w:val="0024147E"/>
    <w:rsid w:val="00242ABD"/>
    <w:rsid w:val="00244D11"/>
    <w:rsid w:val="00246E35"/>
    <w:rsid w:val="00247A01"/>
    <w:rsid w:val="00251228"/>
    <w:rsid w:val="002515FE"/>
    <w:rsid w:val="0025305B"/>
    <w:rsid w:val="00253D94"/>
    <w:rsid w:val="00253ED1"/>
    <w:rsid w:val="0025485E"/>
    <w:rsid w:val="00256F28"/>
    <w:rsid w:val="00260A3B"/>
    <w:rsid w:val="00261210"/>
    <w:rsid w:val="00261926"/>
    <w:rsid w:val="00261D87"/>
    <w:rsid w:val="00264553"/>
    <w:rsid w:val="0026590E"/>
    <w:rsid w:val="00271C1C"/>
    <w:rsid w:val="002721CF"/>
    <w:rsid w:val="0027298D"/>
    <w:rsid w:val="00273768"/>
    <w:rsid w:val="00274217"/>
    <w:rsid w:val="00274C6D"/>
    <w:rsid w:val="00275CDC"/>
    <w:rsid w:val="002766A5"/>
    <w:rsid w:val="00276860"/>
    <w:rsid w:val="00276E2C"/>
    <w:rsid w:val="0028705C"/>
    <w:rsid w:val="00287C0C"/>
    <w:rsid w:val="00287FC2"/>
    <w:rsid w:val="002900B6"/>
    <w:rsid w:val="00291153"/>
    <w:rsid w:val="0029417D"/>
    <w:rsid w:val="00295856"/>
    <w:rsid w:val="002A195B"/>
    <w:rsid w:val="002A1D9A"/>
    <w:rsid w:val="002A5823"/>
    <w:rsid w:val="002A599D"/>
    <w:rsid w:val="002A5D3F"/>
    <w:rsid w:val="002A7187"/>
    <w:rsid w:val="002B23E0"/>
    <w:rsid w:val="002B2BC9"/>
    <w:rsid w:val="002B422B"/>
    <w:rsid w:val="002B43E0"/>
    <w:rsid w:val="002B57CF"/>
    <w:rsid w:val="002C06A8"/>
    <w:rsid w:val="002C0CE3"/>
    <w:rsid w:val="002C1174"/>
    <w:rsid w:val="002C3CA7"/>
    <w:rsid w:val="002C59CC"/>
    <w:rsid w:val="002C5E1C"/>
    <w:rsid w:val="002C6C40"/>
    <w:rsid w:val="002C7A3B"/>
    <w:rsid w:val="002C7F54"/>
    <w:rsid w:val="002D2A45"/>
    <w:rsid w:val="002D4294"/>
    <w:rsid w:val="002D6421"/>
    <w:rsid w:val="002D70A3"/>
    <w:rsid w:val="002E0152"/>
    <w:rsid w:val="002E1027"/>
    <w:rsid w:val="002E1211"/>
    <w:rsid w:val="002E34A2"/>
    <w:rsid w:val="002E489E"/>
    <w:rsid w:val="002E4AED"/>
    <w:rsid w:val="002E4D71"/>
    <w:rsid w:val="002E5F6E"/>
    <w:rsid w:val="002E6D4C"/>
    <w:rsid w:val="002E6ECD"/>
    <w:rsid w:val="002F042F"/>
    <w:rsid w:val="002F0BE3"/>
    <w:rsid w:val="002F1FD7"/>
    <w:rsid w:val="002F45ED"/>
    <w:rsid w:val="002F50DF"/>
    <w:rsid w:val="002F5BC9"/>
    <w:rsid w:val="002F5FB2"/>
    <w:rsid w:val="00300565"/>
    <w:rsid w:val="00300BFB"/>
    <w:rsid w:val="00302864"/>
    <w:rsid w:val="00303D5F"/>
    <w:rsid w:val="00305936"/>
    <w:rsid w:val="0031240A"/>
    <w:rsid w:val="003124B2"/>
    <w:rsid w:val="0031255A"/>
    <w:rsid w:val="003170F9"/>
    <w:rsid w:val="0031719C"/>
    <w:rsid w:val="003237A6"/>
    <w:rsid w:val="00323EBF"/>
    <w:rsid w:val="003243AA"/>
    <w:rsid w:val="00326A54"/>
    <w:rsid w:val="003272EF"/>
    <w:rsid w:val="003273C8"/>
    <w:rsid w:val="0033000A"/>
    <w:rsid w:val="00331095"/>
    <w:rsid w:val="00331577"/>
    <w:rsid w:val="003319AC"/>
    <w:rsid w:val="00332642"/>
    <w:rsid w:val="00333A20"/>
    <w:rsid w:val="00333D88"/>
    <w:rsid w:val="00335F3D"/>
    <w:rsid w:val="00336B02"/>
    <w:rsid w:val="0033722E"/>
    <w:rsid w:val="00337293"/>
    <w:rsid w:val="00337DFB"/>
    <w:rsid w:val="003413AA"/>
    <w:rsid w:val="003417A4"/>
    <w:rsid w:val="00343563"/>
    <w:rsid w:val="00344952"/>
    <w:rsid w:val="00345D8A"/>
    <w:rsid w:val="00346557"/>
    <w:rsid w:val="003465AB"/>
    <w:rsid w:val="00347AB1"/>
    <w:rsid w:val="00350314"/>
    <w:rsid w:val="00351A94"/>
    <w:rsid w:val="003557A2"/>
    <w:rsid w:val="00356628"/>
    <w:rsid w:val="00356996"/>
    <w:rsid w:val="00357B5E"/>
    <w:rsid w:val="00361F49"/>
    <w:rsid w:val="00362A36"/>
    <w:rsid w:val="00363666"/>
    <w:rsid w:val="00363D03"/>
    <w:rsid w:val="00364482"/>
    <w:rsid w:val="00367ECB"/>
    <w:rsid w:val="00371D14"/>
    <w:rsid w:val="00373A31"/>
    <w:rsid w:val="003740FB"/>
    <w:rsid w:val="00374640"/>
    <w:rsid w:val="00374788"/>
    <w:rsid w:val="003801BB"/>
    <w:rsid w:val="003811E3"/>
    <w:rsid w:val="00381427"/>
    <w:rsid w:val="00383281"/>
    <w:rsid w:val="00383513"/>
    <w:rsid w:val="003850B0"/>
    <w:rsid w:val="00385CAD"/>
    <w:rsid w:val="0038681F"/>
    <w:rsid w:val="00387B42"/>
    <w:rsid w:val="00391795"/>
    <w:rsid w:val="00392283"/>
    <w:rsid w:val="003953D0"/>
    <w:rsid w:val="00395795"/>
    <w:rsid w:val="0039628E"/>
    <w:rsid w:val="003A1192"/>
    <w:rsid w:val="003A1241"/>
    <w:rsid w:val="003A17E2"/>
    <w:rsid w:val="003A2236"/>
    <w:rsid w:val="003A37E3"/>
    <w:rsid w:val="003A4DE2"/>
    <w:rsid w:val="003A5036"/>
    <w:rsid w:val="003A5943"/>
    <w:rsid w:val="003B0B4E"/>
    <w:rsid w:val="003B0CFB"/>
    <w:rsid w:val="003B23FB"/>
    <w:rsid w:val="003B2F69"/>
    <w:rsid w:val="003B3FD1"/>
    <w:rsid w:val="003B5094"/>
    <w:rsid w:val="003B5F2E"/>
    <w:rsid w:val="003B6890"/>
    <w:rsid w:val="003C061C"/>
    <w:rsid w:val="003C1055"/>
    <w:rsid w:val="003C140C"/>
    <w:rsid w:val="003C1E4F"/>
    <w:rsid w:val="003C2580"/>
    <w:rsid w:val="003C525C"/>
    <w:rsid w:val="003C6A6F"/>
    <w:rsid w:val="003D095C"/>
    <w:rsid w:val="003D0C8A"/>
    <w:rsid w:val="003D350B"/>
    <w:rsid w:val="003D3772"/>
    <w:rsid w:val="003D6672"/>
    <w:rsid w:val="003E00F7"/>
    <w:rsid w:val="003E15C9"/>
    <w:rsid w:val="003E5057"/>
    <w:rsid w:val="003E5757"/>
    <w:rsid w:val="003E6659"/>
    <w:rsid w:val="003E7A48"/>
    <w:rsid w:val="003F01A4"/>
    <w:rsid w:val="003F59C9"/>
    <w:rsid w:val="003F66EB"/>
    <w:rsid w:val="004005F1"/>
    <w:rsid w:val="00401C75"/>
    <w:rsid w:val="00401F21"/>
    <w:rsid w:val="00404E52"/>
    <w:rsid w:val="00406234"/>
    <w:rsid w:val="004100E1"/>
    <w:rsid w:val="00411A98"/>
    <w:rsid w:val="0041241C"/>
    <w:rsid w:val="004137CC"/>
    <w:rsid w:val="0041394B"/>
    <w:rsid w:val="0041568A"/>
    <w:rsid w:val="00415A26"/>
    <w:rsid w:val="00415C36"/>
    <w:rsid w:val="00420A61"/>
    <w:rsid w:val="00420A84"/>
    <w:rsid w:val="004211DA"/>
    <w:rsid w:val="004227E4"/>
    <w:rsid w:val="00423BA4"/>
    <w:rsid w:val="004246D9"/>
    <w:rsid w:val="00424CFD"/>
    <w:rsid w:val="00424DBF"/>
    <w:rsid w:val="0043317D"/>
    <w:rsid w:val="004331A5"/>
    <w:rsid w:val="00435F70"/>
    <w:rsid w:val="00437685"/>
    <w:rsid w:val="00440375"/>
    <w:rsid w:val="00440AB8"/>
    <w:rsid w:val="00442628"/>
    <w:rsid w:val="004435B9"/>
    <w:rsid w:val="00443CAD"/>
    <w:rsid w:val="004453FA"/>
    <w:rsid w:val="0045001C"/>
    <w:rsid w:val="00450269"/>
    <w:rsid w:val="00451023"/>
    <w:rsid w:val="00451F62"/>
    <w:rsid w:val="0045338D"/>
    <w:rsid w:val="00454875"/>
    <w:rsid w:val="00455881"/>
    <w:rsid w:val="00455C31"/>
    <w:rsid w:val="004627F1"/>
    <w:rsid w:val="00464E82"/>
    <w:rsid w:val="004661AE"/>
    <w:rsid w:val="0047091A"/>
    <w:rsid w:val="00472368"/>
    <w:rsid w:val="0047261C"/>
    <w:rsid w:val="00472A59"/>
    <w:rsid w:val="00473E55"/>
    <w:rsid w:val="00474E78"/>
    <w:rsid w:val="00474F86"/>
    <w:rsid w:val="00482600"/>
    <w:rsid w:val="00483CAE"/>
    <w:rsid w:val="00484D5F"/>
    <w:rsid w:val="0048617C"/>
    <w:rsid w:val="0049490F"/>
    <w:rsid w:val="004968B9"/>
    <w:rsid w:val="0049744C"/>
    <w:rsid w:val="004A0015"/>
    <w:rsid w:val="004A0892"/>
    <w:rsid w:val="004A0980"/>
    <w:rsid w:val="004A0FE2"/>
    <w:rsid w:val="004A180F"/>
    <w:rsid w:val="004A2AA0"/>
    <w:rsid w:val="004A2EAE"/>
    <w:rsid w:val="004A306B"/>
    <w:rsid w:val="004A525A"/>
    <w:rsid w:val="004A6544"/>
    <w:rsid w:val="004B1895"/>
    <w:rsid w:val="004B5572"/>
    <w:rsid w:val="004B7746"/>
    <w:rsid w:val="004B7B2A"/>
    <w:rsid w:val="004C0534"/>
    <w:rsid w:val="004C3AD1"/>
    <w:rsid w:val="004C523E"/>
    <w:rsid w:val="004C62A6"/>
    <w:rsid w:val="004C720B"/>
    <w:rsid w:val="004D170F"/>
    <w:rsid w:val="004D3811"/>
    <w:rsid w:val="004D39BF"/>
    <w:rsid w:val="004D452E"/>
    <w:rsid w:val="004D4F85"/>
    <w:rsid w:val="004D5882"/>
    <w:rsid w:val="004D6066"/>
    <w:rsid w:val="004D6251"/>
    <w:rsid w:val="004D771B"/>
    <w:rsid w:val="004D7793"/>
    <w:rsid w:val="004D786A"/>
    <w:rsid w:val="004D7F14"/>
    <w:rsid w:val="004E0106"/>
    <w:rsid w:val="004E2DD8"/>
    <w:rsid w:val="004E2F47"/>
    <w:rsid w:val="004E3075"/>
    <w:rsid w:val="004E3D0A"/>
    <w:rsid w:val="004E7102"/>
    <w:rsid w:val="004E7AEF"/>
    <w:rsid w:val="004F0762"/>
    <w:rsid w:val="004F0816"/>
    <w:rsid w:val="004F2315"/>
    <w:rsid w:val="004F3046"/>
    <w:rsid w:val="004F4AF5"/>
    <w:rsid w:val="004F5307"/>
    <w:rsid w:val="004F6FA2"/>
    <w:rsid w:val="004F7047"/>
    <w:rsid w:val="004F73C3"/>
    <w:rsid w:val="004F7536"/>
    <w:rsid w:val="005010A5"/>
    <w:rsid w:val="00501B4A"/>
    <w:rsid w:val="0050251B"/>
    <w:rsid w:val="00503581"/>
    <w:rsid w:val="0050739A"/>
    <w:rsid w:val="0051043E"/>
    <w:rsid w:val="005111C8"/>
    <w:rsid w:val="005117C5"/>
    <w:rsid w:val="005118DB"/>
    <w:rsid w:val="00511A89"/>
    <w:rsid w:val="005122E6"/>
    <w:rsid w:val="005125DE"/>
    <w:rsid w:val="00520059"/>
    <w:rsid w:val="00522902"/>
    <w:rsid w:val="005243D6"/>
    <w:rsid w:val="00524ABE"/>
    <w:rsid w:val="00524AE3"/>
    <w:rsid w:val="00525A94"/>
    <w:rsid w:val="00527065"/>
    <w:rsid w:val="00530538"/>
    <w:rsid w:val="0053082C"/>
    <w:rsid w:val="00531175"/>
    <w:rsid w:val="005312EA"/>
    <w:rsid w:val="005317C7"/>
    <w:rsid w:val="0053225A"/>
    <w:rsid w:val="00532F49"/>
    <w:rsid w:val="00533F76"/>
    <w:rsid w:val="00534A82"/>
    <w:rsid w:val="00535E83"/>
    <w:rsid w:val="00536DF4"/>
    <w:rsid w:val="00537530"/>
    <w:rsid w:val="00541B8B"/>
    <w:rsid w:val="00541F6E"/>
    <w:rsid w:val="005514A1"/>
    <w:rsid w:val="0055367B"/>
    <w:rsid w:val="0056071A"/>
    <w:rsid w:val="00560E7C"/>
    <w:rsid w:val="00562CF8"/>
    <w:rsid w:val="0056696D"/>
    <w:rsid w:val="00571E19"/>
    <w:rsid w:val="00572DB7"/>
    <w:rsid w:val="00572DD3"/>
    <w:rsid w:val="0057317D"/>
    <w:rsid w:val="00573604"/>
    <w:rsid w:val="00573B8D"/>
    <w:rsid w:val="00575CC8"/>
    <w:rsid w:val="005761D2"/>
    <w:rsid w:val="00576506"/>
    <w:rsid w:val="00576592"/>
    <w:rsid w:val="0058284B"/>
    <w:rsid w:val="00582AC6"/>
    <w:rsid w:val="0058390D"/>
    <w:rsid w:val="00585A8E"/>
    <w:rsid w:val="00587448"/>
    <w:rsid w:val="00590321"/>
    <w:rsid w:val="0059064A"/>
    <w:rsid w:val="00592270"/>
    <w:rsid w:val="00593198"/>
    <w:rsid w:val="00594126"/>
    <w:rsid w:val="00594B2A"/>
    <w:rsid w:val="005955EB"/>
    <w:rsid w:val="005964F7"/>
    <w:rsid w:val="005969C4"/>
    <w:rsid w:val="005A258F"/>
    <w:rsid w:val="005A2758"/>
    <w:rsid w:val="005A42D1"/>
    <w:rsid w:val="005A4EAD"/>
    <w:rsid w:val="005A5292"/>
    <w:rsid w:val="005A5509"/>
    <w:rsid w:val="005B04C9"/>
    <w:rsid w:val="005B4019"/>
    <w:rsid w:val="005B487F"/>
    <w:rsid w:val="005B5B95"/>
    <w:rsid w:val="005B6533"/>
    <w:rsid w:val="005B70EB"/>
    <w:rsid w:val="005B713A"/>
    <w:rsid w:val="005C1449"/>
    <w:rsid w:val="005C2553"/>
    <w:rsid w:val="005C307E"/>
    <w:rsid w:val="005C622B"/>
    <w:rsid w:val="005C6248"/>
    <w:rsid w:val="005D02B4"/>
    <w:rsid w:val="005D715A"/>
    <w:rsid w:val="005D7E71"/>
    <w:rsid w:val="005E115B"/>
    <w:rsid w:val="005E195A"/>
    <w:rsid w:val="005E5C8F"/>
    <w:rsid w:val="005E64B5"/>
    <w:rsid w:val="005F02F6"/>
    <w:rsid w:val="005F4930"/>
    <w:rsid w:val="005F5268"/>
    <w:rsid w:val="005F5E4F"/>
    <w:rsid w:val="005F6710"/>
    <w:rsid w:val="00600907"/>
    <w:rsid w:val="00601D9F"/>
    <w:rsid w:val="00602454"/>
    <w:rsid w:val="00602D5E"/>
    <w:rsid w:val="00603740"/>
    <w:rsid w:val="00606EBA"/>
    <w:rsid w:val="00607154"/>
    <w:rsid w:val="00610017"/>
    <w:rsid w:val="00611C2A"/>
    <w:rsid w:val="00612DAE"/>
    <w:rsid w:val="0061458A"/>
    <w:rsid w:val="0061463C"/>
    <w:rsid w:val="0061555B"/>
    <w:rsid w:val="00615770"/>
    <w:rsid w:val="00615993"/>
    <w:rsid w:val="00616121"/>
    <w:rsid w:val="006166CE"/>
    <w:rsid w:val="00616B42"/>
    <w:rsid w:val="00617010"/>
    <w:rsid w:val="006173AB"/>
    <w:rsid w:val="00620E86"/>
    <w:rsid w:val="00622C75"/>
    <w:rsid w:val="0062411E"/>
    <w:rsid w:val="0062518B"/>
    <w:rsid w:val="00625B2E"/>
    <w:rsid w:val="00625C44"/>
    <w:rsid w:val="00626CDC"/>
    <w:rsid w:val="0063136B"/>
    <w:rsid w:val="00631B4E"/>
    <w:rsid w:val="00632556"/>
    <w:rsid w:val="00632E07"/>
    <w:rsid w:val="00633C83"/>
    <w:rsid w:val="006342F7"/>
    <w:rsid w:val="00635DAF"/>
    <w:rsid w:val="00643627"/>
    <w:rsid w:val="00645131"/>
    <w:rsid w:val="0064533E"/>
    <w:rsid w:val="006458E5"/>
    <w:rsid w:val="00645F07"/>
    <w:rsid w:val="00647195"/>
    <w:rsid w:val="00647D79"/>
    <w:rsid w:val="00650812"/>
    <w:rsid w:val="006509F1"/>
    <w:rsid w:val="00652E54"/>
    <w:rsid w:val="00653148"/>
    <w:rsid w:val="0065358D"/>
    <w:rsid w:val="00653E78"/>
    <w:rsid w:val="006541A3"/>
    <w:rsid w:val="0065496E"/>
    <w:rsid w:val="006550DF"/>
    <w:rsid w:val="00656A6F"/>
    <w:rsid w:val="0066011A"/>
    <w:rsid w:val="0066024A"/>
    <w:rsid w:val="006610F8"/>
    <w:rsid w:val="006618C4"/>
    <w:rsid w:val="00664D6D"/>
    <w:rsid w:val="006652F6"/>
    <w:rsid w:val="0066580A"/>
    <w:rsid w:val="00665C76"/>
    <w:rsid w:val="00667155"/>
    <w:rsid w:val="006674D5"/>
    <w:rsid w:val="006712ED"/>
    <w:rsid w:val="006718FF"/>
    <w:rsid w:val="006741F6"/>
    <w:rsid w:val="00674EDC"/>
    <w:rsid w:val="00676309"/>
    <w:rsid w:val="006767D9"/>
    <w:rsid w:val="00680961"/>
    <w:rsid w:val="00680D74"/>
    <w:rsid w:val="00681D1E"/>
    <w:rsid w:val="0068482B"/>
    <w:rsid w:val="00686EB3"/>
    <w:rsid w:val="006876B4"/>
    <w:rsid w:val="00687924"/>
    <w:rsid w:val="00687A48"/>
    <w:rsid w:val="00690017"/>
    <w:rsid w:val="00690433"/>
    <w:rsid w:val="00690EB3"/>
    <w:rsid w:val="00691FA6"/>
    <w:rsid w:val="006976A8"/>
    <w:rsid w:val="006A045C"/>
    <w:rsid w:val="006A4B71"/>
    <w:rsid w:val="006A52BF"/>
    <w:rsid w:val="006A657F"/>
    <w:rsid w:val="006A698B"/>
    <w:rsid w:val="006A6AFB"/>
    <w:rsid w:val="006B578F"/>
    <w:rsid w:val="006B66EC"/>
    <w:rsid w:val="006B6DA6"/>
    <w:rsid w:val="006B6E80"/>
    <w:rsid w:val="006B78A2"/>
    <w:rsid w:val="006B7FB9"/>
    <w:rsid w:val="006C022F"/>
    <w:rsid w:val="006C28DF"/>
    <w:rsid w:val="006C340F"/>
    <w:rsid w:val="006C4F58"/>
    <w:rsid w:val="006C7EB6"/>
    <w:rsid w:val="006D0A37"/>
    <w:rsid w:val="006D10BE"/>
    <w:rsid w:val="006D1698"/>
    <w:rsid w:val="006D49B1"/>
    <w:rsid w:val="006D5052"/>
    <w:rsid w:val="006D52B8"/>
    <w:rsid w:val="006D5937"/>
    <w:rsid w:val="006D7F48"/>
    <w:rsid w:val="006E2DC7"/>
    <w:rsid w:val="006E53CC"/>
    <w:rsid w:val="006F33C6"/>
    <w:rsid w:val="006F3D2A"/>
    <w:rsid w:val="006F5EA7"/>
    <w:rsid w:val="006F6214"/>
    <w:rsid w:val="006F77F7"/>
    <w:rsid w:val="006F7CA7"/>
    <w:rsid w:val="007018B6"/>
    <w:rsid w:val="00701A78"/>
    <w:rsid w:val="00702DFC"/>
    <w:rsid w:val="0070397B"/>
    <w:rsid w:val="00712075"/>
    <w:rsid w:val="00713171"/>
    <w:rsid w:val="00713FD9"/>
    <w:rsid w:val="007161E9"/>
    <w:rsid w:val="00716E01"/>
    <w:rsid w:val="00720017"/>
    <w:rsid w:val="00720AE7"/>
    <w:rsid w:val="00722793"/>
    <w:rsid w:val="007231ED"/>
    <w:rsid w:val="0072331A"/>
    <w:rsid w:val="00724452"/>
    <w:rsid w:val="007246EF"/>
    <w:rsid w:val="00727775"/>
    <w:rsid w:val="00731683"/>
    <w:rsid w:val="00735A2E"/>
    <w:rsid w:val="007442BD"/>
    <w:rsid w:val="007448B5"/>
    <w:rsid w:val="00745939"/>
    <w:rsid w:val="00752769"/>
    <w:rsid w:val="007539D6"/>
    <w:rsid w:val="00754BDC"/>
    <w:rsid w:val="007579B4"/>
    <w:rsid w:val="0076612A"/>
    <w:rsid w:val="00766A10"/>
    <w:rsid w:val="007676CD"/>
    <w:rsid w:val="00767A6B"/>
    <w:rsid w:val="00770EE2"/>
    <w:rsid w:val="0077466C"/>
    <w:rsid w:val="007760FD"/>
    <w:rsid w:val="00776153"/>
    <w:rsid w:val="00777C76"/>
    <w:rsid w:val="0078029E"/>
    <w:rsid w:val="00780911"/>
    <w:rsid w:val="00782ACC"/>
    <w:rsid w:val="007834C1"/>
    <w:rsid w:val="00785123"/>
    <w:rsid w:val="00786E66"/>
    <w:rsid w:val="007872C2"/>
    <w:rsid w:val="00787B93"/>
    <w:rsid w:val="007900A4"/>
    <w:rsid w:val="00790EC2"/>
    <w:rsid w:val="00791873"/>
    <w:rsid w:val="00792916"/>
    <w:rsid w:val="0079442A"/>
    <w:rsid w:val="0079487B"/>
    <w:rsid w:val="007952DD"/>
    <w:rsid w:val="00795A58"/>
    <w:rsid w:val="00797034"/>
    <w:rsid w:val="007A11A6"/>
    <w:rsid w:val="007A2391"/>
    <w:rsid w:val="007A494A"/>
    <w:rsid w:val="007A6487"/>
    <w:rsid w:val="007A7A77"/>
    <w:rsid w:val="007B56E0"/>
    <w:rsid w:val="007B73EE"/>
    <w:rsid w:val="007B7775"/>
    <w:rsid w:val="007C0D02"/>
    <w:rsid w:val="007C2759"/>
    <w:rsid w:val="007C2793"/>
    <w:rsid w:val="007C3216"/>
    <w:rsid w:val="007C50FC"/>
    <w:rsid w:val="007C5E7A"/>
    <w:rsid w:val="007C6FBE"/>
    <w:rsid w:val="007D004A"/>
    <w:rsid w:val="007D074C"/>
    <w:rsid w:val="007D0E00"/>
    <w:rsid w:val="007D1F2F"/>
    <w:rsid w:val="007D2FC5"/>
    <w:rsid w:val="007D3076"/>
    <w:rsid w:val="007D34D1"/>
    <w:rsid w:val="007D4041"/>
    <w:rsid w:val="007D41A1"/>
    <w:rsid w:val="007D4754"/>
    <w:rsid w:val="007D4F97"/>
    <w:rsid w:val="007D6B30"/>
    <w:rsid w:val="007D6ED2"/>
    <w:rsid w:val="007D73E1"/>
    <w:rsid w:val="007E074D"/>
    <w:rsid w:val="007E1137"/>
    <w:rsid w:val="007E3B90"/>
    <w:rsid w:val="007E4993"/>
    <w:rsid w:val="007E5157"/>
    <w:rsid w:val="007E646B"/>
    <w:rsid w:val="007E7670"/>
    <w:rsid w:val="007E79D1"/>
    <w:rsid w:val="007F08F3"/>
    <w:rsid w:val="007F3EA3"/>
    <w:rsid w:val="007F6D9B"/>
    <w:rsid w:val="0080152E"/>
    <w:rsid w:val="008027C4"/>
    <w:rsid w:val="00802916"/>
    <w:rsid w:val="00802C58"/>
    <w:rsid w:val="00804719"/>
    <w:rsid w:val="008055A5"/>
    <w:rsid w:val="008127F7"/>
    <w:rsid w:val="00813394"/>
    <w:rsid w:val="008147C0"/>
    <w:rsid w:val="00820F36"/>
    <w:rsid w:val="0082210F"/>
    <w:rsid w:val="008223BF"/>
    <w:rsid w:val="00822F50"/>
    <w:rsid w:val="00824A69"/>
    <w:rsid w:val="00825460"/>
    <w:rsid w:val="0082669F"/>
    <w:rsid w:val="0082792B"/>
    <w:rsid w:val="00827EB4"/>
    <w:rsid w:val="008314FC"/>
    <w:rsid w:val="008336A6"/>
    <w:rsid w:val="00833CE6"/>
    <w:rsid w:val="00836123"/>
    <w:rsid w:val="0083645C"/>
    <w:rsid w:val="008368EC"/>
    <w:rsid w:val="00836D9B"/>
    <w:rsid w:val="00842E94"/>
    <w:rsid w:val="00845995"/>
    <w:rsid w:val="008516E3"/>
    <w:rsid w:val="00851DC2"/>
    <w:rsid w:val="00852EA3"/>
    <w:rsid w:val="0085320C"/>
    <w:rsid w:val="00853982"/>
    <w:rsid w:val="0085625D"/>
    <w:rsid w:val="008567FA"/>
    <w:rsid w:val="00856E90"/>
    <w:rsid w:val="008601B8"/>
    <w:rsid w:val="00860672"/>
    <w:rsid w:val="008633EE"/>
    <w:rsid w:val="008636A5"/>
    <w:rsid w:val="008641C2"/>
    <w:rsid w:val="00864478"/>
    <w:rsid w:val="0086492E"/>
    <w:rsid w:val="00865849"/>
    <w:rsid w:val="00865D80"/>
    <w:rsid w:val="00866E6F"/>
    <w:rsid w:val="00867230"/>
    <w:rsid w:val="0086780B"/>
    <w:rsid w:val="00867AC0"/>
    <w:rsid w:val="00870CF3"/>
    <w:rsid w:val="0087122F"/>
    <w:rsid w:val="008715B4"/>
    <w:rsid w:val="008718C0"/>
    <w:rsid w:val="0087354C"/>
    <w:rsid w:val="008758CB"/>
    <w:rsid w:val="00875BD4"/>
    <w:rsid w:val="00877F30"/>
    <w:rsid w:val="00880040"/>
    <w:rsid w:val="00880202"/>
    <w:rsid w:val="00881607"/>
    <w:rsid w:val="00881C68"/>
    <w:rsid w:val="00883CE5"/>
    <w:rsid w:val="00885A45"/>
    <w:rsid w:val="00885BEC"/>
    <w:rsid w:val="00886CBD"/>
    <w:rsid w:val="008870C1"/>
    <w:rsid w:val="00887834"/>
    <w:rsid w:val="008907B3"/>
    <w:rsid w:val="008944E3"/>
    <w:rsid w:val="00896C4D"/>
    <w:rsid w:val="008A2403"/>
    <w:rsid w:val="008A2C42"/>
    <w:rsid w:val="008A4266"/>
    <w:rsid w:val="008A584A"/>
    <w:rsid w:val="008A5E01"/>
    <w:rsid w:val="008A6ECD"/>
    <w:rsid w:val="008A7100"/>
    <w:rsid w:val="008B17D1"/>
    <w:rsid w:val="008B214D"/>
    <w:rsid w:val="008B2CCA"/>
    <w:rsid w:val="008B4F9B"/>
    <w:rsid w:val="008B54F4"/>
    <w:rsid w:val="008B709A"/>
    <w:rsid w:val="008B72B2"/>
    <w:rsid w:val="008C1257"/>
    <w:rsid w:val="008C4641"/>
    <w:rsid w:val="008C68D3"/>
    <w:rsid w:val="008D1208"/>
    <w:rsid w:val="008D2ACF"/>
    <w:rsid w:val="008D367C"/>
    <w:rsid w:val="008D45BD"/>
    <w:rsid w:val="008D4971"/>
    <w:rsid w:val="008D609A"/>
    <w:rsid w:val="008E0AF2"/>
    <w:rsid w:val="008E1438"/>
    <w:rsid w:val="008E19C2"/>
    <w:rsid w:val="008E28E9"/>
    <w:rsid w:val="008E32DE"/>
    <w:rsid w:val="008E4645"/>
    <w:rsid w:val="008E56F2"/>
    <w:rsid w:val="008E6385"/>
    <w:rsid w:val="008E6C47"/>
    <w:rsid w:val="008E6E44"/>
    <w:rsid w:val="008E7ABF"/>
    <w:rsid w:val="008F0F2E"/>
    <w:rsid w:val="008F1228"/>
    <w:rsid w:val="008F240D"/>
    <w:rsid w:val="008F25FE"/>
    <w:rsid w:val="008F2960"/>
    <w:rsid w:val="008F42AC"/>
    <w:rsid w:val="008F4BDE"/>
    <w:rsid w:val="008F4F9D"/>
    <w:rsid w:val="008F5356"/>
    <w:rsid w:val="008F6002"/>
    <w:rsid w:val="008F71B4"/>
    <w:rsid w:val="008F76E3"/>
    <w:rsid w:val="00900758"/>
    <w:rsid w:val="00900981"/>
    <w:rsid w:val="00902A23"/>
    <w:rsid w:val="0090736D"/>
    <w:rsid w:val="009077BE"/>
    <w:rsid w:val="00910AB9"/>
    <w:rsid w:val="00911F77"/>
    <w:rsid w:val="009122C6"/>
    <w:rsid w:val="0091240F"/>
    <w:rsid w:val="00912E8F"/>
    <w:rsid w:val="00913052"/>
    <w:rsid w:val="00915406"/>
    <w:rsid w:val="009158CC"/>
    <w:rsid w:val="009163EF"/>
    <w:rsid w:val="00917360"/>
    <w:rsid w:val="009206B0"/>
    <w:rsid w:val="0092272C"/>
    <w:rsid w:val="009233B3"/>
    <w:rsid w:val="00923804"/>
    <w:rsid w:val="00926C73"/>
    <w:rsid w:val="00932C53"/>
    <w:rsid w:val="00933D11"/>
    <w:rsid w:val="00934D74"/>
    <w:rsid w:val="00935A80"/>
    <w:rsid w:val="00935DF1"/>
    <w:rsid w:val="00936507"/>
    <w:rsid w:val="00942058"/>
    <w:rsid w:val="0094702C"/>
    <w:rsid w:val="009512EC"/>
    <w:rsid w:val="009518E7"/>
    <w:rsid w:val="00951D53"/>
    <w:rsid w:val="009534EA"/>
    <w:rsid w:val="00956C21"/>
    <w:rsid w:val="00961D16"/>
    <w:rsid w:val="009631FA"/>
    <w:rsid w:val="0096731F"/>
    <w:rsid w:val="00967D26"/>
    <w:rsid w:val="00970B6C"/>
    <w:rsid w:val="009711A6"/>
    <w:rsid w:val="00971CFD"/>
    <w:rsid w:val="0097318F"/>
    <w:rsid w:val="009752FC"/>
    <w:rsid w:val="00976928"/>
    <w:rsid w:val="00977F21"/>
    <w:rsid w:val="00980CF7"/>
    <w:rsid w:val="0098229B"/>
    <w:rsid w:val="00983CF5"/>
    <w:rsid w:val="009849CD"/>
    <w:rsid w:val="00984B4D"/>
    <w:rsid w:val="00985887"/>
    <w:rsid w:val="0098639D"/>
    <w:rsid w:val="00986E5B"/>
    <w:rsid w:val="00987C10"/>
    <w:rsid w:val="00991EF1"/>
    <w:rsid w:val="00993887"/>
    <w:rsid w:val="00993FAE"/>
    <w:rsid w:val="00994372"/>
    <w:rsid w:val="009958A1"/>
    <w:rsid w:val="009966E5"/>
    <w:rsid w:val="00997014"/>
    <w:rsid w:val="00997360"/>
    <w:rsid w:val="009A00CF"/>
    <w:rsid w:val="009A0F5E"/>
    <w:rsid w:val="009A2ED8"/>
    <w:rsid w:val="009A594B"/>
    <w:rsid w:val="009A6E88"/>
    <w:rsid w:val="009B017B"/>
    <w:rsid w:val="009B0414"/>
    <w:rsid w:val="009B06E8"/>
    <w:rsid w:val="009B3A9F"/>
    <w:rsid w:val="009B5178"/>
    <w:rsid w:val="009B5ADD"/>
    <w:rsid w:val="009B676C"/>
    <w:rsid w:val="009B7083"/>
    <w:rsid w:val="009C07C1"/>
    <w:rsid w:val="009C08C1"/>
    <w:rsid w:val="009C0A4C"/>
    <w:rsid w:val="009C3061"/>
    <w:rsid w:val="009C37A4"/>
    <w:rsid w:val="009C3F76"/>
    <w:rsid w:val="009C4597"/>
    <w:rsid w:val="009C5A8E"/>
    <w:rsid w:val="009C5C3B"/>
    <w:rsid w:val="009C7003"/>
    <w:rsid w:val="009C7C87"/>
    <w:rsid w:val="009D1E69"/>
    <w:rsid w:val="009D2136"/>
    <w:rsid w:val="009D25D5"/>
    <w:rsid w:val="009D4200"/>
    <w:rsid w:val="009D460E"/>
    <w:rsid w:val="009D4C16"/>
    <w:rsid w:val="009D4D97"/>
    <w:rsid w:val="009D71AE"/>
    <w:rsid w:val="009D7202"/>
    <w:rsid w:val="009D7F31"/>
    <w:rsid w:val="009E236E"/>
    <w:rsid w:val="009E2464"/>
    <w:rsid w:val="009E32F4"/>
    <w:rsid w:val="009E35C1"/>
    <w:rsid w:val="009E48D6"/>
    <w:rsid w:val="009E4933"/>
    <w:rsid w:val="009E4C39"/>
    <w:rsid w:val="009E52A4"/>
    <w:rsid w:val="009E56E4"/>
    <w:rsid w:val="009E5C31"/>
    <w:rsid w:val="009E7220"/>
    <w:rsid w:val="009F0265"/>
    <w:rsid w:val="009F345E"/>
    <w:rsid w:val="009F3FFB"/>
    <w:rsid w:val="009F6522"/>
    <w:rsid w:val="009F793F"/>
    <w:rsid w:val="009F7D0D"/>
    <w:rsid w:val="00A00378"/>
    <w:rsid w:val="00A0047D"/>
    <w:rsid w:val="00A00C03"/>
    <w:rsid w:val="00A01D98"/>
    <w:rsid w:val="00A041D7"/>
    <w:rsid w:val="00A06382"/>
    <w:rsid w:val="00A10EE1"/>
    <w:rsid w:val="00A13F44"/>
    <w:rsid w:val="00A153B7"/>
    <w:rsid w:val="00A1557B"/>
    <w:rsid w:val="00A15FF4"/>
    <w:rsid w:val="00A16FD9"/>
    <w:rsid w:val="00A172DF"/>
    <w:rsid w:val="00A17569"/>
    <w:rsid w:val="00A210B2"/>
    <w:rsid w:val="00A2393D"/>
    <w:rsid w:val="00A2410F"/>
    <w:rsid w:val="00A25253"/>
    <w:rsid w:val="00A26243"/>
    <w:rsid w:val="00A26BD3"/>
    <w:rsid w:val="00A30241"/>
    <w:rsid w:val="00A310F3"/>
    <w:rsid w:val="00A324F1"/>
    <w:rsid w:val="00A33096"/>
    <w:rsid w:val="00A33588"/>
    <w:rsid w:val="00A3363F"/>
    <w:rsid w:val="00A34079"/>
    <w:rsid w:val="00A3765C"/>
    <w:rsid w:val="00A407CE"/>
    <w:rsid w:val="00A414D4"/>
    <w:rsid w:val="00A41C29"/>
    <w:rsid w:val="00A42743"/>
    <w:rsid w:val="00A44554"/>
    <w:rsid w:val="00A44B1B"/>
    <w:rsid w:val="00A44B45"/>
    <w:rsid w:val="00A452C3"/>
    <w:rsid w:val="00A47595"/>
    <w:rsid w:val="00A47B7E"/>
    <w:rsid w:val="00A500DE"/>
    <w:rsid w:val="00A5059D"/>
    <w:rsid w:val="00A517DD"/>
    <w:rsid w:val="00A53378"/>
    <w:rsid w:val="00A538A4"/>
    <w:rsid w:val="00A543E7"/>
    <w:rsid w:val="00A548F6"/>
    <w:rsid w:val="00A55307"/>
    <w:rsid w:val="00A572F7"/>
    <w:rsid w:val="00A609D6"/>
    <w:rsid w:val="00A61A1B"/>
    <w:rsid w:val="00A626DF"/>
    <w:rsid w:val="00A63AA6"/>
    <w:rsid w:val="00A63C83"/>
    <w:rsid w:val="00A658A2"/>
    <w:rsid w:val="00A719D4"/>
    <w:rsid w:val="00A7263E"/>
    <w:rsid w:val="00A73933"/>
    <w:rsid w:val="00A73EC7"/>
    <w:rsid w:val="00A76DDF"/>
    <w:rsid w:val="00A77CE5"/>
    <w:rsid w:val="00A80048"/>
    <w:rsid w:val="00A8595C"/>
    <w:rsid w:val="00A85DC5"/>
    <w:rsid w:val="00A91322"/>
    <w:rsid w:val="00A913A6"/>
    <w:rsid w:val="00A9226E"/>
    <w:rsid w:val="00A92B9A"/>
    <w:rsid w:val="00A9466C"/>
    <w:rsid w:val="00A95257"/>
    <w:rsid w:val="00A955BE"/>
    <w:rsid w:val="00A956F2"/>
    <w:rsid w:val="00A963EF"/>
    <w:rsid w:val="00AA0F9D"/>
    <w:rsid w:val="00AA114F"/>
    <w:rsid w:val="00AA37E4"/>
    <w:rsid w:val="00AA43D0"/>
    <w:rsid w:val="00AA4D5C"/>
    <w:rsid w:val="00AA54F2"/>
    <w:rsid w:val="00AA716A"/>
    <w:rsid w:val="00AA7305"/>
    <w:rsid w:val="00AA7757"/>
    <w:rsid w:val="00AB1487"/>
    <w:rsid w:val="00AB1CA8"/>
    <w:rsid w:val="00AB3031"/>
    <w:rsid w:val="00AB54F3"/>
    <w:rsid w:val="00AB756C"/>
    <w:rsid w:val="00AC1191"/>
    <w:rsid w:val="00AC3E7B"/>
    <w:rsid w:val="00AC4523"/>
    <w:rsid w:val="00AC4972"/>
    <w:rsid w:val="00AD0F89"/>
    <w:rsid w:val="00AD1F03"/>
    <w:rsid w:val="00AD1FA5"/>
    <w:rsid w:val="00AD4B23"/>
    <w:rsid w:val="00AD6CCF"/>
    <w:rsid w:val="00AD6FC6"/>
    <w:rsid w:val="00AE103F"/>
    <w:rsid w:val="00AE40FE"/>
    <w:rsid w:val="00AE59FA"/>
    <w:rsid w:val="00AE69DD"/>
    <w:rsid w:val="00AE7020"/>
    <w:rsid w:val="00AF3129"/>
    <w:rsid w:val="00AF37D2"/>
    <w:rsid w:val="00AF3DBF"/>
    <w:rsid w:val="00AF4BC6"/>
    <w:rsid w:val="00AF4F50"/>
    <w:rsid w:val="00AF512B"/>
    <w:rsid w:val="00AF71AA"/>
    <w:rsid w:val="00AF78FF"/>
    <w:rsid w:val="00B00F22"/>
    <w:rsid w:val="00B01CA1"/>
    <w:rsid w:val="00B02025"/>
    <w:rsid w:val="00B02075"/>
    <w:rsid w:val="00B0363D"/>
    <w:rsid w:val="00B03D3D"/>
    <w:rsid w:val="00B046DD"/>
    <w:rsid w:val="00B04AE6"/>
    <w:rsid w:val="00B07864"/>
    <w:rsid w:val="00B07895"/>
    <w:rsid w:val="00B14A07"/>
    <w:rsid w:val="00B17E03"/>
    <w:rsid w:val="00B23606"/>
    <w:rsid w:val="00B24248"/>
    <w:rsid w:val="00B245F3"/>
    <w:rsid w:val="00B24DDD"/>
    <w:rsid w:val="00B24E6D"/>
    <w:rsid w:val="00B25F89"/>
    <w:rsid w:val="00B2605E"/>
    <w:rsid w:val="00B2691C"/>
    <w:rsid w:val="00B26EC6"/>
    <w:rsid w:val="00B27D8D"/>
    <w:rsid w:val="00B3056E"/>
    <w:rsid w:val="00B30800"/>
    <w:rsid w:val="00B309C2"/>
    <w:rsid w:val="00B30ABB"/>
    <w:rsid w:val="00B313AC"/>
    <w:rsid w:val="00B35366"/>
    <w:rsid w:val="00B35E30"/>
    <w:rsid w:val="00B36553"/>
    <w:rsid w:val="00B37FFB"/>
    <w:rsid w:val="00B41531"/>
    <w:rsid w:val="00B42875"/>
    <w:rsid w:val="00B42A4C"/>
    <w:rsid w:val="00B44B36"/>
    <w:rsid w:val="00B452ED"/>
    <w:rsid w:val="00B50D16"/>
    <w:rsid w:val="00B52BD1"/>
    <w:rsid w:val="00B52E6E"/>
    <w:rsid w:val="00B532DF"/>
    <w:rsid w:val="00B5422F"/>
    <w:rsid w:val="00B54CA5"/>
    <w:rsid w:val="00B608AB"/>
    <w:rsid w:val="00B63252"/>
    <w:rsid w:val="00B63FBA"/>
    <w:rsid w:val="00B6459B"/>
    <w:rsid w:val="00B64861"/>
    <w:rsid w:val="00B656FC"/>
    <w:rsid w:val="00B71214"/>
    <w:rsid w:val="00B723CD"/>
    <w:rsid w:val="00B72A71"/>
    <w:rsid w:val="00B768CC"/>
    <w:rsid w:val="00B770B4"/>
    <w:rsid w:val="00B77C3C"/>
    <w:rsid w:val="00B804F4"/>
    <w:rsid w:val="00B8135A"/>
    <w:rsid w:val="00B81770"/>
    <w:rsid w:val="00B83467"/>
    <w:rsid w:val="00B83887"/>
    <w:rsid w:val="00B84762"/>
    <w:rsid w:val="00B85A64"/>
    <w:rsid w:val="00B86538"/>
    <w:rsid w:val="00B877FB"/>
    <w:rsid w:val="00B87DC9"/>
    <w:rsid w:val="00B907AF"/>
    <w:rsid w:val="00B91042"/>
    <w:rsid w:val="00B922B8"/>
    <w:rsid w:val="00B95C2A"/>
    <w:rsid w:val="00B96FFC"/>
    <w:rsid w:val="00B974D0"/>
    <w:rsid w:val="00BA1809"/>
    <w:rsid w:val="00BA4612"/>
    <w:rsid w:val="00BA59D3"/>
    <w:rsid w:val="00BA5AE2"/>
    <w:rsid w:val="00BB07A3"/>
    <w:rsid w:val="00BB19A5"/>
    <w:rsid w:val="00BB1E47"/>
    <w:rsid w:val="00BB47D9"/>
    <w:rsid w:val="00BB5B65"/>
    <w:rsid w:val="00BB70FD"/>
    <w:rsid w:val="00BB78E0"/>
    <w:rsid w:val="00BC2A68"/>
    <w:rsid w:val="00BC3FD5"/>
    <w:rsid w:val="00BC43DF"/>
    <w:rsid w:val="00BC55BB"/>
    <w:rsid w:val="00BC6152"/>
    <w:rsid w:val="00BD1C92"/>
    <w:rsid w:val="00BD4494"/>
    <w:rsid w:val="00BD47FB"/>
    <w:rsid w:val="00BD4ED4"/>
    <w:rsid w:val="00BD4FD1"/>
    <w:rsid w:val="00BD5A6F"/>
    <w:rsid w:val="00BD5AC6"/>
    <w:rsid w:val="00BD605F"/>
    <w:rsid w:val="00BE11CE"/>
    <w:rsid w:val="00BE1B3D"/>
    <w:rsid w:val="00BE2660"/>
    <w:rsid w:val="00BE2DA7"/>
    <w:rsid w:val="00BE3DC1"/>
    <w:rsid w:val="00BE3E17"/>
    <w:rsid w:val="00BE4684"/>
    <w:rsid w:val="00BE674D"/>
    <w:rsid w:val="00BE6E52"/>
    <w:rsid w:val="00BE7554"/>
    <w:rsid w:val="00BE7F48"/>
    <w:rsid w:val="00BF04A8"/>
    <w:rsid w:val="00BF17E7"/>
    <w:rsid w:val="00BF63EA"/>
    <w:rsid w:val="00BF7702"/>
    <w:rsid w:val="00C018B7"/>
    <w:rsid w:val="00C03D4A"/>
    <w:rsid w:val="00C03E63"/>
    <w:rsid w:val="00C04473"/>
    <w:rsid w:val="00C0458A"/>
    <w:rsid w:val="00C065F4"/>
    <w:rsid w:val="00C11045"/>
    <w:rsid w:val="00C11EAE"/>
    <w:rsid w:val="00C144A7"/>
    <w:rsid w:val="00C16307"/>
    <w:rsid w:val="00C16555"/>
    <w:rsid w:val="00C200AB"/>
    <w:rsid w:val="00C2089B"/>
    <w:rsid w:val="00C21899"/>
    <w:rsid w:val="00C21A6F"/>
    <w:rsid w:val="00C22ED4"/>
    <w:rsid w:val="00C2493B"/>
    <w:rsid w:val="00C2791A"/>
    <w:rsid w:val="00C302AB"/>
    <w:rsid w:val="00C310DD"/>
    <w:rsid w:val="00C322FA"/>
    <w:rsid w:val="00C32E5F"/>
    <w:rsid w:val="00C340D7"/>
    <w:rsid w:val="00C346A9"/>
    <w:rsid w:val="00C34F80"/>
    <w:rsid w:val="00C35180"/>
    <w:rsid w:val="00C363D1"/>
    <w:rsid w:val="00C36FDA"/>
    <w:rsid w:val="00C371CE"/>
    <w:rsid w:val="00C41722"/>
    <w:rsid w:val="00C41BC9"/>
    <w:rsid w:val="00C4217E"/>
    <w:rsid w:val="00C42ED7"/>
    <w:rsid w:val="00C42FCF"/>
    <w:rsid w:val="00C47F58"/>
    <w:rsid w:val="00C50438"/>
    <w:rsid w:val="00C50D44"/>
    <w:rsid w:val="00C51024"/>
    <w:rsid w:val="00C51A98"/>
    <w:rsid w:val="00C54E04"/>
    <w:rsid w:val="00C55099"/>
    <w:rsid w:val="00C57C8C"/>
    <w:rsid w:val="00C606A4"/>
    <w:rsid w:val="00C6221E"/>
    <w:rsid w:val="00C628C4"/>
    <w:rsid w:val="00C63B84"/>
    <w:rsid w:val="00C64B17"/>
    <w:rsid w:val="00C660BC"/>
    <w:rsid w:val="00C666DB"/>
    <w:rsid w:val="00C66BF8"/>
    <w:rsid w:val="00C66CDE"/>
    <w:rsid w:val="00C701DD"/>
    <w:rsid w:val="00C7126D"/>
    <w:rsid w:val="00C727F7"/>
    <w:rsid w:val="00C73034"/>
    <w:rsid w:val="00C76B0E"/>
    <w:rsid w:val="00C818C3"/>
    <w:rsid w:val="00C81E34"/>
    <w:rsid w:val="00C8229C"/>
    <w:rsid w:val="00C839E6"/>
    <w:rsid w:val="00C86EB2"/>
    <w:rsid w:val="00C879DA"/>
    <w:rsid w:val="00C91F98"/>
    <w:rsid w:val="00C96388"/>
    <w:rsid w:val="00CA1882"/>
    <w:rsid w:val="00CA1A3F"/>
    <w:rsid w:val="00CA23FE"/>
    <w:rsid w:val="00CA2852"/>
    <w:rsid w:val="00CA2C00"/>
    <w:rsid w:val="00CA2DFB"/>
    <w:rsid w:val="00CA3FD3"/>
    <w:rsid w:val="00CA4626"/>
    <w:rsid w:val="00CA4F30"/>
    <w:rsid w:val="00CA5D90"/>
    <w:rsid w:val="00CB3F83"/>
    <w:rsid w:val="00CB55EC"/>
    <w:rsid w:val="00CB566E"/>
    <w:rsid w:val="00CB6BE5"/>
    <w:rsid w:val="00CB6C19"/>
    <w:rsid w:val="00CB6CE6"/>
    <w:rsid w:val="00CC0311"/>
    <w:rsid w:val="00CC0EAF"/>
    <w:rsid w:val="00CC15B9"/>
    <w:rsid w:val="00CC2E7F"/>
    <w:rsid w:val="00CC308F"/>
    <w:rsid w:val="00CC4BB0"/>
    <w:rsid w:val="00CC64CF"/>
    <w:rsid w:val="00CC6678"/>
    <w:rsid w:val="00CC739C"/>
    <w:rsid w:val="00CD44BA"/>
    <w:rsid w:val="00CD5B21"/>
    <w:rsid w:val="00CD68F9"/>
    <w:rsid w:val="00CE1BE9"/>
    <w:rsid w:val="00CE21FC"/>
    <w:rsid w:val="00CE56DD"/>
    <w:rsid w:val="00CE5709"/>
    <w:rsid w:val="00CE65CB"/>
    <w:rsid w:val="00CF005D"/>
    <w:rsid w:val="00CF1098"/>
    <w:rsid w:val="00CF15B1"/>
    <w:rsid w:val="00CF28A4"/>
    <w:rsid w:val="00CF3C9D"/>
    <w:rsid w:val="00CF4A35"/>
    <w:rsid w:val="00CF55E9"/>
    <w:rsid w:val="00CF6CD1"/>
    <w:rsid w:val="00D01D2B"/>
    <w:rsid w:val="00D02712"/>
    <w:rsid w:val="00D02C0F"/>
    <w:rsid w:val="00D05EDD"/>
    <w:rsid w:val="00D06C9E"/>
    <w:rsid w:val="00D11147"/>
    <w:rsid w:val="00D114BD"/>
    <w:rsid w:val="00D12DDB"/>
    <w:rsid w:val="00D162E9"/>
    <w:rsid w:val="00D22263"/>
    <w:rsid w:val="00D226ED"/>
    <w:rsid w:val="00D22B9B"/>
    <w:rsid w:val="00D256F5"/>
    <w:rsid w:val="00D26D4B"/>
    <w:rsid w:val="00D26EBB"/>
    <w:rsid w:val="00D27F72"/>
    <w:rsid w:val="00D311A2"/>
    <w:rsid w:val="00D33490"/>
    <w:rsid w:val="00D33F0D"/>
    <w:rsid w:val="00D3598C"/>
    <w:rsid w:val="00D35FCC"/>
    <w:rsid w:val="00D37476"/>
    <w:rsid w:val="00D40372"/>
    <w:rsid w:val="00D40B31"/>
    <w:rsid w:val="00D41C9C"/>
    <w:rsid w:val="00D42487"/>
    <w:rsid w:val="00D43442"/>
    <w:rsid w:val="00D453B5"/>
    <w:rsid w:val="00D4598A"/>
    <w:rsid w:val="00D45D79"/>
    <w:rsid w:val="00D475FB"/>
    <w:rsid w:val="00D52308"/>
    <w:rsid w:val="00D53535"/>
    <w:rsid w:val="00D53E6A"/>
    <w:rsid w:val="00D549A6"/>
    <w:rsid w:val="00D5562A"/>
    <w:rsid w:val="00D56619"/>
    <w:rsid w:val="00D57FB1"/>
    <w:rsid w:val="00D614B8"/>
    <w:rsid w:val="00D62527"/>
    <w:rsid w:val="00D62ED5"/>
    <w:rsid w:val="00D63999"/>
    <w:rsid w:val="00D64565"/>
    <w:rsid w:val="00D65995"/>
    <w:rsid w:val="00D65D36"/>
    <w:rsid w:val="00D66016"/>
    <w:rsid w:val="00D723DB"/>
    <w:rsid w:val="00D72B75"/>
    <w:rsid w:val="00D735B2"/>
    <w:rsid w:val="00D73BFE"/>
    <w:rsid w:val="00D73DEC"/>
    <w:rsid w:val="00D75309"/>
    <w:rsid w:val="00D81C81"/>
    <w:rsid w:val="00D85385"/>
    <w:rsid w:val="00D870F9"/>
    <w:rsid w:val="00D8729F"/>
    <w:rsid w:val="00D916BE"/>
    <w:rsid w:val="00D917C3"/>
    <w:rsid w:val="00D91D07"/>
    <w:rsid w:val="00D92B09"/>
    <w:rsid w:val="00D93028"/>
    <w:rsid w:val="00D94D07"/>
    <w:rsid w:val="00D95585"/>
    <w:rsid w:val="00D96DD7"/>
    <w:rsid w:val="00DA0681"/>
    <w:rsid w:val="00DA1D78"/>
    <w:rsid w:val="00DA22A2"/>
    <w:rsid w:val="00DA2C42"/>
    <w:rsid w:val="00DA34B5"/>
    <w:rsid w:val="00DA78F1"/>
    <w:rsid w:val="00DA7BA5"/>
    <w:rsid w:val="00DB0369"/>
    <w:rsid w:val="00DB1032"/>
    <w:rsid w:val="00DB1ED2"/>
    <w:rsid w:val="00DB2903"/>
    <w:rsid w:val="00DB375A"/>
    <w:rsid w:val="00DB640E"/>
    <w:rsid w:val="00DC1B7A"/>
    <w:rsid w:val="00DC1EB1"/>
    <w:rsid w:val="00DC21BB"/>
    <w:rsid w:val="00DC3644"/>
    <w:rsid w:val="00DC5933"/>
    <w:rsid w:val="00DD07AD"/>
    <w:rsid w:val="00DD2377"/>
    <w:rsid w:val="00DD2E31"/>
    <w:rsid w:val="00DD4F70"/>
    <w:rsid w:val="00DD4FF4"/>
    <w:rsid w:val="00DE2713"/>
    <w:rsid w:val="00DE39DE"/>
    <w:rsid w:val="00DE40BE"/>
    <w:rsid w:val="00DE4410"/>
    <w:rsid w:val="00DE4FCC"/>
    <w:rsid w:val="00DE5C84"/>
    <w:rsid w:val="00DE5D95"/>
    <w:rsid w:val="00DE6E58"/>
    <w:rsid w:val="00DE7F12"/>
    <w:rsid w:val="00DF1814"/>
    <w:rsid w:val="00DF3325"/>
    <w:rsid w:val="00DF6392"/>
    <w:rsid w:val="00DF69A0"/>
    <w:rsid w:val="00DF7400"/>
    <w:rsid w:val="00DF79CF"/>
    <w:rsid w:val="00E01018"/>
    <w:rsid w:val="00E018E8"/>
    <w:rsid w:val="00E0198A"/>
    <w:rsid w:val="00E06326"/>
    <w:rsid w:val="00E0634D"/>
    <w:rsid w:val="00E10795"/>
    <w:rsid w:val="00E10F5F"/>
    <w:rsid w:val="00E11CC9"/>
    <w:rsid w:val="00E13A9A"/>
    <w:rsid w:val="00E143A6"/>
    <w:rsid w:val="00E14E2B"/>
    <w:rsid w:val="00E16CEA"/>
    <w:rsid w:val="00E179C9"/>
    <w:rsid w:val="00E20606"/>
    <w:rsid w:val="00E20BCE"/>
    <w:rsid w:val="00E2357C"/>
    <w:rsid w:val="00E25F4E"/>
    <w:rsid w:val="00E27A3B"/>
    <w:rsid w:val="00E30673"/>
    <w:rsid w:val="00E34B66"/>
    <w:rsid w:val="00E36753"/>
    <w:rsid w:val="00E41781"/>
    <w:rsid w:val="00E417FF"/>
    <w:rsid w:val="00E43152"/>
    <w:rsid w:val="00E43960"/>
    <w:rsid w:val="00E45733"/>
    <w:rsid w:val="00E45F74"/>
    <w:rsid w:val="00E4603D"/>
    <w:rsid w:val="00E52654"/>
    <w:rsid w:val="00E52B4F"/>
    <w:rsid w:val="00E551C5"/>
    <w:rsid w:val="00E551C6"/>
    <w:rsid w:val="00E55634"/>
    <w:rsid w:val="00E56DA9"/>
    <w:rsid w:val="00E57FA4"/>
    <w:rsid w:val="00E625A8"/>
    <w:rsid w:val="00E62B76"/>
    <w:rsid w:val="00E63D77"/>
    <w:rsid w:val="00E64197"/>
    <w:rsid w:val="00E65AD8"/>
    <w:rsid w:val="00E70B7A"/>
    <w:rsid w:val="00E70C48"/>
    <w:rsid w:val="00E70F2E"/>
    <w:rsid w:val="00E72A42"/>
    <w:rsid w:val="00E72C07"/>
    <w:rsid w:val="00E745B4"/>
    <w:rsid w:val="00E7631B"/>
    <w:rsid w:val="00E77760"/>
    <w:rsid w:val="00E80B3C"/>
    <w:rsid w:val="00E81AA4"/>
    <w:rsid w:val="00E81B5C"/>
    <w:rsid w:val="00E82107"/>
    <w:rsid w:val="00E83D64"/>
    <w:rsid w:val="00E83E70"/>
    <w:rsid w:val="00E87D96"/>
    <w:rsid w:val="00E9026F"/>
    <w:rsid w:val="00E9039F"/>
    <w:rsid w:val="00E9118B"/>
    <w:rsid w:val="00E9189E"/>
    <w:rsid w:val="00E934FE"/>
    <w:rsid w:val="00E943A4"/>
    <w:rsid w:val="00E946EC"/>
    <w:rsid w:val="00E95254"/>
    <w:rsid w:val="00E96911"/>
    <w:rsid w:val="00EA1B40"/>
    <w:rsid w:val="00EA4A4A"/>
    <w:rsid w:val="00EB0CA0"/>
    <w:rsid w:val="00EB2474"/>
    <w:rsid w:val="00EB2629"/>
    <w:rsid w:val="00EB47FF"/>
    <w:rsid w:val="00EB606A"/>
    <w:rsid w:val="00EB6CB9"/>
    <w:rsid w:val="00EC2128"/>
    <w:rsid w:val="00EC36E0"/>
    <w:rsid w:val="00EC4414"/>
    <w:rsid w:val="00EC5657"/>
    <w:rsid w:val="00ED3812"/>
    <w:rsid w:val="00ED41D5"/>
    <w:rsid w:val="00ED4427"/>
    <w:rsid w:val="00ED60FD"/>
    <w:rsid w:val="00ED79F1"/>
    <w:rsid w:val="00ED7F8E"/>
    <w:rsid w:val="00EE0E64"/>
    <w:rsid w:val="00EE2699"/>
    <w:rsid w:val="00EE3449"/>
    <w:rsid w:val="00EE44D8"/>
    <w:rsid w:val="00EE4C8C"/>
    <w:rsid w:val="00EE6D77"/>
    <w:rsid w:val="00EE716A"/>
    <w:rsid w:val="00EF032D"/>
    <w:rsid w:val="00EF0831"/>
    <w:rsid w:val="00EF2AD1"/>
    <w:rsid w:val="00EF36B0"/>
    <w:rsid w:val="00EF41BA"/>
    <w:rsid w:val="00EF6951"/>
    <w:rsid w:val="00EF7C85"/>
    <w:rsid w:val="00F00E96"/>
    <w:rsid w:val="00F02BCB"/>
    <w:rsid w:val="00F02C6A"/>
    <w:rsid w:val="00F05299"/>
    <w:rsid w:val="00F11A66"/>
    <w:rsid w:val="00F12598"/>
    <w:rsid w:val="00F12FE6"/>
    <w:rsid w:val="00F142D6"/>
    <w:rsid w:val="00F17F06"/>
    <w:rsid w:val="00F2239E"/>
    <w:rsid w:val="00F23EA4"/>
    <w:rsid w:val="00F24D6F"/>
    <w:rsid w:val="00F25F07"/>
    <w:rsid w:val="00F27210"/>
    <w:rsid w:val="00F27B8D"/>
    <w:rsid w:val="00F30094"/>
    <w:rsid w:val="00F313AA"/>
    <w:rsid w:val="00F317BD"/>
    <w:rsid w:val="00F31F6C"/>
    <w:rsid w:val="00F323B3"/>
    <w:rsid w:val="00F33995"/>
    <w:rsid w:val="00F33E51"/>
    <w:rsid w:val="00F3423B"/>
    <w:rsid w:val="00F34FDE"/>
    <w:rsid w:val="00F35105"/>
    <w:rsid w:val="00F4025C"/>
    <w:rsid w:val="00F414E7"/>
    <w:rsid w:val="00F47698"/>
    <w:rsid w:val="00F521E6"/>
    <w:rsid w:val="00F53561"/>
    <w:rsid w:val="00F5473B"/>
    <w:rsid w:val="00F54790"/>
    <w:rsid w:val="00F54D68"/>
    <w:rsid w:val="00F55F34"/>
    <w:rsid w:val="00F61789"/>
    <w:rsid w:val="00F61A05"/>
    <w:rsid w:val="00F620FA"/>
    <w:rsid w:val="00F62D9D"/>
    <w:rsid w:val="00F64730"/>
    <w:rsid w:val="00F674DF"/>
    <w:rsid w:val="00F677CB"/>
    <w:rsid w:val="00F6784A"/>
    <w:rsid w:val="00F67B06"/>
    <w:rsid w:val="00F67C6F"/>
    <w:rsid w:val="00F71335"/>
    <w:rsid w:val="00F72A2E"/>
    <w:rsid w:val="00F739DB"/>
    <w:rsid w:val="00F74531"/>
    <w:rsid w:val="00F75E63"/>
    <w:rsid w:val="00F773CE"/>
    <w:rsid w:val="00F807FE"/>
    <w:rsid w:val="00F81F45"/>
    <w:rsid w:val="00F82807"/>
    <w:rsid w:val="00F84E99"/>
    <w:rsid w:val="00F85402"/>
    <w:rsid w:val="00F859F7"/>
    <w:rsid w:val="00F94A34"/>
    <w:rsid w:val="00F954CF"/>
    <w:rsid w:val="00F96125"/>
    <w:rsid w:val="00FA036D"/>
    <w:rsid w:val="00FA093E"/>
    <w:rsid w:val="00FA5121"/>
    <w:rsid w:val="00FA59B6"/>
    <w:rsid w:val="00FA6E66"/>
    <w:rsid w:val="00FB0BCE"/>
    <w:rsid w:val="00FB2F26"/>
    <w:rsid w:val="00FB30CD"/>
    <w:rsid w:val="00FB521C"/>
    <w:rsid w:val="00FB6125"/>
    <w:rsid w:val="00FB7D11"/>
    <w:rsid w:val="00FC13D6"/>
    <w:rsid w:val="00FC4F4B"/>
    <w:rsid w:val="00FC5836"/>
    <w:rsid w:val="00FC7240"/>
    <w:rsid w:val="00FD0385"/>
    <w:rsid w:val="00FD18D0"/>
    <w:rsid w:val="00FD1D4B"/>
    <w:rsid w:val="00FD1D9D"/>
    <w:rsid w:val="00FD28C1"/>
    <w:rsid w:val="00FD5891"/>
    <w:rsid w:val="00FD5912"/>
    <w:rsid w:val="00FD6446"/>
    <w:rsid w:val="00FD6895"/>
    <w:rsid w:val="00FD72F8"/>
    <w:rsid w:val="00FD7466"/>
    <w:rsid w:val="00FE03B8"/>
    <w:rsid w:val="00FE03DF"/>
    <w:rsid w:val="00FE07C7"/>
    <w:rsid w:val="00FE1BA6"/>
    <w:rsid w:val="00FE3066"/>
    <w:rsid w:val="00FE30AF"/>
    <w:rsid w:val="00FE3A3F"/>
    <w:rsid w:val="00FE5581"/>
    <w:rsid w:val="00FE6386"/>
    <w:rsid w:val="00FF094A"/>
    <w:rsid w:val="00FF0FBA"/>
    <w:rsid w:val="00FF2AF7"/>
    <w:rsid w:val="00FF2EE2"/>
    <w:rsid w:val="00FF33F7"/>
    <w:rsid w:val="00FF452F"/>
    <w:rsid w:val="00FF4861"/>
    <w:rsid w:val="00FF6F8F"/>
    <w:rsid w:val="00FF71A4"/>
    <w:rsid w:val="0499EDDF"/>
    <w:rsid w:val="08C267EF"/>
    <w:rsid w:val="0A187BB6"/>
    <w:rsid w:val="0A5EA484"/>
    <w:rsid w:val="0B6A2CD7"/>
    <w:rsid w:val="0F333DA8"/>
    <w:rsid w:val="124E509D"/>
    <w:rsid w:val="1846C7D5"/>
    <w:rsid w:val="19F68675"/>
    <w:rsid w:val="1D42F1DC"/>
    <w:rsid w:val="1DEFB4EA"/>
    <w:rsid w:val="1E361232"/>
    <w:rsid w:val="1EB46337"/>
    <w:rsid w:val="22424C0D"/>
    <w:rsid w:val="22ED9A3F"/>
    <w:rsid w:val="2992F1EF"/>
    <w:rsid w:val="2A07D115"/>
    <w:rsid w:val="2C870E07"/>
    <w:rsid w:val="2D21BD21"/>
    <w:rsid w:val="306CE881"/>
    <w:rsid w:val="30B816A9"/>
    <w:rsid w:val="37511833"/>
    <w:rsid w:val="37E61527"/>
    <w:rsid w:val="390A91D1"/>
    <w:rsid w:val="39E665F0"/>
    <w:rsid w:val="3A70A1AA"/>
    <w:rsid w:val="3B4E36BB"/>
    <w:rsid w:val="3CC99EF3"/>
    <w:rsid w:val="3E964904"/>
    <w:rsid w:val="41B53B20"/>
    <w:rsid w:val="42C1B7A2"/>
    <w:rsid w:val="460EC563"/>
    <w:rsid w:val="47DFE1D5"/>
    <w:rsid w:val="491FA6F1"/>
    <w:rsid w:val="4CE66255"/>
    <w:rsid w:val="4D442124"/>
    <w:rsid w:val="4D94ACF1"/>
    <w:rsid w:val="51DE12C7"/>
    <w:rsid w:val="51DE8528"/>
    <w:rsid w:val="541BBF1F"/>
    <w:rsid w:val="568AB642"/>
    <w:rsid w:val="5B077CF8"/>
    <w:rsid w:val="5B46517B"/>
    <w:rsid w:val="618CB477"/>
    <w:rsid w:val="619A0C5B"/>
    <w:rsid w:val="62AF3E85"/>
    <w:rsid w:val="6462092E"/>
    <w:rsid w:val="65A6F950"/>
    <w:rsid w:val="69443475"/>
    <w:rsid w:val="69A87FDE"/>
    <w:rsid w:val="6B958213"/>
    <w:rsid w:val="6F158233"/>
    <w:rsid w:val="6F34B51E"/>
    <w:rsid w:val="6FE14978"/>
    <w:rsid w:val="70B2546F"/>
    <w:rsid w:val="71F5A986"/>
    <w:rsid w:val="7298259F"/>
    <w:rsid w:val="751CDA74"/>
    <w:rsid w:val="7B88E21A"/>
    <w:rsid w:val="7CA9D359"/>
    <w:rsid w:val="7CABF396"/>
    <w:rsid w:val="7D9273F7"/>
    <w:rsid w:val="7DCAEA7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AB7C9"/>
  <w15:docId w15:val="{4FDF6663-4E25-41BA-B6A6-93B70D711B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291153"/>
  </w:style>
  <w:style w:type="paragraph" w:styleId="Kop1">
    <w:name w:val="heading 1"/>
    <w:basedOn w:val="Huisstijl-Kleur"/>
    <w:next w:val="Standaard"/>
    <w:link w:val="Kop1Char"/>
    <w:uiPriority w:val="3"/>
    <w:qFormat/>
    <w:rsid w:val="00411A98"/>
    <w:pPr>
      <w:keepNext/>
      <w:pageBreakBefore/>
      <w:numPr>
        <w:numId w:val="4"/>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291153"/>
    <w:pPr>
      <w:pageBreakBefore w:val="0"/>
      <w:numPr>
        <w:ilvl w:val="1"/>
      </w:numPr>
      <w:spacing w:before="560" w:after="280" w:line="320" w:lineRule="atLeast"/>
      <w:outlineLvl w:val="1"/>
    </w:pPr>
    <w:rPr>
      <w:bCs w:val="0"/>
      <w:iCs/>
      <w:color w:val="BC1413"/>
      <w:sz w:val="30"/>
      <w:szCs w:val="28"/>
    </w:rPr>
  </w:style>
  <w:style w:type="paragraph" w:styleId="Kop3">
    <w:name w:val="heading 3"/>
    <w:basedOn w:val="Kop2"/>
    <w:next w:val="Standaard"/>
    <w:link w:val="Kop3Char"/>
    <w:uiPriority w:val="3"/>
    <w:qFormat/>
    <w:rsid w:val="00440375"/>
    <w:pPr>
      <w:numPr>
        <w:ilvl w:val="2"/>
      </w:numPr>
      <w:spacing w:before="280" w:after="0" w:line="280" w:lineRule="atLeast"/>
      <w:ind w:left="680"/>
      <w:contextualSpacing/>
      <w:outlineLvl w:val="2"/>
    </w:pPr>
    <w:rPr>
      <w:b/>
      <w:sz w:val="23"/>
      <w:szCs w:val="26"/>
    </w:rPr>
  </w:style>
  <w:style w:type="paragraph" w:styleId="Kop4">
    <w:name w:val="heading 4"/>
    <w:basedOn w:val="Kop2"/>
    <w:next w:val="Standaard"/>
    <w:link w:val="Kop4Char"/>
    <w:uiPriority w:val="3"/>
    <w:qFormat/>
    <w:rsid w:val="00F25F07"/>
    <w:pPr>
      <w:pageBreakBefore/>
      <w:numPr>
        <w:ilvl w:val="3"/>
      </w:numPr>
      <w:outlineLvl w:val="3"/>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3"/>
    <w:rsid w:val="00984B4D"/>
    <w:pPr>
      <w:tabs>
        <w:tab w:val="center" w:pos="4536"/>
        <w:tab w:val="right" w:pos="9072"/>
      </w:tabs>
      <w:spacing w:line="240" w:lineRule="auto"/>
    </w:pPr>
  </w:style>
  <w:style w:type="character" w:styleId="KoptekstChar" w:customStyle="1">
    <w:name w:val="Koptekst Char"/>
    <w:basedOn w:val="Standaardalinea-lettertype"/>
    <w:link w:val="Koptekst"/>
    <w:uiPriority w:val="3"/>
    <w:rsid w:val="00BC3FD5"/>
  </w:style>
  <w:style w:type="character" w:styleId="Hyperlink">
    <w:name w:val="Hyperlink"/>
    <w:basedOn w:val="Standaardalinea-lettertype"/>
    <w:uiPriority w:val="99"/>
    <w:rsid w:val="00991EF1"/>
    <w:rPr>
      <w:color w:val="0563C1" w:themeColor="hyperlink"/>
      <w:u w:val="single"/>
    </w:rPr>
  </w:style>
  <w:style w:type="paragraph" w:styleId="Huisstijl-Titel" w:customStyle="1">
    <w:name w:val="Huisstijl-Titel"/>
    <w:basedOn w:val="Huisstijl-Kleur"/>
    <w:semiHidden/>
    <w:qFormat/>
    <w:rsid w:val="00984B4D"/>
    <w:pPr>
      <w:spacing w:line="800" w:lineRule="atLeast"/>
    </w:pPr>
    <w:rPr>
      <w:sz w:val="72"/>
    </w:rPr>
  </w:style>
  <w:style w:type="paragraph" w:styleId="Huisstijl-Versie" w:customStyle="1">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hAnsiTheme="minorHAnsi" w:eastAsiaTheme="minorEastAsia" w:cstheme="minorBidi"/>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Huisstijl-Adres" w:customStyle="1">
    <w:name w:val="Huisstijl-Adres"/>
    <w:basedOn w:val="Standaard"/>
    <w:next w:val="Standaard"/>
    <w:semiHidden/>
    <w:rsid w:val="004137CC"/>
    <w:pPr>
      <w:spacing w:line="280" w:lineRule="exact"/>
    </w:pPr>
    <w:rPr>
      <w:rFonts w:eastAsia="MS Mincho"/>
      <w:noProof/>
      <w:szCs w:val="24"/>
    </w:rPr>
  </w:style>
  <w:style w:type="character" w:styleId="Huisstijl-Gegeven" w:customStyle="1">
    <w:name w:val="Huisstijl-Gegeven"/>
    <w:semiHidden/>
    <w:rsid w:val="0020601C"/>
    <w:rPr>
      <w:rFonts w:ascii="Arial" w:hAnsi="Arial"/>
      <w:sz w:val="20"/>
    </w:rPr>
  </w:style>
  <w:style w:type="paragraph" w:styleId="Kop1zondernummer" w:customStyle="1">
    <w:name w:val="Kop 1 zonder nummer"/>
    <w:basedOn w:val="Kop1"/>
    <w:next w:val="Standaard"/>
    <w:uiPriority w:val="3"/>
    <w:qFormat/>
    <w:rsid w:val="00440375"/>
    <w:pPr>
      <w:numPr>
        <w:numId w:val="0"/>
      </w:numPr>
    </w:pPr>
  </w:style>
  <w:style w:type="table" w:styleId="Tabelraster">
    <w:name w:val="Table Grid"/>
    <w:basedOn w:val="Standaardtabel"/>
    <w:rsid w:val="00F47698"/>
    <w:pPr>
      <w:spacing w:line="250" w:lineRule="atLeast"/>
    </w:pPr>
    <w:rPr>
      <w:sz w:val="18"/>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character" w:styleId="Huisstijl-Kopje" w:customStyle="1">
    <w:name w:val="Huisstijl-Kopje"/>
    <w:basedOn w:val="Huisstijl-Gegeven"/>
    <w:semiHidden/>
    <w:rsid w:val="0020601C"/>
    <w:rPr>
      <w:rFonts w:ascii="Arial" w:hAnsi="Arial"/>
      <w:b w:val="0"/>
      <w:sz w:val="16"/>
    </w:rPr>
  </w:style>
  <w:style w:type="numbering" w:styleId="Huisstijl-Letter" w:customStyle="1">
    <w:name w:val="Huisstijl-Letter"/>
    <w:basedOn w:val="Geenlijst"/>
    <w:rsid w:val="00455881"/>
    <w:pPr>
      <w:numPr>
        <w:numId w:val="1"/>
      </w:numPr>
    </w:pPr>
  </w:style>
  <w:style w:type="paragraph" w:styleId="Huisstijl-Kop" w:customStyle="1">
    <w:name w:val="Huisstijl-Kop"/>
    <w:basedOn w:val="Kop1zondernummer"/>
    <w:next w:val="Standaard"/>
    <w:semiHidden/>
    <w:qFormat/>
    <w:rsid w:val="00680D74"/>
  </w:style>
  <w:style w:type="numbering" w:styleId="Huisstijl-Nummer" w:customStyle="1">
    <w:name w:val="Huisstijl-Nummer"/>
    <w:basedOn w:val="Geenlijst"/>
    <w:uiPriority w:val="99"/>
    <w:rsid w:val="00455881"/>
    <w:pPr>
      <w:numPr>
        <w:numId w:val="2"/>
      </w:numPr>
    </w:pPr>
  </w:style>
  <w:style w:type="numbering" w:styleId="Huisstijl-Opsomming" w:customStyle="1">
    <w:name w:val="Huisstijl-Opsomming"/>
    <w:basedOn w:val="Geenlijst"/>
    <w:rsid w:val="00B8135A"/>
    <w:pPr>
      <w:numPr>
        <w:numId w:val="3"/>
      </w:numPr>
    </w:pPr>
  </w:style>
  <w:style w:type="paragraph" w:styleId="Huisstijl-Pagina" w:customStyle="1">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styleId="Kop2zondernummer" w:customStyle="1">
    <w:name w:val="Kop 2 zonder nummer"/>
    <w:basedOn w:val="Kop2"/>
    <w:next w:val="Standaard"/>
    <w:uiPriority w:val="3"/>
    <w:qFormat/>
    <w:rsid w:val="00440375"/>
    <w:pPr>
      <w:numPr>
        <w:ilvl w:val="0"/>
        <w:numId w:val="0"/>
      </w:numPr>
    </w:pPr>
  </w:style>
  <w:style w:type="paragraph" w:styleId="Huisstijl-Voettekst" w:customStyle="1">
    <w:name w:val="Huisstijl-Voettekst"/>
    <w:basedOn w:val="Huisstijl-Kleur"/>
    <w:next w:val="Standaard"/>
    <w:semiHidden/>
    <w:rsid w:val="00440375"/>
    <w:pPr>
      <w:tabs>
        <w:tab w:val="left" w:pos="425"/>
      </w:tabs>
      <w:spacing w:line="240" w:lineRule="auto"/>
      <w:ind w:left="425" w:hanging="425"/>
    </w:pPr>
    <w:rPr>
      <w:b/>
      <w:sz w:val="15"/>
    </w:rPr>
  </w:style>
  <w:style w:type="character" w:styleId="Kop1Char" w:customStyle="1">
    <w:name w:val="Kop 1 Char"/>
    <w:basedOn w:val="Standaardalinea-lettertype"/>
    <w:link w:val="Kop1"/>
    <w:uiPriority w:val="3"/>
    <w:rsid w:val="00BC3FD5"/>
    <w:rPr>
      <w:rFonts w:eastAsia="MS Mincho" w:cs="Arial"/>
      <w:bCs/>
      <w:color w:val="004563"/>
      <w:sz w:val="60"/>
      <w:szCs w:val="32"/>
    </w:rPr>
  </w:style>
  <w:style w:type="character" w:styleId="Kop2Char" w:customStyle="1">
    <w:name w:val="Kop 2 Char"/>
    <w:basedOn w:val="Standaardalinea-lettertype"/>
    <w:link w:val="Kop2"/>
    <w:uiPriority w:val="3"/>
    <w:rsid w:val="00291153"/>
    <w:rPr>
      <w:rFonts w:eastAsia="MS Mincho" w:cs="Arial"/>
      <w:iCs/>
      <w:color w:val="BC1413"/>
      <w:sz w:val="30"/>
      <w:szCs w:val="28"/>
    </w:rPr>
  </w:style>
  <w:style w:type="character" w:styleId="Kop3Char" w:customStyle="1">
    <w:name w:val="Kop 3 Char"/>
    <w:basedOn w:val="Standaardalinea-lettertype"/>
    <w:link w:val="Kop3"/>
    <w:uiPriority w:val="3"/>
    <w:rsid w:val="00BC3FD5"/>
    <w:rPr>
      <w:rFonts w:eastAsia="MS Mincho" w:cs="Arial"/>
      <w:b/>
      <w:iCs/>
      <w:color w:val="BC1413"/>
      <w:sz w:val="23"/>
      <w:szCs w:val="26"/>
    </w:rPr>
  </w:style>
  <w:style w:type="character" w:styleId="Kop4Char" w:customStyle="1">
    <w:name w:val="Kop 4 Char"/>
    <w:basedOn w:val="Standaardalinea-lettertype"/>
    <w:link w:val="Kop4"/>
    <w:uiPriority w:val="3"/>
    <w:rsid w:val="00BC3FD5"/>
    <w:rPr>
      <w:rFonts w:eastAsia="MS Mincho" w:cs="Arial"/>
      <w:iCs/>
      <w:color w:val="BC1413"/>
      <w:sz w:val="30"/>
      <w:szCs w:val="28"/>
    </w:rPr>
  </w:style>
  <w:style w:type="paragraph" w:styleId="Huisstijl-AlineaNa" w:customStyle="1">
    <w:name w:val="Huisstijl-AlineaNa"/>
    <w:basedOn w:val="Standaard"/>
    <w:semiHidden/>
    <w:qFormat/>
    <w:rsid w:val="00D45D79"/>
    <w:pPr>
      <w:spacing w:before="760"/>
    </w:pPr>
  </w:style>
  <w:style w:type="paragraph" w:styleId="KopBijlage" w:customStyle="1">
    <w:name w:val="Kop Bijlage"/>
    <w:basedOn w:val="Kop1zondernummer"/>
    <w:next w:val="Standaard"/>
    <w:uiPriority w:val="3"/>
    <w:qFormat/>
    <w:rsid w:val="007D0E00"/>
    <w:pPr>
      <w:spacing w:after="0"/>
    </w:pPr>
  </w:style>
  <w:style w:type="paragraph" w:styleId="Lijstopsomteken">
    <w:name w:val="List Bullet"/>
    <w:basedOn w:val="Standaard"/>
    <w:rsid w:val="00B8135A"/>
    <w:pPr>
      <w:numPr>
        <w:numId w:val="6"/>
      </w:numPr>
      <w:tabs>
        <w:tab w:val="left" w:pos="397"/>
      </w:tabs>
    </w:pPr>
  </w:style>
  <w:style w:type="paragraph" w:styleId="Lijstopsomteken2">
    <w:name w:val="List Bullet 2"/>
    <w:basedOn w:val="Standaard"/>
    <w:rsid w:val="00B8135A"/>
    <w:pPr>
      <w:numPr>
        <w:ilvl w:val="1"/>
        <w:numId w:val="6"/>
      </w:numPr>
      <w:ind w:left="1440" w:hanging="360"/>
      <w:contextualSpacing/>
    </w:pPr>
  </w:style>
  <w:style w:type="paragraph" w:styleId="Inhopg3">
    <w:name w:val="toc 3"/>
    <w:basedOn w:val="Inhopg2"/>
    <w:next w:val="Standaard"/>
    <w:autoRedefine/>
    <w:uiPriority w:val="39"/>
    <w:rsid w:val="001007D9"/>
  </w:style>
  <w:style w:type="paragraph" w:styleId="KoponderBijlage" w:customStyle="1">
    <w:name w:val="Kop onder Bijlage"/>
    <w:basedOn w:val="KopBijlage"/>
    <w:next w:val="Standaard"/>
    <w:uiPriority w:val="3"/>
    <w:qFormat/>
    <w:rsid w:val="00F82807"/>
    <w:pPr>
      <w:pageBreakBefore w:val="0"/>
      <w:spacing w:after="280" w:line="480" w:lineRule="atLeast"/>
    </w:pPr>
    <w:rPr>
      <w:sz w:val="42"/>
    </w:rPr>
  </w:style>
  <w:style w:type="paragraph" w:styleId="Introductietekst" w:customStyle="1">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iPriority w:val="5"/>
    <w:unhideWhenUsed/>
    <w:qFormat/>
    <w:rsid w:val="00291153"/>
    <w:pPr>
      <w:spacing w:after="280"/>
    </w:pPr>
    <w:rPr>
      <w:b/>
      <w:iCs/>
      <w:color w:val="004563"/>
      <w:szCs w:val="18"/>
    </w:rPr>
  </w:style>
  <w:style w:type="paragraph" w:styleId="Lijstnummering">
    <w:name w:val="List Number"/>
    <w:basedOn w:val="Standaard"/>
    <w:uiPriority w:val="5"/>
    <w:qFormat/>
    <w:rsid w:val="008368EC"/>
    <w:pPr>
      <w:numPr>
        <w:numId w:val="5"/>
      </w:numPr>
      <w:tabs>
        <w:tab w:val="left" w:pos="397"/>
      </w:tabs>
      <w:ind w:left="357" w:hanging="357"/>
      <w:contextualSpacing/>
    </w:pPr>
  </w:style>
  <w:style w:type="paragraph" w:styleId="Bijschriftonderfiguur" w:customStyle="1">
    <w:name w:val="Bijschrift onder figuur"/>
    <w:basedOn w:val="Standaard"/>
    <w:next w:val="Standaard"/>
    <w:uiPriority w:val="5"/>
    <w:qFormat/>
    <w:rsid w:val="00C200AB"/>
    <w:pPr>
      <w:spacing w:before="140" w:line="200" w:lineRule="atLeast"/>
    </w:pPr>
    <w:rPr>
      <w:sz w:val="15"/>
    </w:rPr>
  </w:style>
  <w:style w:type="paragraph" w:styleId="Huisstijl-Kadertekst" w:customStyle="1">
    <w:name w:val="Huisstijl-Kadertekst"/>
    <w:basedOn w:val="Introductietekst"/>
    <w:next w:val="Standaard"/>
    <w:semiHidden/>
    <w:qFormat/>
    <w:rsid w:val="008E32DE"/>
    <w:pPr>
      <w:spacing w:before="280" w:after="280" w:line="280" w:lineRule="atLeast"/>
    </w:pPr>
    <w:rPr>
      <w:sz w:val="20"/>
    </w:rPr>
  </w:style>
  <w:style w:type="paragraph" w:styleId="Bijschriftondertabel" w:customStyle="1">
    <w:name w:val="Bijschrift onder tabel"/>
    <w:basedOn w:val="Bijschriftonderfiguur"/>
    <w:uiPriority w:val="5"/>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color="BCE3FA" w:sz="6" w:space="0"/>
        <w:left w:val="single" w:color="BCE3FA" w:sz="6" w:space="0"/>
        <w:bottom w:val="single" w:color="BCE3FA" w:sz="6" w:space="0"/>
        <w:right w:val="single" w:color="BCE3FA"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ichtearcering-accent1">
    <w:name w:val="Light Shading Accent 1"/>
    <w:basedOn w:val="Standaardtabel"/>
    <w:uiPriority w:val="60"/>
    <w:rsid w:val="008E32DE"/>
    <w:pPr>
      <w:spacing w:line="240" w:lineRule="auto"/>
    </w:pPr>
    <w:rPr>
      <w:rFonts w:asciiTheme="minorHAnsi" w:hAnsiTheme="minorHAnsi" w:eastAsiaTheme="minorEastAsia" w:cstheme="minorBidi"/>
      <w:color w:val="00243A" w:themeColor="accent1" w:themeShade="BF"/>
      <w:sz w:val="22"/>
      <w:szCs w:val="22"/>
    </w:rPr>
    <w:tblPr>
      <w:tblStyleRowBandSize w:val="1"/>
      <w:tblStyleColBandSize w:val="1"/>
      <w:tblBorders>
        <w:top w:val="single" w:color="00314E" w:themeColor="accent1" w:sz="8" w:space="0"/>
        <w:bottom w:val="single" w:color="00314E" w:themeColor="accent1" w:sz="8" w:space="0"/>
      </w:tblBorders>
    </w:tblPr>
    <w:tblStylePr w:type="firstRow">
      <w:pPr>
        <w:spacing w:before="0" w:after="0" w:line="240" w:lineRule="auto"/>
      </w:pPr>
      <w:rPr>
        <w:b/>
        <w:bCs/>
      </w:rPr>
      <w:tblPr/>
      <w:tcPr>
        <w:tcBorders>
          <w:top w:val="single" w:color="00314E" w:themeColor="accent1" w:sz="8" w:space="0"/>
          <w:left w:val="nil"/>
          <w:bottom w:val="single" w:color="00314E" w:themeColor="accent1" w:sz="8" w:space="0"/>
          <w:right w:val="nil"/>
          <w:insideH w:val="nil"/>
          <w:insideV w:val="nil"/>
        </w:tcBorders>
      </w:tcPr>
    </w:tblStylePr>
    <w:tblStylePr w:type="lastRow">
      <w:pPr>
        <w:spacing w:before="0" w:after="0" w:line="240" w:lineRule="auto"/>
      </w:pPr>
      <w:rPr>
        <w:b/>
        <w:bCs/>
      </w:rPr>
      <w:tblPr/>
      <w:tcPr>
        <w:tcBorders>
          <w:top w:val="single" w:color="00314E" w:themeColor="accent1" w:sz="8" w:space="0"/>
          <w:left w:val="nil"/>
          <w:bottom w:val="single" w:color="00314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styleId="Huisstijl-Kleur" w:customStyle="1">
    <w:name w:val="Huisstijl-Kleur"/>
    <w:basedOn w:val="Standaard"/>
    <w:next w:val="Standaard"/>
    <w:semiHidden/>
    <w:qFormat/>
    <w:rsid w:val="00291153"/>
    <w:rPr>
      <w:color w:val="004563"/>
    </w:rPr>
  </w:style>
  <w:style w:type="paragraph" w:styleId="Kop3zondernummer" w:customStyle="1">
    <w:name w:val="Kop 3 zonder nummer"/>
    <w:basedOn w:val="Kop3"/>
    <w:next w:val="Standaard"/>
    <w:uiPriority w:val="3"/>
    <w:qFormat/>
    <w:rsid w:val="00EE44D8"/>
    <w:pPr>
      <w:numPr>
        <w:ilvl w:val="0"/>
        <w:numId w:val="0"/>
      </w:numPr>
    </w:pPr>
  </w:style>
  <w:style w:type="paragraph" w:styleId="Lijstalinea">
    <w:name w:val="List Paragraph"/>
    <w:aliases w:val="Lijstalinea niv 1,Opsomming,List level 1,opsomming cijfer,lijstStijl"/>
    <w:basedOn w:val="Lijstopsomteken"/>
    <w:link w:val="LijstalineaChar"/>
    <w:uiPriority w:val="34"/>
    <w:qFormat/>
    <w:rsid w:val="008368EC"/>
    <w:pPr>
      <w:ind w:left="357" w:hanging="357"/>
      <w:contextualSpacing/>
    </w:pPr>
  </w:style>
  <w:style w:type="paragraph" w:styleId="Ballontekst">
    <w:name w:val="Balloon Text"/>
    <w:basedOn w:val="Standaard"/>
    <w:link w:val="BallontekstChar"/>
    <w:uiPriority w:val="5"/>
    <w:rsid w:val="00B8135A"/>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5"/>
    <w:rsid w:val="00BC3FD5"/>
    <w:rPr>
      <w:rFonts w:ascii="Tahoma" w:hAnsi="Tahoma" w:cs="Tahoma"/>
      <w:sz w:val="16"/>
      <w:szCs w:val="16"/>
    </w:rPr>
  </w:style>
  <w:style w:type="paragraph" w:styleId="Voettekst">
    <w:name w:val="footer"/>
    <w:basedOn w:val="Standaard"/>
    <w:link w:val="VoettekstChar"/>
    <w:uiPriority w:val="5"/>
    <w:unhideWhenUsed/>
    <w:rsid w:val="00DB375A"/>
    <w:pPr>
      <w:tabs>
        <w:tab w:val="center" w:pos="4536"/>
        <w:tab w:val="right" w:pos="9072"/>
      </w:tabs>
      <w:spacing w:line="240" w:lineRule="auto"/>
    </w:pPr>
  </w:style>
  <w:style w:type="character" w:styleId="VoettekstChar" w:customStyle="1">
    <w:name w:val="Voettekst Char"/>
    <w:basedOn w:val="Standaardalinea-lettertype"/>
    <w:link w:val="Voettekst"/>
    <w:uiPriority w:val="5"/>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styleId="VoetnoottekstChar" w:customStyle="1">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styleId="Kadertekstquote" w:customStyle="1">
    <w:name w:val="Kadertekst/quote"/>
    <w:basedOn w:val="Standaard"/>
    <w:next w:val="Standaard"/>
    <w:uiPriority w:val="5"/>
    <w:qFormat/>
    <w:rsid w:val="00291153"/>
    <w:pPr>
      <w:spacing w:before="200" w:after="200" w:line="240" w:lineRule="auto"/>
      <w:ind w:left="680"/>
    </w:pPr>
    <w:rPr>
      <w:color w:val="004563"/>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character" w:styleId="LijstalineaChar" w:customStyle="1">
    <w:name w:val="Lijstalinea Char"/>
    <w:aliases w:val="Lijstalinea niv 1 Char,Opsomming Char,List level 1 Char,opsomming cijfer Char,lijstStijl Char"/>
    <w:basedOn w:val="Standaardalinea-lettertype"/>
    <w:link w:val="Lijstalinea"/>
    <w:uiPriority w:val="34"/>
    <w:locked/>
    <w:rsid w:val="001B6203"/>
  </w:style>
  <w:style w:type="paragraph" w:styleId="xmsonormal" w:customStyle="1">
    <w:name w:val="x_msonormal"/>
    <w:basedOn w:val="Standaard"/>
    <w:rsid w:val="001B6203"/>
    <w:pPr>
      <w:spacing w:line="240" w:lineRule="auto"/>
    </w:pPr>
    <w:rPr>
      <w:rFonts w:ascii="Calibri" w:hAnsi="Calibri" w:cs="Calibri" w:eastAsiaTheme="minorHAnsi"/>
      <w:sz w:val="22"/>
      <w:szCs w:val="22"/>
    </w:rPr>
  </w:style>
  <w:style w:type="character" w:styleId="Onopgelostemelding">
    <w:name w:val="Unresolved Mention"/>
    <w:basedOn w:val="Standaardalinea-lettertype"/>
    <w:uiPriority w:val="99"/>
    <w:semiHidden/>
    <w:unhideWhenUsed/>
    <w:rsid w:val="001B6203"/>
    <w:rPr>
      <w:color w:val="605E5C"/>
      <w:shd w:val="clear" w:color="auto" w:fill="E1DFDD"/>
    </w:rPr>
  </w:style>
  <w:style w:type="character" w:styleId="Verwijzingopmerking">
    <w:name w:val="annotation reference"/>
    <w:basedOn w:val="Standaardalinea-lettertype"/>
    <w:uiPriority w:val="99"/>
    <w:unhideWhenUsed/>
    <w:rsid w:val="001909DC"/>
    <w:rPr>
      <w:sz w:val="16"/>
      <w:szCs w:val="16"/>
    </w:rPr>
  </w:style>
  <w:style w:type="paragraph" w:styleId="Tekstopmerking">
    <w:name w:val="annotation text"/>
    <w:basedOn w:val="Standaard"/>
    <w:link w:val="TekstopmerkingChar"/>
    <w:unhideWhenUsed/>
    <w:rsid w:val="001909DC"/>
    <w:pPr>
      <w:spacing w:line="240" w:lineRule="auto"/>
    </w:pPr>
  </w:style>
  <w:style w:type="character" w:styleId="TekstopmerkingChar" w:customStyle="1">
    <w:name w:val="Tekst opmerking Char"/>
    <w:basedOn w:val="Standaardalinea-lettertype"/>
    <w:link w:val="Tekstopmerking"/>
    <w:rsid w:val="001909DC"/>
  </w:style>
  <w:style w:type="paragraph" w:styleId="Onderwerpvanopmerking">
    <w:name w:val="annotation subject"/>
    <w:basedOn w:val="Tekstopmerking"/>
    <w:next w:val="Tekstopmerking"/>
    <w:link w:val="OnderwerpvanopmerkingChar"/>
    <w:semiHidden/>
    <w:unhideWhenUsed/>
    <w:rsid w:val="009C4597"/>
    <w:rPr>
      <w:b/>
      <w:bCs/>
    </w:rPr>
  </w:style>
  <w:style w:type="character" w:styleId="OnderwerpvanopmerkingChar" w:customStyle="1">
    <w:name w:val="Onderwerp van opmerking Char"/>
    <w:basedOn w:val="TekstopmerkingChar"/>
    <w:link w:val="Onderwerpvanopmerking"/>
    <w:semiHidden/>
    <w:rsid w:val="009C4597"/>
    <w:rPr>
      <w:b/>
      <w:bCs/>
    </w:rPr>
  </w:style>
  <w:style w:type="paragraph" w:styleId="Opsomming1genummerd" w:customStyle="1">
    <w:name w:val="Opsomming 1 genummerd"/>
    <w:basedOn w:val="Standaard"/>
    <w:qFormat/>
    <w:rsid w:val="00F61789"/>
    <w:pPr>
      <w:widowControl w:val="0"/>
      <w:numPr>
        <w:numId w:val="10"/>
      </w:numPr>
      <w:tabs>
        <w:tab w:val="left" w:pos="1560"/>
      </w:tabs>
      <w:overflowPunct w:val="0"/>
      <w:autoSpaceDE w:val="0"/>
      <w:autoSpaceDN w:val="0"/>
      <w:adjustRightInd w:val="0"/>
      <w:spacing w:line="240" w:lineRule="auto"/>
      <w:textAlignment w:val="baseline"/>
    </w:pPr>
    <w:rPr>
      <w:rFonts w:cs="Arial"/>
    </w:rPr>
  </w:style>
  <w:style w:type="paragraph" w:styleId="Alinea1" w:customStyle="1">
    <w:name w:val="Alinea 1"/>
    <w:basedOn w:val="Standaard"/>
    <w:qFormat/>
    <w:rsid w:val="00F61789"/>
    <w:pPr>
      <w:keepLines/>
      <w:overflowPunct w:val="0"/>
      <w:autoSpaceDE w:val="0"/>
      <w:autoSpaceDN w:val="0"/>
      <w:adjustRightInd w:val="0"/>
      <w:spacing w:line="240" w:lineRule="auto"/>
      <w:ind w:left="1559"/>
      <w:textAlignment w:val="baseline"/>
    </w:pPr>
    <w:rPr>
      <w:rFonts w:cs="Arial"/>
      <w:lang w:val="nl"/>
    </w:rPr>
  </w:style>
  <w:style w:type="paragraph" w:styleId="Alinea0" w:customStyle="1">
    <w:name w:val="Alinea 0"/>
    <w:basedOn w:val="Standaard"/>
    <w:link w:val="Alinea0Char"/>
    <w:rsid w:val="00D62ED5"/>
    <w:pPr>
      <w:widowControl w:val="0"/>
      <w:overflowPunct w:val="0"/>
      <w:autoSpaceDE w:val="0"/>
      <w:autoSpaceDN w:val="0"/>
      <w:adjustRightInd w:val="0"/>
      <w:spacing w:line="240" w:lineRule="auto"/>
      <w:ind w:left="1134"/>
      <w:textAlignment w:val="baseline"/>
    </w:pPr>
    <w:rPr>
      <w:lang w:val="nl" w:eastAsia="x-none"/>
    </w:rPr>
  </w:style>
  <w:style w:type="character" w:styleId="Alinea0Char" w:customStyle="1">
    <w:name w:val="Alinea 0 Char"/>
    <w:link w:val="Alinea0"/>
    <w:rsid w:val="00D62ED5"/>
    <w:rPr>
      <w:lang w:val="nl" w:eastAsia="x-none"/>
    </w:rPr>
  </w:style>
  <w:style w:type="paragraph" w:styleId="broodtekst" w:customStyle="1">
    <w:name w:val="broodtekst"/>
    <w:basedOn w:val="Standaard"/>
    <w:link w:val="broodtekstChar"/>
    <w:rsid w:val="009077BE"/>
    <w:pPr>
      <w:tabs>
        <w:tab w:val="left" w:pos="227"/>
        <w:tab w:val="left" w:pos="454"/>
        <w:tab w:val="left" w:pos="680"/>
      </w:tabs>
      <w:autoSpaceDE w:val="0"/>
      <w:autoSpaceDN w:val="0"/>
      <w:adjustRightInd w:val="0"/>
      <w:spacing w:line="240" w:lineRule="atLeast"/>
    </w:pPr>
    <w:rPr>
      <w:rFonts w:ascii="Verdana" w:hAnsi="Verdana" w:eastAsia="MS Mincho"/>
      <w:sz w:val="18"/>
      <w:szCs w:val="18"/>
    </w:rPr>
  </w:style>
  <w:style w:type="character" w:styleId="broodtekstChar" w:customStyle="1">
    <w:name w:val="broodtekst Char"/>
    <w:link w:val="broodtekst"/>
    <w:rsid w:val="009077BE"/>
    <w:rPr>
      <w:rFonts w:ascii="Verdana" w:hAnsi="Verdana" w:eastAsia="MS Mincho"/>
      <w:sz w:val="18"/>
      <w:szCs w:val="18"/>
    </w:rPr>
  </w:style>
  <w:style w:type="paragraph" w:styleId="broodtekst-bold" w:customStyle="1">
    <w:name w:val="broodtekst-bold"/>
    <w:basedOn w:val="broodtekst"/>
    <w:link w:val="broodtekst-boldChar"/>
    <w:rsid w:val="009077BE"/>
    <w:rPr>
      <w:b/>
    </w:rPr>
  </w:style>
  <w:style w:type="character" w:styleId="broodtekst-boldChar" w:customStyle="1">
    <w:name w:val="broodtekst-bold Char"/>
    <w:link w:val="broodtekst-bold"/>
    <w:rsid w:val="009077BE"/>
    <w:rPr>
      <w:rFonts w:ascii="Verdana" w:hAnsi="Verdana" w:eastAsia="MS Mincho"/>
      <w:b/>
      <w:sz w:val="18"/>
      <w:szCs w:val="18"/>
    </w:rPr>
  </w:style>
  <w:style w:type="table" w:styleId="Tabelraster2" w:customStyle="1">
    <w:name w:val="Tabelraster2"/>
    <w:basedOn w:val="Standaardtabel"/>
    <w:next w:val="Tabelraster"/>
    <w:uiPriority w:val="39"/>
    <w:rsid w:val="00A80048"/>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97318F"/>
    <w:pPr>
      <w:spacing w:line="240" w:lineRule="auto"/>
    </w:pPr>
  </w:style>
  <w:style w:type="paragraph" w:styleId="paragraph" w:customStyle="1">
    <w:name w:val="paragraph"/>
    <w:basedOn w:val="Standaard"/>
    <w:rsid w:val="00184893"/>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Standaardalinea-lettertype"/>
    <w:rsid w:val="00184893"/>
  </w:style>
  <w:style w:type="character" w:styleId="eop" w:customStyle="1">
    <w:name w:val="eop"/>
    <w:basedOn w:val="Standaardalinea-lettertype"/>
    <w:rsid w:val="00184893"/>
  </w:style>
  <w:style w:type="character" w:styleId="scxw123793787" w:customStyle="1">
    <w:name w:val="scxw123793787"/>
    <w:basedOn w:val="Standaardalinea-lettertype"/>
    <w:rsid w:val="00184893"/>
  </w:style>
  <w:style w:type="table" w:styleId="Tabelrasterlicht">
    <w:name w:val="Grid Table Light"/>
    <w:basedOn w:val="Standaardtabel"/>
    <w:uiPriority w:val="40"/>
    <w:rsid w:val="00B2691C"/>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1" w:customStyle="1">
    <w:name w:val="Table Grid Light1"/>
    <w:basedOn w:val="Standaardtabel"/>
    <w:next w:val="Tabelrasterlicht"/>
    <w:uiPriority w:val="40"/>
    <w:rsid w:val="00066D9D"/>
    <w:pPr>
      <w:spacing w:line="240" w:lineRule="auto"/>
    </w:p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Default" w:customStyle="1">
    <w:name w:val="Default"/>
    <w:rsid w:val="00066D9D"/>
    <w:pPr>
      <w:autoSpaceDE w:val="0"/>
      <w:autoSpaceDN w:val="0"/>
      <w:adjustRightInd w:val="0"/>
      <w:spacing w:line="240" w:lineRule="auto"/>
    </w:pPr>
    <w:rPr>
      <w:rFonts w:cs="Arial"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914">
      <w:bodyDiv w:val="1"/>
      <w:marLeft w:val="0"/>
      <w:marRight w:val="0"/>
      <w:marTop w:val="0"/>
      <w:marBottom w:val="0"/>
      <w:divBdr>
        <w:top w:val="none" w:sz="0" w:space="0" w:color="auto"/>
        <w:left w:val="none" w:sz="0" w:space="0" w:color="auto"/>
        <w:bottom w:val="none" w:sz="0" w:space="0" w:color="auto"/>
        <w:right w:val="none" w:sz="0" w:space="0" w:color="auto"/>
      </w:divBdr>
    </w:div>
    <w:div w:id="160119743">
      <w:bodyDiv w:val="1"/>
      <w:marLeft w:val="0"/>
      <w:marRight w:val="0"/>
      <w:marTop w:val="0"/>
      <w:marBottom w:val="0"/>
      <w:divBdr>
        <w:top w:val="none" w:sz="0" w:space="0" w:color="auto"/>
        <w:left w:val="none" w:sz="0" w:space="0" w:color="auto"/>
        <w:bottom w:val="none" w:sz="0" w:space="0" w:color="auto"/>
        <w:right w:val="none" w:sz="0" w:space="0" w:color="auto"/>
      </w:divBdr>
    </w:div>
    <w:div w:id="182524941">
      <w:bodyDiv w:val="1"/>
      <w:marLeft w:val="0"/>
      <w:marRight w:val="0"/>
      <w:marTop w:val="0"/>
      <w:marBottom w:val="0"/>
      <w:divBdr>
        <w:top w:val="none" w:sz="0" w:space="0" w:color="auto"/>
        <w:left w:val="none" w:sz="0" w:space="0" w:color="auto"/>
        <w:bottom w:val="none" w:sz="0" w:space="0" w:color="auto"/>
        <w:right w:val="none" w:sz="0" w:space="0" w:color="auto"/>
      </w:divBdr>
    </w:div>
    <w:div w:id="278149586">
      <w:bodyDiv w:val="1"/>
      <w:marLeft w:val="0"/>
      <w:marRight w:val="0"/>
      <w:marTop w:val="0"/>
      <w:marBottom w:val="0"/>
      <w:divBdr>
        <w:top w:val="none" w:sz="0" w:space="0" w:color="auto"/>
        <w:left w:val="none" w:sz="0" w:space="0" w:color="auto"/>
        <w:bottom w:val="none" w:sz="0" w:space="0" w:color="auto"/>
        <w:right w:val="none" w:sz="0" w:space="0" w:color="auto"/>
      </w:divBdr>
    </w:div>
    <w:div w:id="335545622">
      <w:bodyDiv w:val="1"/>
      <w:marLeft w:val="0"/>
      <w:marRight w:val="0"/>
      <w:marTop w:val="0"/>
      <w:marBottom w:val="0"/>
      <w:divBdr>
        <w:top w:val="none" w:sz="0" w:space="0" w:color="auto"/>
        <w:left w:val="none" w:sz="0" w:space="0" w:color="auto"/>
        <w:bottom w:val="none" w:sz="0" w:space="0" w:color="auto"/>
        <w:right w:val="none" w:sz="0" w:space="0" w:color="auto"/>
      </w:divBdr>
    </w:div>
    <w:div w:id="470947927">
      <w:bodyDiv w:val="1"/>
      <w:marLeft w:val="0"/>
      <w:marRight w:val="0"/>
      <w:marTop w:val="0"/>
      <w:marBottom w:val="0"/>
      <w:divBdr>
        <w:top w:val="none" w:sz="0" w:space="0" w:color="auto"/>
        <w:left w:val="none" w:sz="0" w:space="0" w:color="auto"/>
        <w:bottom w:val="none" w:sz="0" w:space="0" w:color="auto"/>
        <w:right w:val="none" w:sz="0" w:space="0" w:color="auto"/>
      </w:divBdr>
    </w:div>
    <w:div w:id="629897439">
      <w:bodyDiv w:val="1"/>
      <w:marLeft w:val="0"/>
      <w:marRight w:val="0"/>
      <w:marTop w:val="0"/>
      <w:marBottom w:val="0"/>
      <w:divBdr>
        <w:top w:val="none" w:sz="0" w:space="0" w:color="auto"/>
        <w:left w:val="none" w:sz="0" w:space="0" w:color="auto"/>
        <w:bottom w:val="none" w:sz="0" w:space="0" w:color="auto"/>
        <w:right w:val="none" w:sz="0" w:space="0" w:color="auto"/>
      </w:divBdr>
    </w:div>
    <w:div w:id="634027409">
      <w:bodyDiv w:val="1"/>
      <w:marLeft w:val="0"/>
      <w:marRight w:val="0"/>
      <w:marTop w:val="0"/>
      <w:marBottom w:val="0"/>
      <w:divBdr>
        <w:top w:val="none" w:sz="0" w:space="0" w:color="auto"/>
        <w:left w:val="none" w:sz="0" w:space="0" w:color="auto"/>
        <w:bottom w:val="none" w:sz="0" w:space="0" w:color="auto"/>
        <w:right w:val="none" w:sz="0" w:space="0" w:color="auto"/>
      </w:divBdr>
    </w:div>
    <w:div w:id="644621272">
      <w:bodyDiv w:val="1"/>
      <w:marLeft w:val="0"/>
      <w:marRight w:val="0"/>
      <w:marTop w:val="0"/>
      <w:marBottom w:val="0"/>
      <w:divBdr>
        <w:top w:val="none" w:sz="0" w:space="0" w:color="auto"/>
        <w:left w:val="none" w:sz="0" w:space="0" w:color="auto"/>
        <w:bottom w:val="none" w:sz="0" w:space="0" w:color="auto"/>
        <w:right w:val="none" w:sz="0" w:space="0" w:color="auto"/>
      </w:divBdr>
    </w:div>
    <w:div w:id="662049455">
      <w:bodyDiv w:val="1"/>
      <w:marLeft w:val="0"/>
      <w:marRight w:val="0"/>
      <w:marTop w:val="0"/>
      <w:marBottom w:val="0"/>
      <w:divBdr>
        <w:top w:val="none" w:sz="0" w:space="0" w:color="auto"/>
        <w:left w:val="none" w:sz="0" w:space="0" w:color="auto"/>
        <w:bottom w:val="none" w:sz="0" w:space="0" w:color="auto"/>
        <w:right w:val="none" w:sz="0" w:space="0" w:color="auto"/>
      </w:divBdr>
    </w:div>
    <w:div w:id="790250653">
      <w:bodyDiv w:val="1"/>
      <w:marLeft w:val="0"/>
      <w:marRight w:val="0"/>
      <w:marTop w:val="0"/>
      <w:marBottom w:val="0"/>
      <w:divBdr>
        <w:top w:val="none" w:sz="0" w:space="0" w:color="auto"/>
        <w:left w:val="none" w:sz="0" w:space="0" w:color="auto"/>
        <w:bottom w:val="none" w:sz="0" w:space="0" w:color="auto"/>
        <w:right w:val="none" w:sz="0" w:space="0" w:color="auto"/>
      </w:divBdr>
    </w:div>
    <w:div w:id="828717180">
      <w:bodyDiv w:val="1"/>
      <w:marLeft w:val="0"/>
      <w:marRight w:val="0"/>
      <w:marTop w:val="0"/>
      <w:marBottom w:val="0"/>
      <w:divBdr>
        <w:top w:val="none" w:sz="0" w:space="0" w:color="auto"/>
        <w:left w:val="none" w:sz="0" w:space="0" w:color="auto"/>
        <w:bottom w:val="none" w:sz="0" w:space="0" w:color="auto"/>
        <w:right w:val="none" w:sz="0" w:space="0" w:color="auto"/>
      </w:divBdr>
    </w:div>
    <w:div w:id="891575354">
      <w:bodyDiv w:val="1"/>
      <w:marLeft w:val="0"/>
      <w:marRight w:val="0"/>
      <w:marTop w:val="0"/>
      <w:marBottom w:val="0"/>
      <w:divBdr>
        <w:top w:val="none" w:sz="0" w:space="0" w:color="auto"/>
        <w:left w:val="none" w:sz="0" w:space="0" w:color="auto"/>
        <w:bottom w:val="none" w:sz="0" w:space="0" w:color="auto"/>
        <w:right w:val="none" w:sz="0" w:space="0" w:color="auto"/>
      </w:divBdr>
    </w:div>
    <w:div w:id="1128159992">
      <w:bodyDiv w:val="1"/>
      <w:marLeft w:val="0"/>
      <w:marRight w:val="0"/>
      <w:marTop w:val="0"/>
      <w:marBottom w:val="0"/>
      <w:divBdr>
        <w:top w:val="none" w:sz="0" w:space="0" w:color="auto"/>
        <w:left w:val="none" w:sz="0" w:space="0" w:color="auto"/>
        <w:bottom w:val="none" w:sz="0" w:space="0" w:color="auto"/>
        <w:right w:val="none" w:sz="0" w:space="0" w:color="auto"/>
      </w:divBdr>
    </w:div>
    <w:div w:id="1138648686">
      <w:bodyDiv w:val="1"/>
      <w:marLeft w:val="0"/>
      <w:marRight w:val="0"/>
      <w:marTop w:val="0"/>
      <w:marBottom w:val="0"/>
      <w:divBdr>
        <w:top w:val="none" w:sz="0" w:space="0" w:color="auto"/>
        <w:left w:val="none" w:sz="0" w:space="0" w:color="auto"/>
        <w:bottom w:val="none" w:sz="0" w:space="0" w:color="auto"/>
        <w:right w:val="none" w:sz="0" w:space="0" w:color="auto"/>
      </w:divBdr>
    </w:div>
    <w:div w:id="1279293110">
      <w:bodyDiv w:val="1"/>
      <w:marLeft w:val="0"/>
      <w:marRight w:val="0"/>
      <w:marTop w:val="0"/>
      <w:marBottom w:val="0"/>
      <w:divBdr>
        <w:top w:val="none" w:sz="0" w:space="0" w:color="auto"/>
        <w:left w:val="none" w:sz="0" w:space="0" w:color="auto"/>
        <w:bottom w:val="none" w:sz="0" w:space="0" w:color="auto"/>
        <w:right w:val="none" w:sz="0" w:space="0" w:color="auto"/>
      </w:divBdr>
    </w:div>
    <w:div w:id="1340229439">
      <w:bodyDiv w:val="1"/>
      <w:marLeft w:val="0"/>
      <w:marRight w:val="0"/>
      <w:marTop w:val="0"/>
      <w:marBottom w:val="0"/>
      <w:divBdr>
        <w:top w:val="none" w:sz="0" w:space="0" w:color="auto"/>
        <w:left w:val="none" w:sz="0" w:space="0" w:color="auto"/>
        <w:bottom w:val="none" w:sz="0" w:space="0" w:color="auto"/>
        <w:right w:val="none" w:sz="0" w:space="0" w:color="auto"/>
      </w:divBdr>
    </w:div>
    <w:div w:id="1507985896">
      <w:bodyDiv w:val="1"/>
      <w:marLeft w:val="0"/>
      <w:marRight w:val="0"/>
      <w:marTop w:val="0"/>
      <w:marBottom w:val="0"/>
      <w:divBdr>
        <w:top w:val="none" w:sz="0" w:space="0" w:color="auto"/>
        <w:left w:val="none" w:sz="0" w:space="0" w:color="auto"/>
        <w:bottom w:val="none" w:sz="0" w:space="0" w:color="auto"/>
        <w:right w:val="none" w:sz="0" w:space="0" w:color="auto"/>
      </w:divBdr>
    </w:div>
    <w:div w:id="1593392488">
      <w:bodyDiv w:val="1"/>
      <w:marLeft w:val="0"/>
      <w:marRight w:val="0"/>
      <w:marTop w:val="0"/>
      <w:marBottom w:val="0"/>
      <w:divBdr>
        <w:top w:val="none" w:sz="0" w:space="0" w:color="auto"/>
        <w:left w:val="none" w:sz="0" w:space="0" w:color="auto"/>
        <w:bottom w:val="none" w:sz="0" w:space="0" w:color="auto"/>
        <w:right w:val="none" w:sz="0" w:space="0" w:color="auto"/>
      </w:divBdr>
    </w:div>
    <w:div w:id="1639728571">
      <w:bodyDiv w:val="1"/>
      <w:marLeft w:val="0"/>
      <w:marRight w:val="0"/>
      <w:marTop w:val="0"/>
      <w:marBottom w:val="0"/>
      <w:divBdr>
        <w:top w:val="none" w:sz="0" w:space="0" w:color="auto"/>
        <w:left w:val="none" w:sz="0" w:space="0" w:color="auto"/>
        <w:bottom w:val="none" w:sz="0" w:space="0" w:color="auto"/>
        <w:right w:val="none" w:sz="0" w:space="0" w:color="auto"/>
      </w:divBdr>
    </w:div>
    <w:div w:id="1852067214">
      <w:bodyDiv w:val="1"/>
      <w:marLeft w:val="0"/>
      <w:marRight w:val="0"/>
      <w:marTop w:val="0"/>
      <w:marBottom w:val="0"/>
      <w:divBdr>
        <w:top w:val="none" w:sz="0" w:space="0" w:color="auto"/>
        <w:left w:val="none" w:sz="0" w:space="0" w:color="auto"/>
        <w:bottom w:val="none" w:sz="0" w:space="0" w:color="auto"/>
        <w:right w:val="none" w:sz="0" w:space="0" w:color="auto"/>
      </w:divBdr>
    </w:div>
    <w:div w:id="1872723668">
      <w:bodyDiv w:val="1"/>
      <w:marLeft w:val="0"/>
      <w:marRight w:val="0"/>
      <w:marTop w:val="0"/>
      <w:marBottom w:val="0"/>
      <w:divBdr>
        <w:top w:val="none" w:sz="0" w:space="0" w:color="auto"/>
        <w:left w:val="none" w:sz="0" w:space="0" w:color="auto"/>
        <w:bottom w:val="none" w:sz="0" w:space="0" w:color="auto"/>
        <w:right w:val="none" w:sz="0" w:space="0" w:color="auto"/>
      </w:divBdr>
    </w:div>
    <w:div w:id="1908876358">
      <w:bodyDiv w:val="1"/>
      <w:marLeft w:val="0"/>
      <w:marRight w:val="0"/>
      <w:marTop w:val="0"/>
      <w:marBottom w:val="0"/>
      <w:divBdr>
        <w:top w:val="none" w:sz="0" w:space="0" w:color="auto"/>
        <w:left w:val="none" w:sz="0" w:space="0" w:color="auto"/>
        <w:bottom w:val="none" w:sz="0" w:space="0" w:color="auto"/>
        <w:right w:val="none" w:sz="0" w:space="0" w:color="auto"/>
      </w:divBdr>
    </w:div>
    <w:div w:id="1916157788">
      <w:bodyDiv w:val="1"/>
      <w:marLeft w:val="0"/>
      <w:marRight w:val="0"/>
      <w:marTop w:val="0"/>
      <w:marBottom w:val="0"/>
      <w:divBdr>
        <w:top w:val="none" w:sz="0" w:space="0" w:color="auto"/>
        <w:left w:val="none" w:sz="0" w:space="0" w:color="auto"/>
        <w:bottom w:val="none" w:sz="0" w:space="0" w:color="auto"/>
        <w:right w:val="none" w:sz="0" w:space="0" w:color="auto"/>
      </w:divBdr>
    </w:div>
    <w:div w:id="1949966257">
      <w:bodyDiv w:val="1"/>
      <w:marLeft w:val="0"/>
      <w:marRight w:val="0"/>
      <w:marTop w:val="0"/>
      <w:marBottom w:val="0"/>
      <w:divBdr>
        <w:top w:val="none" w:sz="0" w:space="0" w:color="auto"/>
        <w:left w:val="none" w:sz="0" w:space="0" w:color="auto"/>
        <w:bottom w:val="none" w:sz="0" w:space="0" w:color="auto"/>
        <w:right w:val="none" w:sz="0" w:space="0" w:color="auto"/>
      </w:divBdr>
    </w:div>
    <w:div w:id="1964190696">
      <w:bodyDiv w:val="1"/>
      <w:marLeft w:val="0"/>
      <w:marRight w:val="0"/>
      <w:marTop w:val="0"/>
      <w:marBottom w:val="0"/>
      <w:divBdr>
        <w:top w:val="none" w:sz="0" w:space="0" w:color="auto"/>
        <w:left w:val="none" w:sz="0" w:space="0" w:color="auto"/>
        <w:bottom w:val="none" w:sz="0" w:space="0" w:color="auto"/>
        <w:right w:val="none" w:sz="0" w:space="0" w:color="auto"/>
      </w:divBdr>
    </w:div>
    <w:div w:id="20516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hart" Target="charts/chart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www.nipv.nl" TargetMode="External" Id="rId12" /><Relationship Type="http://schemas.openxmlformats.org/officeDocument/2006/relationships/hyperlink" Target="http://www.justis.nl"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klachtenmeldpunt.aanbestedingen@nipv.nl"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LVEDC01.loovaneck.nl/data/Team%20Tekstschrijvers/teamprojecten/IFV/lege%20sjablonen/doc%201%20EU%20Openbaar%20Maarten/originelen/wetten.overheid.nl"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servicedesk@tenderned.nl"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koop@nipv.nl" TargetMode="External" Id="rId14" /><Relationship Type="http://schemas.openxmlformats.org/officeDocument/2006/relationships/header" Target="head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https://ifvportal-my.sharepoint.com/personal/thomas_knol_nipv_nl/Documents/Documenten/Trajecten/Verrijkt%20kaartmateriaal/Bd/Prijs/Omrekenfactor%20inhuur%20en%20detachering.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1"/>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5381255496365503"/>
          <c:y val="6.366403348608092E-2"/>
          <c:w val="0.74817563250629693"/>
          <c:h val="0.73573484651713694"/>
        </c:manualLayout>
      </c:layout>
      <c:scatterChart>
        <c:scatterStyle val="smoothMarker"/>
        <c:varyColors val="0"/>
        <c:ser>
          <c:idx val="0"/>
          <c:order val="0"/>
          <c:marker>
            <c:symbol val="none"/>
          </c:marker>
          <c:dLbls>
            <c:delete val="1"/>
          </c:dLbls>
          <c:xVal>
            <c:numRef>
              <c:f>'Scoremethode &amp; validatie (1)'!$D$11:$D$13</c:f>
              <c:numCache>
                <c:formatCode>0.000</c:formatCode>
                <c:ptCount val="3"/>
                <c:pt idx="0">
                  <c:v>700000</c:v>
                </c:pt>
                <c:pt idx="1">
                  <c:v>700000</c:v>
                </c:pt>
                <c:pt idx="2">
                  <c:v>600000</c:v>
                </c:pt>
              </c:numCache>
            </c:numRef>
          </c:xVal>
          <c:yVal>
            <c:numRef>
              <c:f>'Scoremethode &amp; validatie (1)'!$E$11:$E$13</c:f>
              <c:numCache>
                <c:formatCode>General</c:formatCode>
                <c:ptCount val="3"/>
                <c:pt idx="0">
                  <c:v>0</c:v>
                </c:pt>
                <c:pt idx="1">
                  <c:v>0</c:v>
                </c:pt>
                <c:pt idx="2">
                  <c:v>10</c:v>
                </c:pt>
              </c:numCache>
            </c:numRef>
          </c:yVal>
          <c:smooth val="0"/>
          <c:extLst>
            <c:ext xmlns:c16="http://schemas.microsoft.com/office/drawing/2014/chart" uri="{C3380CC4-5D6E-409C-BE32-E72D297353CC}">
              <c16:uniqueId val="{00000000-0BC3-42BA-9DA1-AD37E8E3AEE1}"/>
            </c:ext>
          </c:extLst>
        </c:ser>
        <c:ser>
          <c:idx val="1"/>
          <c:order val="1"/>
          <c:tx>
            <c:strRef>
              <c:f>'Beoordelingsmatrix integraal'!$E$6</c:f>
              <c:strCache>
                <c:ptCount val="1"/>
                <c:pt idx="0">
                  <c:v>&lt;Leverancier 1&gt; </c:v>
                </c:pt>
              </c:strCache>
            </c:strRef>
          </c:tx>
          <c:marker>
            <c:symbol val="none"/>
          </c:marker>
          <c:dLbls>
            <c:delete val="1"/>
          </c:dLbls>
          <c:xVal>
            <c:numRef>
              <c:f>'Beoordelingsmatrix integraal'!$G$18</c:f>
              <c:numCache>
                <c:formatCode>"€"\ #,##0.00</c:formatCode>
                <c:ptCount val="1"/>
                <c:pt idx="0">
                  <c:v>50</c:v>
                </c:pt>
              </c:numCache>
            </c:numRef>
          </c:xVal>
          <c:yVal>
            <c:numRef>
              <c:f>'Beoordelingsmatrix integraal'!$E$21</c:f>
              <c:numCache>
                <c:formatCode>0</c:formatCode>
                <c:ptCount val="1"/>
                <c:pt idx="0">
                  <c:v>10</c:v>
                </c:pt>
              </c:numCache>
            </c:numRef>
          </c:yVal>
          <c:smooth val="1"/>
          <c:extLst>
            <c:ext xmlns:c16="http://schemas.microsoft.com/office/drawing/2014/chart" uri="{C3380CC4-5D6E-409C-BE32-E72D297353CC}">
              <c16:uniqueId val="{00000001-0BC3-42BA-9DA1-AD37E8E3AEE1}"/>
            </c:ext>
          </c:extLst>
        </c:ser>
        <c:ser>
          <c:idx val="2"/>
          <c:order val="2"/>
          <c:tx>
            <c:strRef>
              <c:f>'Beoordelingsmatrix integraal'!$J$6</c:f>
              <c:strCache>
                <c:ptCount val="1"/>
                <c:pt idx="0">
                  <c:v>&lt;Leverancier 2&gt;</c:v>
                </c:pt>
              </c:strCache>
            </c:strRef>
          </c:tx>
          <c:marker>
            <c:symbol val="none"/>
          </c:marker>
          <c:dLbls>
            <c:dLbl>
              <c:idx val="0"/>
              <c:tx>
                <c:rich>
                  <a:bodyPr/>
                  <a:lstStyle/>
                  <a:p>
                    <a:r>
                      <a:rPr lang="en-US"/>
                      <a:t>2</a:t>
                    </a:r>
                  </a:p>
                </c:rich>
              </c:tx>
              <c:dLblPos val="ct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BC3-42BA-9DA1-AD37E8E3AEE1}"/>
                </c:ext>
              </c:extLst>
            </c:dLbl>
            <c:spPr>
              <a:solidFill>
                <a:sysClr val="window" lastClr="FFFFFF"/>
              </a:solidFill>
              <a:ln>
                <a:solidFill>
                  <a:sysClr val="windowText" lastClr="000000">
                    <a:lumMod val="65000"/>
                    <a:lumOff val="35000"/>
                  </a:sysClr>
                </a:solidFill>
              </a:ln>
              <a:effectLst/>
            </c:spPr>
            <c:dLblPos val="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c15:spPr>
                <c15:showLeaderLines val="1"/>
              </c:ext>
            </c:extLst>
          </c:dLbls>
          <c:xVal>
            <c:numRef>
              <c:f>'Beoordelingsmatrix integraal'!$L$18</c:f>
              <c:numCache>
                <c:formatCode>"€"\ #,##0.00</c:formatCode>
                <c:ptCount val="1"/>
              </c:numCache>
            </c:numRef>
          </c:xVal>
          <c:yVal>
            <c:numRef>
              <c:f>'Beoordelingsmatrix integraal'!$J$21</c:f>
              <c:numCache>
                <c:formatCode>0</c:formatCode>
                <c:ptCount val="1"/>
                <c:pt idx="0">
                  <c:v>0</c:v>
                </c:pt>
              </c:numCache>
            </c:numRef>
          </c:yVal>
          <c:smooth val="1"/>
          <c:extLst>
            <c:ext xmlns:c16="http://schemas.microsoft.com/office/drawing/2014/chart" uri="{C3380CC4-5D6E-409C-BE32-E72D297353CC}">
              <c16:uniqueId val="{00000003-0BC3-42BA-9DA1-AD37E8E3AEE1}"/>
            </c:ext>
          </c:extLst>
        </c:ser>
        <c:ser>
          <c:idx val="3"/>
          <c:order val="3"/>
          <c:tx>
            <c:strRef>
              <c:f>'Beoordelingsmatrix integraal'!$O$6</c:f>
              <c:strCache>
                <c:ptCount val="1"/>
                <c:pt idx="0">
                  <c:v>&lt;Leverancier 3&gt;</c:v>
                </c:pt>
              </c:strCache>
            </c:strRef>
          </c:tx>
          <c:marker>
            <c:symbol val="none"/>
          </c:marker>
          <c:dLbls>
            <c:dLbl>
              <c:idx val="0"/>
              <c:tx>
                <c:rich>
                  <a:bodyPr/>
                  <a:lstStyle/>
                  <a:p>
                    <a:r>
                      <a:rPr lang="en-US"/>
                      <a:t>3</a:t>
                    </a:r>
                  </a:p>
                </c:rich>
              </c:tx>
              <c:dLblPos val="ct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BC3-42BA-9DA1-AD37E8E3AEE1}"/>
                </c:ext>
              </c:extLst>
            </c:dLbl>
            <c:spPr>
              <a:solidFill>
                <a:sysClr val="window" lastClr="FFFFFF"/>
              </a:solidFill>
              <a:ln>
                <a:solidFill>
                  <a:sysClr val="windowText" lastClr="000000">
                    <a:lumMod val="65000"/>
                    <a:lumOff val="35000"/>
                  </a:sysClr>
                </a:solidFill>
              </a:ln>
              <a:effectLst/>
            </c:spPr>
            <c:dLblPos val="ct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c15:spPr>
                <c15:showLeaderLines val="1"/>
              </c:ext>
            </c:extLst>
          </c:dLbls>
          <c:xVal>
            <c:numRef>
              <c:f>'Beoordelingsmatrix integraal'!$Q$18</c:f>
              <c:numCache>
                <c:formatCode>"€"\ #,##0.00</c:formatCode>
                <c:ptCount val="1"/>
              </c:numCache>
            </c:numRef>
          </c:xVal>
          <c:yVal>
            <c:numRef>
              <c:f>'Beoordelingsmatrix integraal'!$O$21</c:f>
              <c:numCache>
                <c:formatCode>0</c:formatCode>
                <c:ptCount val="1"/>
                <c:pt idx="0">
                  <c:v>0</c:v>
                </c:pt>
              </c:numCache>
            </c:numRef>
          </c:yVal>
          <c:smooth val="1"/>
          <c:extLst>
            <c:ext xmlns:c16="http://schemas.microsoft.com/office/drawing/2014/chart" uri="{C3380CC4-5D6E-409C-BE32-E72D297353CC}">
              <c16:uniqueId val="{00000005-0BC3-42BA-9DA1-AD37E8E3AEE1}"/>
            </c:ext>
          </c:extLst>
        </c:ser>
        <c:ser>
          <c:idx val="4"/>
          <c:order val="4"/>
          <c:tx>
            <c:strRef>
              <c:f>'Beoordelingsmatrix integraal'!$T$6</c:f>
              <c:strCache>
                <c:ptCount val="1"/>
                <c:pt idx="0">
                  <c:v>&lt;Leverancier 4&gt;</c:v>
                </c:pt>
              </c:strCache>
            </c:strRef>
          </c:tx>
          <c:marker>
            <c:symbol val="none"/>
          </c:marker>
          <c:dLbls>
            <c:dLbl>
              <c:idx val="0"/>
              <c:tx>
                <c:rich>
                  <a:bodyPr/>
                  <a:lstStyle/>
                  <a:p>
                    <a:pPr>
                      <a:defRPr/>
                    </a:pPr>
                    <a:r>
                      <a:rPr lang="en-US"/>
                      <a:t>4</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6-0BC3-42BA-9DA1-AD37E8E3AEE1}"/>
                </c:ext>
              </c:extLst>
            </c:dLbl>
            <c:spPr>
              <a:noFill/>
              <a:ln>
                <a:noFill/>
              </a:ln>
              <a:effectLst/>
            </c:spPr>
            <c:dLblPos val="ct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integraal'!$V$18</c:f>
              <c:numCache>
                <c:formatCode>"€"\ #,##0.00</c:formatCode>
                <c:ptCount val="1"/>
              </c:numCache>
            </c:numRef>
          </c:xVal>
          <c:yVal>
            <c:numRef>
              <c:f>'Beoordelingsmatrix integraal'!$T$21</c:f>
              <c:numCache>
                <c:formatCode>0</c:formatCode>
                <c:ptCount val="1"/>
                <c:pt idx="0">
                  <c:v>0</c:v>
                </c:pt>
              </c:numCache>
            </c:numRef>
          </c:yVal>
          <c:smooth val="1"/>
          <c:extLst>
            <c:ext xmlns:c16="http://schemas.microsoft.com/office/drawing/2014/chart" uri="{C3380CC4-5D6E-409C-BE32-E72D297353CC}">
              <c16:uniqueId val="{00000007-0BC3-42BA-9DA1-AD37E8E3AEE1}"/>
            </c:ext>
          </c:extLst>
        </c:ser>
        <c:ser>
          <c:idx val="5"/>
          <c:order val="5"/>
          <c:tx>
            <c:strRef>
              <c:f>'Beoordelingsmatrix integraal'!$Y$6</c:f>
              <c:strCache>
                <c:ptCount val="1"/>
                <c:pt idx="0">
                  <c:v>&lt;Leverancier 5&gt;</c:v>
                </c:pt>
              </c:strCache>
            </c:strRef>
          </c:tx>
          <c:marker>
            <c:symbol val="none"/>
          </c:marker>
          <c:dLbls>
            <c:dLbl>
              <c:idx val="0"/>
              <c:tx>
                <c:rich>
                  <a:bodyPr/>
                  <a:lstStyle/>
                  <a:p>
                    <a:pPr>
                      <a:defRPr/>
                    </a:pPr>
                    <a:r>
                      <a:rPr lang="en-US"/>
                      <a:t>5</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8-0BC3-42BA-9DA1-AD37E8E3AEE1}"/>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integraal'!$AA$18</c:f>
              <c:numCache>
                <c:formatCode>"€"\ #,##0.00</c:formatCode>
                <c:ptCount val="1"/>
              </c:numCache>
            </c:numRef>
          </c:xVal>
          <c:yVal>
            <c:numRef>
              <c:f>'Beoordelingsmatrix integraal'!$Y$21</c:f>
              <c:numCache>
                <c:formatCode>0</c:formatCode>
                <c:ptCount val="1"/>
                <c:pt idx="0">
                  <c:v>0</c:v>
                </c:pt>
              </c:numCache>
            </c:numRef>
          </c:yVal>
          <c:smooth val="1"/>
          <c:extLst>
            <c:ext xmlns:c16="http://schemas.microsoft.com/office/drawing/2014/chart" uri="{C3380CC4-5D6E-409C-BE32-E72D297353CC}">
              <c16:uniqueId val="{00000009-0BC3-42BA-9DA1-AD37E8E3AEE1}"/>
            </c:ext>
          </c:extLst>
        </c:ser>
        <c:ser>
          <c:idx val="6"/>
          <c:order val="6"/>
          <c:tx>
            <c:strRef>
              <c:f>'Beoordelingsmatrix integraal'!$AD$6</c:f>
              <c:strCache>
                <c:ptCount val="1"/>
                <c:pt idx="0">
                  <c:v>&lt;Leverancier 6&gt;</c:v>
                </c:pt>
              </c:strCache>
            </c:strRef>
          </c:tx>
          <c:marker>
            <c:symbol val="none"/>
          </c:marker>
          <c:dLbls>
            <c:dLbl>
              <c:idx val="0"/>
              <c:tx>
                <c:rich>
                  <a:bodyPr/>
                  <a:lstStyle/>
                  <a:p>
                    <a:pPr>
                      <a:defRPr/>
                    </a:pPr>
                    <a:r>
                      <a:rPr lang="en-US"/>
                      <a:t>6</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A-0BC3-42BA-9DA1-AD37E8E3AEE1}"/>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integraal'!$AF$18</c:f>
              <c:numCache>
                <c:formatCode>"€"\ #,##0.00</c:formatCode>
                <c:ptCount val="1"/>
              </c:numCache>
            </c:numRef>
          </c:xVal>
          <c:yVal>
            <c:numRef>
              <c:f>'Beoordelingsmatrix integraal'!$AD$21</c:f>
              <c:numCache>
                <c:formatCode>0</c:formatCode>
                <c:ptCount val="1"/>
                <c:pt idx="0">
                  <c:v>0</c:v>
                </c:pt>
              </c:numCache>
            </c:numRef>
          </c:yVal>
          <c:smooth val="1"/>
          <c:extLst>
            <c:ext xmlns:c16="http://schemas.microsoft.com/office/drawing/2014/chart" uri="{C3380CC4-5D6E-409C-BE32-E72D297353CC}">
              <c16:uniqueId val="{0000000B-0BC3-42BA-9DA1-AD37E8E3AEE1}"/>
            </c:ext>
          </c:extLst>
        </c:ser>
        <c:ser>
          <c:idx val="7"/>
          <c:order val="7"/>
          <c:tx>
            <c:strRef>
              <c:f>'Beoordelingsmatrix integraal'!$AI$6</c:f>
              <c:strCache>
                <c:ptCount val="1"/>
                <c:pt idx="0">
                  <c:v>&lt;Leverancier 7&gt;</c:v>
                </c:pt>
              </c:strCache>
            </c:strRef>
          </c:tx>
          <c:marker>
            <c:symbol val="none"/>
          </c:marker>
          <c:dLbls>
            <c:dLbl>
              <c:idx val="0"/>
              <c:tx>
                <c:rich>
                  <a:bodyPr/>
                  <a:lstStyle/>
                  <a:p>
                    <a:pPr>
                      <a:defRPr/>
                    </a:pPr>
                    <a:r>
                      <a:rPr lang="en-US"/>
                      <a:t>7</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C-0BC3-42BA-9DA1-AD37E8E3AEE1}"/>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integraal'!$AK$18</c:f>
              <c:numCache>
                <c:formatCode>"€"\ #,##0.00</c:formatCode>
                <c:ptCount val="1"/>
              </c:numCache>
            </c:numRef>
          </c:xVal>
          <c:yVal>
            <c:numRef>
              <c:f>'Beoordelingsmatrix integraal'!$AI$21</c:f>
              <c:numCache>
                <c:formatCode>0</c:formatCode>
                <c:ptCount val="1"/>
                <c:pt idx="0">
                  <c:v>0</c:v>
                </c:pt>
              </c:numCache>
            </c:numRef>
          </c:yVal>
          <c:smooth val="1"/>
          <c:extLst>
            <c:ext xmlns:c16="http://schemas.microsoft.com/office/drawing/2014/chart" uri="{C3380CC4-5D6E-409C-BE32-E72D297353CC}">
              <c16:uniqueId val="{0000000D-0BC3-42BA-9DA1-AD37E8E3AEE1}"/>
            </c:ext>
          </c:extLst>
        </c:ser>
        <c:ser>
          <c:idx val="8"/>
          <c:order val="8"/>
          <c:tx>
            <c:strRef>
              <c:f>'Beoordelingsmatrix integraal'!$AN$6</c:f>
              <c:strCache>
                <c:ptCount val="1"/>
                <c:pt idx="0">
                  <c:v>&lt;Leverancier 8&gt;</c:v>
                </c:pt>
              </c:strCache>
            </c:strRef>
          </c:tx>
          <c:marker>
            <c:symbol val="none"/>
          </c:marker>
          <c:dLbls>
            <c:dLbl>
              <c:idx val="0"/>
              <c:tx>
                <c:rich>
                  <a:bodyPr/>
                  <a:lstStyle/>
                  <a:p>
                    <a:pPr>
                      <a:defRPr/>
                    </a:pPr>
                    <a:r>
                      <a:rPr lang="en-US"/>
                      <a:t>8</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0E-0BC3-42BA-9DA1-AD37E8E3AEE1}"/>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integraal'!$AP$18</c:f>
            </c:numRef>
          </c:xVal>
          <c:yVal>
            <c:numRef>
              <c:f>'Beoordelingsmatrix integraal'!$AN$21</c:f>
            </c:numRef>
          </c:yVal>
          <c:smooth val="1"/>
          <c:extLst>
            <c:ext xmlns:c16="http://schemas.microsoft.com/office/drawing/2014/chart" uri="{C3380CC4-5D6E-409C-BE32-E72D297353CC}">
              <c16:uniqueId val="{0000000F-0BC3-42BA-9DA1-AD37E8E3AEE1}"/>
            </c:ext>
          </c:extLst>
        </c:ser>
        <c:ser>
          <c:idx val="9"/>
          <c:order val="9"/>
          <c:tx>
            <c:strRef>
              <c:f>'Beoordelingsmatrix integraal'!$AS$6</c:f>
              <c:strCache>
                <c:ptCount val="1"/>
                <c:pt idx="0">
                  <c:v>&lt;Leverancier 9&gt;</c:v>
                </c:pt>
              </c:strCache>
            </c:strRef>
          </c:tx>
          <c:marker>
            <c:symbol val="none"/>
          </c:marker>
          <c:dLbls>
            <c:dLbl>
              <c:idx val="0"/>
              <c:tx>
                <c:rich>
                  <a:bodyPr/>
                  <a:lstStyle/>
                  <a:p>
                    <a:pPr>
                      <a:defRPr/>
                    </a:pPr>
                    <a:r>
                      <a:rPr lang="en-US"/>
                      <a:t>9</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10-0BC3-42BA-9DA1-AD37E8E3AEE1}"/>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integraal'!$AU$18</c:f>
            </c:numRef>
          </c:xVal>
          <c:yVal>
            <c:numRef>
              <c:f>'Beoordelingsmatrix integraal'!$AS$21</c:f>
            </c:numRef>
          </c:yVal>
          <c:smooth val="1"/>
          <c:extLst>
            <c:ext xmlns:c16="http://schemas.microsoft.com/office/drawing/2014/chart" uri="{C3380CC4-5D6E-409C-BE32-E72D297353CC}">
              <c16:uniqueId val="{00000011-0BC3-42BA-9DA1-AD37E8E3AEE1}"/>
            </c:ext>
          </c:extLst>
        </c:ser>
        <c:ser>
          <c:idx val="10"/>
          <c:order val="10"/>
          <c:tx>
            <c:strRef>
              <c:f>'Beoordelingsmatrix integraal'!$AX$6</c:f>
              <c:strCache>
                <c:ptCount val="1"/>
                <c:pt idx="0">
                  <c:v>&lt;Leverancier 10&gt;</c:v>
                </c:pt>
              </c:strCache>
            </c:strRef>
          </c:tx>
          <c:marker>
            <c:symbol val="none"/>
          </c:marker>
          <c:dLbls>
            <c:dLbl>
              <c:idx val="0"/>
              <c:tx>
                <c:rich>
                  <a:bodyPr/>
                  <a:lstStyle/>
                  <a:p>
                    <a:pPr>
                      <a:defRPr/>
                    </a:pPr>
                    <a:r>
                      <a:rPr lang="en-US"/>
                      <a:t>10</a:t>
                    </a:r>
                  </a:p>
                </c:rich>
              </c:tx>
              <c:spPr/>
              <c:dLblPos val="ct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ellipse">
                      <a:avLst/>
                    </a:prstGeom>
                  </c15:spPr>
                  <c15:showDataLabelsRange val="0"/>
                </c:ext>
                <c:ext xmlns:c16="http://schemas.microsoft.com/office/drawing/2014/chart" uri="{C3380CC4-5D6E-409C-BE32-E72D297353CC}">
                  <c16:uniqueId val="{00000012-0BC3-42BA-9DA1-AD37E8E3AEE1}"/>
                </c:ext>
              </c:extLst>
            </c:dLbl>
            <c:spPr>
              <a:noFill/>
              <a:ln>
                <a:noFill/>
              </a:ln>
              <a:effectLst/>
            </c:spPr>
            <c:dLblPos val="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xVal>
            <c:numRef>
              <c:f>'Beoordelingsmatrix integraal'!$AZ$18</c:f>
            </c:numRef>
          </c:xVal>
          <c:yVal>
            <c:numRef>
              <c:f>'Beoordelingsmatrix integraal'!$AX$21</c:f>
            </c:numRef>
          </c:yVal>
          <c:smooth val="1"/>
          <c:extLst>
            <c:ext xmlns:c16="http://schemas.microsoft.com/office/drawing/2014/chart" uri="{C3380CC4-5D6E-409C-BE32-E72D297353CC}">
              <c16:uniqueId val="{00000013-0BC3-42BA-9DA1-AD37E8E3AEE1}"/>
            </c:ext>
          </c:extLst>
        </c:ser>
        <c:dLbls>
          <c:dLblPos val="r"/>
          <c:showLegendKey val="0"/>
          <c:showVal val="1"/>
          <c:showCatName val="1"/>
          <c:showSerName val="0"/>
          <c:showPercent val="0"/>
          <c:showBubbleSize val="0"/>
        </c:dLbls>
        <c:axId val="193942656"/>
        <c:axId val="193944576"/>
      </c:scatterChart>
      <c:valAx>
        <c:axId val="193942656"/>
        <c:scaling>
          <c:orientation val="minMax"/>
          <c:max val="700000"/>
          <c:min val="600000"/>
        </c:scaling>
        <c:delete val="0"/>
        <c:axPos val="b"/>
        <c:majorGridlines/>
        <c:title>
          <c:tx>
            <c:rich>
              <a:bodyPr/>
              <a:lstStyle/>
              <a:p>
                <a:pPr>
                  <a:defRPr sz="1100"/>
                </a:pPr>
                <a:r>
                  <a:rPr lang="nl-NL" sz="1100" b="1"/>
                  <a:t>Totaalprijs</a:t>
                </a:r>
              </a:p>
            </c:rich>
          </c:tx>
          <c:layout>
            <c:manualLayout>
              <c:xMode val="edge"/>
              <c:yMode val="edge"/>
              <c:x val="0.48754292093568952"/>
              <c:y val="0.89563242115514041"/>
            </c:manualLayout>
          </c:layout>
          <c:overlay val="0"/>
        </c:title>
        <c:numFmt formatCode="#,##0.000" sourceLinked="0"/>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nl-NL"/>
          </a:p>
        </c:txPr>
        <c:crossAx val="193944576"/>
        <c:crossesAt val="0"/>
        <c:crossBetween val="midCat"/>
        <c:majorUnit val="50000"/>
        <c:minorUnit val="4.0000000000000008E-2"/>
      </c:valAx>
      <c:valAx>
        <c:axId val="193944576"/>
        <c:scaling>
          <c:orientation val="minMax"/>
          <c:max val="10"/>
        </c:scaling>
        <c:delete val="0"/>
        <c:axPos val="l"/>
        <c:majorGridlines/>
        <c:title>
          <c:tx>
            <c:rich>
              <a:bodyPr rot="-5400000" vert="horz"/>
              <a:lstStyle/>
              <a:p>
                <a:pPr>
                  <a:defRPr sz="1100"/>
                </a:pPr>
                <a:r>
                  <a:rPr lang="nl-NL" sz="1100" b="1"/>
                  <a:t>Punten</a:t>
                </a:r>
              </a:p>
            </c:rich>
          </c:tx>
          <c:overlay val="0"/>
        </c:title>
        <c:numFmt formatCode="#,##0" sourceLinked="0"/>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nl-NL"/>
          </a:p>
        </c:txPr>
        <c:crossAx val="193942656"/>
        <c:crosses val="autoZero"/>
        <c:crossBetween val="midCat"/>
      </c:valAx>
      <c:spPr>
        <a:solidFill>
          <a:schemeClr val="bg1">
            <a:lumMod val="95000"/>
          </a:schemeClr>
        </a:solidFill>
      </c:spPr>
    </c:plotArea>
    <c:plotVisOnly val="1"/>
    <c:dispBlanksAs val="gap"/>
    <c:showDLblsOverMax val="0"/>
  </c:chart>
  <c:spPr>
    <a:solidFill>
      <a:schemeClr val="lt1"/>
    </a:solidFill>
    <a:ln w="25400" cap="flat" cmpd="sng" algn="ctr">
      <a:solidFill>
        <a:schemeClr val="accent6">
          <a:lumMod val="75000"/>
        </a:schemeClr>
      </a:solidFill>
      <a:prstDash val="solid"/>
    </a:ln>
    <a:effectLst/>
  </c:spPr>
  <c:txPr>
    <a:bodyPr/>
    <a:lstStyle/>
    <a:p>
      <a:pPr>
        <a:defRPr sz="1000" b="0" i="0" u="none" strike="noStrike" baseline="0">
          <a:solidFill>
            <a:srgbClr val="000000"/>
          </a:solidFill>
          <a:latin typeface="Calibri"/>
          <a:ea typeface="Calibri"/>
          <a:cs typeface="Calibri"/>
        </a:defRPr>
      </a:pPr>
      <a:endParaRPr lang="nl-NL"/>
    </a:p>
  </c:txPr>
  <c:externalData r:id="rId1">
    <c:autoUpdate val="0"/>
  </c:externalData>
</c:chartSpace>
</file>

<file path=word/theme/theme1.xml><?xml version="1.0" encoding="utf-8"?>
<a:theme xmlns:a="http://schemas.openxmlformats.org/drawingml/2006/main" xmlns:thm15="http://schemas.microsoft.com/office/thememl/2012/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e11591-56c2-4440-9348-a521a63a3945">
      <Terms xmlns="http://schemas.microsoft.com/office/infopath/2007/PartnerControls"/>
    </lcf76f155ced4ddcb4097134ff3c332f>
    <TaxCatchAll xmlns="98491d9f-23c4-41d1-a5d0-fef24160b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20" ma:contentTypeDescription="Een nieuw document maken." ma:contentTypeScope="" ma:versionID="d54626773fd1cf9bd9132e4d5e2af5be">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7af2a54d2724aea47b170a3fb7429a07"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d201ed1-c992-43a3-9e0f-73664e90a54d}" ma:internalName="TaxCatchAll" ma:showField="CatchAllData" ma:web="98491d9f-23c4-41d1-a5d0-fef24160b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37A91-AFEC-430B-B242-6B27CFA68A4B}">
  <ds:schemaRefs>
    <ds:schemaRef ds:uri="http://schemas.microsoft.com/office/2006/metadata/properties"/>
    <ds:schemaRef ds:uri="http://schemas.microsoft.com/office/infopath/2007/PartnerControls"/>
    <ds:schemaRef ds:uri="c13c29d4-aa62-41b6-9e99-9a33ec5320ba"/>
    <ds:schemaRef ds:uri="d29f2b48-0b49-4045-b250-fe63a2a086c7"/>
  </ds:schemaRefs>
</ds:datastoreItem>
</file>

<file path=customXml/itemProps2.xml><?xml version="1.0" encoding="utf-8"?>
<ds:datastoreItem xmlns:ds="http://schemas.openxmlformats.org/officeDocument/2006/customXml" ds:itemID="{DA5E8F99-EC10-46A4-9DB2-AE59BFE44945}">
  <ds:schemaRefs>
    <ds:schemaRef ds:uri="http://schemas.microsoft.com/sharepoint/v3/contenttype/forms"/>
  </ds:schemaRefs>
</ds:datastoreItem>
</file>

<file path=customXml/itemProps3.xml><?xml version="1.0" encoding="utf-8"?>
<ds:datastoreItem xmlns:ds="http://schemas.openxmlformats.org/officeDocument/2006/customXml" ds:itemID="{C75EA66D-7234-4C29-9307-44FACF00EA65}">
  <ds:schemaRefs>
    <ds:schemaRef ds:uri="http://schemas.openxmlformats.org/officeDocument/2006/bibliography"/>
  </ds:schemaRefs>
</ds:datastoreItem>
</file>

<file path=customXml/itemProps4.xml><?xml version="1.0" encoding="utf-8"?>
<ds:datastoreItem xmlns:ds="http://schemas.openxmlformats.org/officeDocument/2006/customXml" ds:itemID="{31E40102-C809-4BEE-BEA2-D9F2DA88E5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Nibra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Giang Phan [NIPV]</dc:creator>
  <keywords/>
  <dc:description/>
  <lastModifiedBy>Thomas Knol [NIPV]</lastModifiedBy>
  <revision>114</revision>
  <dcterms:created xsi:type="dcterms:W3CDTF">2025-08-01T14:56:00.0000000Z</dcterms:created>
  <dcterms:modified xsi:type="dcterms:W3CDTF">2025-08-06T14:06:40.5597667Z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Beschrijvend document Europese openbare aanbestedingsprocedure [onderwerp] </vt:lpwstr>
  </property>
  <property fmtid="{D5CDD505-2E9C-101B-9397-08002B2CF9AE}" pid="4" name="txtVersie">
    <vt:lpwstr/>
  </property>
  <property fmtid="{D5CDD505-2E9C-101B-9397-08002B2CF9AE}" pid="5" name="txtDatum">
    <vt:lpwstr>24.6.2022</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boVertrouwelijkheid">
    <vt:lpwstr>intern</vt:lpwstr>
  </property>
  <property fmtid="{D5CDD505-2E9C-101B-9397-08002B2CF9AE}" pid="10" name="ContentTypeId">
    <vt:lpwstr>0x010100A5BB30641379804C87F1C8627FA73E63</vt:lpwstr>
  </property>
  <property fmtid="{D5CDD505-2E9C-101B-9397-08002B2CF9AE}" pid="11" name="MediaServiceImageTags">
    <vt:lpwstr/>
  </property>
</Properties>
</file>