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8D93" w14:textId="4CCEC81E" w:rsidR="00EB2E79" w:rsidRDefault="00EB2E79" w:rsidP="00EB2E79">
      <w:pPr>
        <w:ind w:left="3540" w:firstLine="708"/>
        <w:rPr>
          <w:b/>
          <w:sz w:val="40"/>
          <w:szCs w:val="40"/>
        </w:rPr>
      </w:pPr>
      <w:r>
        <w:rPr>
          <w:b/>
          <w:sz w:val="40"/>
          <w:szCs w:val="40"/>
        </w:rPr>
        <w:tab/>
      </w:r>
      <w:r>
        <w:rPr>
          <w:b/>
          <w:sz w:val="40"/>
          <w:szCs w:val="40"/>
        </w:rPr>
        <w:tab/>
      </w:r>
    </w:p>
    <w:p w14:paraId="74768D94" w14:textId="6E6D9A7F" w:rsidR="00EB2E79" w:rsidRDefault="00771ED4" w:rsidP="00EB2E79">
      <w:pPr>
        <w:rPr>
          <w:b/>
          <w:sz w:val="40"/>
          <w:szCs w:val="40"/>
        </w:rPr>
      </w:pPr>
      <w:r>
        <w:rPr>
          <w:b/>
          <w:sz w:val="40"/>
          <w:szCs w:val="40"/>
        </w:rPr>
        <w:t xml:space="preserve">                                   </w:t>
      </w:r>
      <w:r w:rsidR="00630C6D" w:rsidRPr="004C5371">
        <w:rPr>
          <w:rFonts w:ascii="Times New Roman" w:hAnsi="Times New Roman"/>
          <w:noProof/>
          <w:sz w:val="24"/>
        </w:rPr>
        <w:drawing>
          <wp:inline distT="0" distB="0" distL="0" distR="0" wp14:anchorId="7DCCDB2A" wp14:editId="3700E327">
            <wp:extent cx="4677363" cy="1676400"/>
            <wp:effectExtent l="0" t="0" r="9525" b="0"/>
            <wp:docPr id="3" name="Afbeelding 2" descr="Afbeelding met Graphics, grafische vormgeving,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Graphics, grafische vormgeving, Lettertype, logo&#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9765" cy="1680845"/>
                    </a:xfrm>
                    <a:prstGeom prst="rect">
                      <a:avLst/>
                    </a:prstGeom>
                    <a:noFill/>
                    <a:ln>
                      <a:noFill/>
                    </a:ln>
                  </pic:spPr>
                </pic:pic>
              </a:graphicData>
            </a:graphic>
          </wp:inline>
        </w:drawing>
      </w:r>
    </w:p>
    <w:p w14:paraId="74768D95" w14:textId="7659C2D3" w:rsidR="00EB2E79" w:rsidRDefault="00771ED4" w:rsidP="00EB2E79">
      <w:pPr>
        <w:rPr>
          <w:rFonts w:ascii="Arial" w:hAnsi="Arial" w:cs="Arial"/>
          <w:b/>
          <w:sz w:val="22"/>
          <w:szCs w:val="22"/>
        </w:rPr>
      </w:pPr>
      <w:r>
        <w:rPr>
          <w:rFonts w:ascii="Arial" w:hAnsi="Arial" w:cs="Arial"/>
          <w:b/>
          <w:sz w:val="22"/>
          <w:szCs w:val="22"/>
        </w:rPr>
        <w:t xml:space="preserve">   </w:t>
      </w:r>
    </w:p>
    <w:p w14:paraId="74768D96" w14:textId="77777777" w:rsidR="00EB2E79" w:rsidRDefault="00EB2E79" w:rsidP="00EB2E79">
      <w:pPr>
        <w:rPr>
          <w:rFonts w:ascii="Arial" w:hAnsi="Arial" w:cs="Arial"/>
          <w:b/>
          <w:sz w:val="22"/>
          <w:szCs w:val="22"/>
        </w:rPr>
      </w:pPr>
    </w:p>
    <w:p w14:paraId="74768D97" w14:textId="77777777" w:rsidR="00EB2E79" w:rsidRDefault="00EB2E79" w:rsidP="00EB2E79">
      <w:pPr>
        <w:rPr>
          <w:rFonts w:ascii="Arial" w:hAnsi="Arial" w:cs="Arial"/>
          <w:b/>
          <w:sz w:val="22"/>
          <w:szCs w:val="22"/>
        </w:rPr>
      </w:pPr>
    </w:p>
    <w:p w14:paraId="74768D98" w14:textId="4756E385" w:rsidR="00EB2E79" w:rsidRPr="00D872B1" w:rsidRDefault="00263259" w:rsidP="00EB2E79">
      <w:pPr>
        <w:rPr>
          <w:rFonts w:cs="Arial"/>
          <w:b/>
          <w:sz w:val="44"/>
          <w:szCs w:val="44"/>
        </w:rPr>
      </w:pPr>
      <w:r w:rsidRPr="00D872B1">
        <w:rPr>
          <w:rFonts w:cs="Arial"/>
          <w:b/>
          <w:sz w:val="44"/>
          <w:szCs w:val="44"/>
        </w:rPr>
        <w:t>Raamo</w:t>
      </w:r>
      <w:r w:rsidR="00EB2E79" w:rsidRPr="00D872B1">
        <w:rPr>
          <w:rFonts w:cs="Arial"/>
          <w:b/>
          <w:sz w:val="44"/>
          <w:szCs w:val="44"/>
        </w:rPr>
        <w:t>vereenkomst</w:t>
      </w:r>
    </w:p>
    <w:p w14:paraId="74768D99" w14:textId="4782A296" w:rsidR="00EB2E79" w:rsidRPr="00D872B1" w:rsidRDefault="00B43BBC" w:rsidP="00EB2E79">
      <w:pPr>
        <w:rPr>
          <w:rFonts w:cs="Arial"/>
          <w:b/>
          <w:sz w:val="44"/>
          <w:szCs w:val="44"/>
        </w:rPr>
      </w:pPr>
      <w:r w:rsidRPr="00D872B1">
        <w:rPr>
          <w:rFonts w:cs="Arial"/>
          <w:b/>
          <w:sz w:val="44"/>
          <w:szCs w:val="44"/>
        </w:rPr>
        <w:t xml:space="preserve">Perceel </w:t>
      </w:r>
      <w:r w:rsidR="0058327F" w:rsidRPr="00D872B1">
        <w:rPr>
          <w:rFonts w:cs="Arial"/>
          <w:b/>
          <w:sz w:val="44"/>
          <w:szCs w:val="44"/>
        </w:rPr>
        <w:t>4</w:t>
      </w:r>
      <w:r w:rsidRPr="00D872B1">
        <w:rPr>
          <w:rFonts w:cs="Arial"/>
          <w:b/>
          <w:sz w:val="44"/>
          <w:szCs w:val="44"/>
        </w:rPr>
        <w:t xml:space="preserve"> </w:t>
      </w:r>
      <w:r w:rsidR="0058327F" w:rsidRPr="00D872B1">
        <w:rPr>
          <w:rFonts w:cs="Arial"/>
          <w:b/>
          <w:sz w:val="44"/>
          <w:szCs w:val="44"/>
        </w:rPr>
        <w:t>Containerbehuizingen</w:t>
      </w:r>
    </w:p>
    <w:p w14:paraId="67F5BD7A" w14:textId="77777777" w:rsidR="00DE11B0" w:rsidRPr="00D872B1" w:rsidRDefault="00DE11B0" w:rsidP="00EB2E79">
      <w:pPr>
        <w:jc w:val="center"/>
        <w:rPr>
          <w:rFonts w:cs="Arial"/>
          <w:sz w:val="44"/>
          <w:szCs w:val="44"/>
        </w:rPr>
      </w:pPr>
      <w:bookmarkStart w:id="0" w:name="_Hlk201309528"/>
    </w:p>
    <w:bookmarkEnd w:id="0"/>
    <w:p w14:paraId="74768DA1" w14:textId="23980B1E" w:rsidR="00EB2E79" w:rsidRPr="00814FBF" w:rsidRDefault="00522F5A">
      <w:pPr>
        <w:rPr>
          <w:sz w:val="44"/>
          <w:szCs w:val="44"/>
        </w:rPr>
      </w:pPr>
      <w:r w:rsidRPr="00D872B1">
        <w:rPr>
          <w:sz w:val="44"/>
          <w:szCs w:val="44"/>
        </w:rPr>
        <w:t>Leveren en plaatsen GFE-behuizingen</w:t>
      </w:r>
    </w:p>
    <w:p w14:paraId="74768DA2" w14:textId="77777777" w:rsidR="00EB2E79" w:rsidRPr="00814FBF" w:rsidRDefault="00EB2E79">
      <w:pPr>
        <w:rPr>
          <w:sz w:val="44"/>
          <w:szCs w:val="44"/>
        </w:rPr>
      </w:pPr>
    </w:p>
    <w:p w14:paraId="74768DA3" w14:textId="77777777" w:rsidR="00EB2E79" w:rsidRPr="00814FBF" w:rsidRDefault="00EB2E79">
      <w:pPr>
        <w:rPr>
          <w:sz w:val="44"/>
          <w:szCs w:val="44"/>
        </w:rPr>
      </w:pPr>
    </w:p>
    <w:p w14:paraId="74768DA4" w14:textId="77777777" w:rsidR="00EB2E79" w:rsidRDefault="00EB2E79"/>
    <w:p w14:paraId="74768DA5" w14:textId="77777777" w:rsidR="00EB2E79" w:rsidRDefault="00EB2E79">
      <w:pPr>
        <w:rPr>
          <w:rFonts w:ascii="Arial" w:hAnsi="Arial" w:cs="Arial"/>
          <w:sz w:val="22"/>
          <w:szCs w:val="22"/>
        </w:rPr>
      </w:pPr>
    </w:p>
    <w:p w14:paraId="74768DA6" w14:textId="77777777" w:rsidR="00EB2E79" w:rsidRDefault="00EB2E79">
      <w:pPr>
        <w:rPr>
          <w:rFonts w:ascii="Arial" w:hAnsi="Arial" w:cs="Arial"/>
          <w:sz w:val="22"/>
          <w:szCs w:val="22"/>
        </w:rPr>
      </w:pPr>
    </w:p>
    <w:p w14:paraId="74768DA7" w14:textId="77777777" w:rsidR="00EB2E79" w:rsidRDefault="00EB2E79">
      <w:pPr>
        <w:rPr>
          <w:rFonts w:ascii="Arial" w:hAnsi="Arial" w:cs="Arial"/>
          <w:sz w:val="22"/>
          <w:szCs w:val="22"/>
        </w:rPr>
      </w:pPr>
    </w:p>
    <w:p w14:paraId="74768DA8" w14:textId="77777777" w:rsidR="00EB2E79" w:rsidRDefault="00EB2E79">
      <w:pPr>
        <w:rPr>
          <w:rFonts w:ascii="Arial" w:hAnsi="Arial" w:cs="Arial"/>
          <w:sz w:val="22"/>
          <w:szCs w:val="22"/>
        </w:rPr>
      </w:pPr>
    </w:p>
    <w:p w14:paraId="74768DA9" w14:textId="77777777" w:rsidR="00EB2E79" w:rsidRDefault="00EB2E79">
      <w:pPr>
        <w:rPr>
          <w:rFonts w:ascii="Arial" w:hAnsi="Arial" w:cs="Arial"/>
          <w:sz w:val="22"/>
          <w:szCs w:val="22"/>
        </w:rPr>
      </w:pPr>
    </w:p>
    <w:p w14:paraId="74768DAA" w14:textId="77777777" w:rsidR="00EB2E79" w:rsidRDefault="00EB2E79">
      <w:pPr>
        <w:rPr>
          <w:rFonts w:ascii="Arial" w:hAnsi="Arial" w:cs="Arial"/>
          <w:sz w:val="22"/>
          <w:szCs w:val="22"/>
        </w:rPr>
      </w:pPr>
    </w:p>
    <w:p w14:paraId="74768DAB" w14:textId="77777777" w:rsidR="00EB2E79" w:rsidRDefault="00EB2E79">
      <w:pPr>
        <w:rPr>
          <w:rFonts w:ascii="Arial" w:hAnsi="Arial" w:cs="Arial"/>
          <w:sz w:val="22"/>
          <w:szCs w:val="22"/>
        </w:rPr>
      </w:pPr>
    </w:p>
    <w:p w14:paraId="74768DAC" w14:textId="77777777" w:rsidR="00EB2E79" w:rsidRDefault="00EB2E79">
      <w:pPr>
        <w:rPr>
          <w:rFonts w:ascii="Arial" w:hAnsi="Arial" w:cs="Arial"/>
          <w:sz w:val="22"/>
          <w:szCs w:val="22"/>
        </w:rPr>
      </w:pPr>
    </w:p>
    <w:p w14:paraId="7E555F7B" w14:textId="49524FFA" w:rsidR="0057542C" w:rsidRPr="00D872B1" w:rsidRDefault="005817AC">
      <w:pPr>
        <w:rPr>
          <w:rFonts w:cs="Arial"/>
          <w:sz w:val="28"/>
          <w:szCs w:val="28"/>
        </w:rPr>
      </w:pPr>
      <w:r w:rsidRPr="00D872B1">
        <w:rPr>
          <w:rFonts w:cs="Arial"/>
          <w:sz w:val="28"/>
          <w:szCs w:val="28"/>
        </w:rPr>
        <w:t>Juli</w:t>
      </w:r>
      <w:r w:rsidR="00FC4C55" w:rsidRPr="00D872B1">
        <w:rPr>
          <w:rFonts w:cs="Arial"/>
          <w:sz w:val="28"/>
          <w:szCs w:val="28"/>
        </w:rPr>
        <w:t xml:space="preserve"> 2025</w:t>
      </w:r>
    </w:p>
    <w:p w14:paraId="1FC190F2" w14:textId="77777777" w:rsidR="0057542C" w:rsidRDefault="0057542C">
      <w:pPr>
        <w:rPr>
          <w:rFonts w:ascii="Arial" w:hAnsi="Arial" w:cs="Arial"/>
          <w:sz w:val="22"/>
          <w:szCs w:val="22"/>
        </w:rPr>
      </w:pPr>
    </w:p>
    <w:p w14:paraId="74768DAD" w14:textId="77777777" w:rsidR="00EB2E79" w:rsidRDefault="00EB2E79">
      <w:pPr>
        <w:rPr>
          <w:rFonts w:ascii="Arial" w:hAnsi="Arial" w:cs="Arial"/>
          <w:sz w:val="22"/>
          <w:szCs w:val="22"/>
        </w:rPr>
      </w:pPr>
    </w:p>
    <w:p w14:paraId="74768DAE" w14:textId="77777777" w:rsidR="00EB2E79" w:rsidRDefault="00EB2E79">
      <w:pPr>
        <w:rPr>
          <w:rFonts w:ascii="Arial" w:hAnsi="Arial" w:cs="Arial"/>
          <w:sz w:val="22"/>
          <w:szCs w:val="22"/>
        </w:rPr>
      </w:pPr>
    </w:p>
    <w:p w14:paraId="07ACDDE0" w14:textId="77777777" w:rsidR="00DC21BC" w:rsidRDefault="00DC21BC">
      <w:pPr>
        <w:spacing w:after="200" w:line="276" w:lineRule="auto"/>
        <w:rPr>
          <w:rFonts w:ascii="Arial" w:hAnsi="Arial" w:cs="Arial"/>
          <w:b/>
          <w:sz w:val="22"/>
          <w:szCs w:val="22"/>
        </w:rPr>
      </w:pPr>
      <w:r>
        <w:rPr>
          <w:rFonts w:ascii="Arial" w:hAnsi="Arial" w:cs="Arial"/>
          <w:b/>
          <w:sz w:val="22"/>
          <w:szCs w:val="22"/>
        </w:rPr>
        <w:br w:type="page"/>
      </w:r>
    </w:p>
    <w:p w14:paraId="74768DB0" w14:textId="6E45D297" w:rsidR="00EB2E79" w:rsidRPr="00612765" w:rsidRDefault="00EB2E79" w:rsidP="00EB2E79">
      <w:pPr>
        <w:tabs>
          <w:tab w:val="left" w:pos="426"/>
        </w:tabs>
        <w:rPr>
          <w:rFonts w:cs="Arial"/>
          <w:b/>
          <w:sz w:val="20"/>
          <w:szCs w:val="20"/>
        </w:rPr>
      </w:pPr>
      <w:r w:rsidRPr="00612765">
        <w:rPr>
          <w:rFonts w:cs="Arial"/>
          <w:b/>
          <w:sz w:val="20"/>
          <w:szCs w:val="20"/>
        </w:rPr>
        <w:lastRenderedPageBreak/>
        <w:t>Partijen</w:t>
      </w:r>
    </w:p>
    <w:p w14:paraId="74768DB1" w14:textId="77777777" w:rsidR="00EB2E79" w:rsidRPr="00612765" w:rsidRDefault="00EB2E79" w:rsidP="00EB2E79">
      <w:pPr>
        <w:tabs>
          <w:tab w:val="left" w:pos="426"/>
        </w:tabs>
        <w:rPr>
          <w:rFonts w:cs="Arial"/>
          <w:sz w:val="20"/>
          <w:szCs w:val="20"/>
        </w:rPr>
      </w:pPr>
    </w:p>
    <w:p w14:paraId="74768DB2" w14:textId="77777777" w:rsidR="00EB2E79" w:rsidRPr="00612765" w:rsidRDefault="00EB2E79" w:rsidP="00EB2E79">
      <w:pPr>
        <w:tabs>
          <w:tab w:val="left" w:pos="426"/>
        </w:tabs>
        <w:rPr>
          <w:rFonts w:cs="Arial"/>
          <w:sz w:val="20"/>
          <w:szCs w:val="20"/>
        </w:rPr>
      </w:pPr>
    </w:p>
    <w:p w14:paraId="74768DB3" w14:textId="6B3388C4" w:rsidR="00EB2E79" w:rsidRPr="00612765" w:rsidRDefault="00EB2E79" w:rsidP="00EB2E79">
      <w:pPr>
        <w:numPr>
          <w:ilvl w:val="0"/>
          <w:numId w:val="3"/>
        </w:numPr>
        <w:tabs>
          <w:tab w:val="left" w:pos="426"/>
        </w:tabs>
        <w:rPr>
          <w:rFonts w:cs="Arial"/>
          <w:sz w:val="20"/>
          <w:szCs w:val="20"/>
        </w:rPr>
      </w:pPr>
      <w:r w:rsidRPr="00612765">
        <w:rPr>
          <w:sz w:val="20"/>
          <w:szCs w:val="20"/>
        </w:rPr>
        <w:t xml:space="preserve">De </w:t>
      </w:r>
      <w:r w:rsidR="00E9185C" w:rsidRPr="00612765">
        <w:rPr>
          <w:sz w:val="20"/>
          <w:szCs w:val="20"/>
        </w:rPr>
        <w:t>publiekrechtelijk</w:t>
      </w:r>
      <w:r w:rsidR="00410724" w:rsidRPr="00612765">
        <w:rPr>
          <w:sz w:val="20"/>
          <w:szCs w:val="20"/>
        </w:rPr>
        <w:t xml:space="preserve"> rechtspersoon (</w:t>
      </w:r>
      <w:r w:rsidR="00075A2C" w:rsidRPr="00612765">
        <w:rPr>
          <w:sz w:val="20"/>
          <w:szCs w:val="20"/>
        </w:rPr>
        <w:t>Gemeenschappelijke Regeling</w:t>
      </w:r>
      <w:r w:rsidR="00410724" w:rsidRPr="00612765">
        <w:rPr>
          <w:sz w:val="20"/>
          <w:szCs w:val="20"/>
        </w:rPr>
        <w:t>)</w:t>
      </w:r>
      <w:r w:rsidR="00075A2C" w:rsidRPr="00612765">
        <w:rPr>
          <w:sz w:val="20"/>
          <w:szCs w:val="20"/>
        </w:rPr>
        <w:t xml:space="preserve"> RD Maasland, </w:t>
      </w:r>
      <w:r w:rsidR="00D07D18" w:rsidRPr="00612765">
        <w:rPr>
          <w:sz w:val="20"/>
          <w:szCs w:val="20"/>
        </w:rPr>
        <w:t xml:space="preserve">statutair gevestigd en kantoorhoudende aan de </w:t>
      </w:r>
      <w:proofErr w:type="spellStart"/>
      <w:r w:rsidR="00D07D18" w:rsidRPr="00612765">
        <w:rPr>
          <w:sz w:val="20"/>
          <w:szCs w:val="20"/>
        </w:rPr>
        <w:t>De</w:t>
      </w:r>
      <w:proofErr w:type="spellEnd"/>
      <w:r w:rsidR="00D07D18" w:rsidRPr="00612765">
        <w:rPr>
          <w:sz w:val="20"/>
          <w:szCs w:val="20"/>
        </w:rPr>
        <w:t xml:space="preserve"> </w:t>
      </w:r>
      <w:proofErr w:type="spellStart"/>
      <w:r w:rsidR="001736F0" w:rsidRPr="00612765">
        <w:rPr>
          <w:sz w:val="20"/>
          <w:szCs w:val="20"/>
        </w:rPr>
        <w:t>Giesel</w:t>
      </w:r>
      <w:proofErr w:type="spellEnd"/>
      <w:r w:rsidR="001736F0" w:rsidRPr="00612765">
        <w:rPr>
          <w:sz w:val="20"/>
          <w:szCs w:val="20"/>
        </w:rPr>
        <w:t xml:space="preserve"> 17 te Haelen, </w:t>
      </w:r>
      <w:r w:rsidR="00D07D18" w:rsidRPr="00612765">
        <w:rPr>
          <w:sz w:val="20"/>
          <w:szCs w:val="20"/>
        </w:rPr>
        <w:t xml:space="preserve">ingeschreven in het handelsregister van de Kamer van Koophandel onder nummer </w:t>
      </w:r>
      <w:r w:rsidR="00EF708F" w:rsidRPr="00612765">
        <w:rPr>
          <w:sz w:val="20"/>
          <w:szCs w:val="20"/>
        </w:rPr>
        <w:t xml:space="preserve">50904809, </w:t>
      </w:r>
      <w:r w:rsidR="00D07D18" w:rsidRPr="00612765">
        <w:rPr>
          <w:sz w:val="20"/>
          <w:szCs w:val="20"/>
        </w:rPr>
        <w:t>ten deze rechtsgeldig vertegenwoordigd</w:t>
      </w:r>
      <w:r w:rsidR="00EF708F" w:rsidRPr="00612765">
        <w:rPr>
          <w:sz w:val="20"/>
          <w:szCs w:val="20"/>
        </w:rPr>
        <w:t xml:space="preserve"> </w:t>
      </w:r>
      <w:r w:rsidRPr="00612765">
        <w:rPr>
          <w:rFonts w:cs="Arial"/>
          <w:sz w:val="20"/>
          <w:szCs w:val="20"/>
        </w:rPr>
        <w:t xml:space="preserve">door </w:t>
      </w:r>
      <w:r w:rsidR="00263259" w:rsidRPr="00612765">
        <w:rPr>
          <w:rFonts w:cs="Arial"/>
          <w:sz w:val="20"/>
          <w:szCs w:val="20"/>
        </w:rPr>
        <w:t xml:space="preserve">dhr. R. van der Broek (directeur), </w:t>
      </w:r>
      <w:r w:rsidRPr="00612765">
        <w:rPr>
          <w:rFonts w:cs="Arial"/>
          <w:sz w:val="20"/>
          <w:szCs w:val="20"/>
        </w:rPr>
        <w:t>hierna te noemen: “</w:t>
      </w:r>
      <w:r w:rsidRPr="00612765">
        <w:rPr>
          <w:rFonts w:cs="Arial"/>
          <w:b/>
          <w:sz w:val="20"/>
          <w:szCs w:val="20"/>
        </w:rPr>
        <w:t>Opdrachtgever</w:t>
      </w:r>
      <w:r w:rsidRPr="00612765">
        <w:rPr>
          <w:rFonts w:cs="Arial"/>
          <w:sz w:val="20"/>
          <w:szCs w:val="20"/>
        </w:rPr>
        <w:t>";</w:t>
      </w:r>
    </w:p>
    <w:p w14:paraId="74768DB4" w14:textId="77777777" w:rsidR="00EB2E79" w:rsidRPr="00612765" w:rsidRDefault="00EB2E79" w:rsidP="00EB2E79">
      <w:pPr>
        <w:tabs>
          <w:tab w:val="left" w:pos="426"/>
        </w:tabs>
        <w:rPr>
          <w:rFonts w:cs="Arial"/>
          <w:sz w:val="20"/>
          <w:szCs w:val="20"/>
        </w:rPr>
      </w:pPr>
    </w:p>
    <w:p w14:paraId="74768DB5" w14:textId="77777777" w:rsidR="00EB2E79" w:rsidRPr="00612765" w:rsidRDefault="00EB2E79" w:rsidP="00EB2E79">
      <w:pPr>
        <w:tabs>
          <w:tab w:val="left" w:pos="426"/>
        </w:tabs>
        <w:rPr>
          <w:rFonts w:cs="Arial"/>
          <w:sz w:val="20"/>
          <w:szCs w:val="20"/>
        </w:rPr>
      </w:pPr>
      <w:r w:rsidRPr="00612765">
        <w:rPr>
          <w:rFonts w:cs="Arial"/>
          <w:sz w:val="20"/>
          <w:szCs w:val="20"/>
        </w:rPr>
        <w:t>en</w:t>
      </w:r>
    </w:p>
    <w:p w14:paraId="74768DB6" w14:textId="77777777" w:rsidR="00EB2E79" w:rsidRPr="00612765" w:rsidRDefault="00EB2E79" w:rsidP="00EB2E79">
      <w:pPr>
        <w:tabs>
          <w:tab w:val="left" w:pos="426"/>
        </w:tabs>
        <w:rPr>
          <w:rFonts w:cs="Arial"/>
          <w:sz w:val="20"/>
          <w:szCs w:val="20"/>
        </w:rPr>
      </w:pPr>
    </w:p>
    <w:p w14:paraId="74768DB7" w14:textId="77777777" w:rsidR="00EB2E79" w:rsidRPr="00612765" w:rsidRDefault="00EB2E79" w:rsidP="00EB2E79">
      <w:pPr>
        <w:numPr>
          <w:ilvl w:val="0"/>
          <w:numId w:val="3"/>
        </w:numPr>
        <w:tabs>
          <w:tab w:val="left" w:pos="709"/>
        </w:tabs>
        <w:rPr>
          <w:rFonts w:cs="Arial"/>
          <w:sz w:val="20"/>
          <w:szCs w:val="20"/>
        </w:rPr>
      </w:pPr>
      <w:r w:rsidRPr="00612765">
        <w:rPr>
          <w:rFonts w:cs="Arial"/>
          <w:sz w:val="20"/>
          <w:szCs w:val="20"/>
          <w:highlight w:val="yellow"/>
        </w:rPr>
        <w:t>&lt;naam&gt;</w:t>
      </w:r>
      <w:r w:rsidRPr="00612765">
        <w:rPr>
          <w:rFonts w:cs="Arial"/>
          <w:sz w:val="20"/>
          <w:szCs w:val="20"/>
        </w:rPr>
        <w:t xml:space="preserve">, statutair gevestigd en kantoorhoudende aan de </w:t>
      </w:r>
      <w:r w:rsidRPr="00612765">
        <w:rPr>
          <w:rFonts w:cs="Arial"/>
          <w:sz w:val="20"/>
          <w:szCs w:val="20"/>
          <w:highlight w:val="yellow"/>
        </w:rPr>
        <w:t>&lt;adres&gt; te &lt;plaats&gt;,</w:t>
      </w:r>
      <w:r w:rsidRPr="00612765">
        <w:rPr>
          <w:rFonts w:cs="Arial"/>
          <w:sz w:val="20"/>
          <w:szCs w:val="20"/>
        </w:rPr>
        <w:t xml:space="preserve"> ingeschreven in het handelsregister van de Kamer van Koophandel onder nummer </w:t>
      </w:r>
      <w:r w:rsidRPr="00612765">
        <w:rPr>
          <w:rFonts w:cs="Arial"/>
          <w:sz w:val="20"/>
          <w:szCs w:val="20"/>
          <w:highlight w:val="yellow"/>
        </w:rPr>
        <w:t>&lt;nummer&gt;,</w:t>
      </w:r>
      <w:r w:rsidRPr="00612765">
        <w:rPr>
          <w:rFonts w:cs="Arial"/>
          <w:sz w:val="20"/>
          <w:szCs w:val="20"/>
        </w:rPr>
        <w:t xml:space="preserve"> ten deze rechtsgeldig vertegenwoordigd door </w:t>
      </w:r>
      <w:r w:rsidRPr="00612765">
        <w:rPr>
          <w:rFonts w:cs="Arial"/>
          <w:sz w:val="20"/>
          <w:szCs w:val="20"/>
          <w:highlight w:val="yellow"/>
        </w:rPr>
        <w:t>&lt;naam&gt;,</w:t>
      </w:r>
      <w:r w:rsidRPr="00612765">
        <w:rPr>
          <w:rFonts w:cs="Arial"/>
          <w:sz w:val="20"/>
          <w:szCs w:val="20"/>
        </w:rPr>
        <w:t xml:space="preserve"> hierna te noemen: </w:t>
      </w:r>
      <w:r w:rsidRPr="00612765">
        <w:rPr>
          <w:rFonts w:cs="Arial"/>
          <w:iCs/>
          <w:sz w:val="20"/>
          <w:szCs w:val="20"/>
        </w:rPr>
        <w:t>‘’</w:t>
      </w:r>
      <w:r w:rsidRPr="00612765">
        <w:rPr>
          <w:rFonts w:cs="Arial"/>
          <w:b/>
          <w:iCs/>
          <w:sz w:val="20"/>
          <w:szCs w:val="20"/>
        </w:rPr>
        <w:t>Opdrachtnemer</w:t>
      </w:r>
      <w:r w:rsidRPr="00612765">
        <w:rPr>
          <w:rFonts w:cs="Arial"/>
          <w:iCs/>
          <w:sz w:val="20"/>
          <w:szCs w:val="20"/>
        </w:rPr>
        <w:t>’’</w:t>
      </w:r>
      <w:r w:rsidRPr="00612765">
        <w:rPr>
          <w:rFonts w:cs="Arial"/>
          <w:sz w:val="20"/>
          <w:szCs w:val="20"/>
        </w:rPr>
        <w:t xml:space="preserve">. </w:t>
      </w:r>
    </w:p>
    <w:p w14:paraId="74768DB8" w14:textId="77777777" w:rsidR="00EB2E79" w:rsidRPr="00612765" w:rsidRDefault="00EB2E79" w:rsidP="00EB2E79">
      <w:pPr>
        <w:tabs>
          <w:tab w:val="left" w:pos="426"/>
        </w:tabs>
        <w:rPr>
          <w:rFonts w:cs="Arial"/>
          <w:sz w:val="20"/>
          <w:szCs w:val="20"/>
        </w:rPr>
      </w:pPr>
    </w:p>
    <w:p w14:paraId="74768DB9" w14:textId="77777777" w:rsidR="00EB2E79" w:rsidRPr="00612765" w:rsidRDefault="00EB2E79" w:rsidP="00EB2E79">
      <w:pPr>
        <w:tabs>
          <w:tab w:val="left" w:pos="426"/>
        </w:tabs>
        <w:rPr>
          <w:rFonts w:cs="Arial"/>
          <w:sz w:val="20"/>
          <w:szCs w:val="20"/>
        </w:rPr>
      </w:pPr>
      <w:r w:rsidRPr="00612765">
        <w:rPr>
          <w:rFonts w:cs="Arial"/>
          <w:sz w:val="20"/>
          <w:szCs w:val="20"/>
        </w:rPr>
        <w:t>hierna afzonderlijk ook te noemen: ‘’</w:t>
      </w:r>
      <w:r w:rsidRPr="00612765">
        <w:rPr>
          <w:rFonts w:cs="Arial"/>
          <w:b/>
          <w:sz w:val="20"/>
          <w:szCs w:val="20"/>
        </w:rPr>
        <w:t>Partij</w:t>
      </w:r>
      <w:r w:rsidRPr="00612765">
        <w:rPr>
          <w:rFonts w:cs="Arial"/>
          <w:sz w:val="20"/>
          <w:szCs w:val="20"/>
        </w:rPr>
        <w:t>’’ en gezamenlijk te noemen: “</w:t>
      </w:r>
      <w:r w:rsidRPr="00612765">
        <w:rPr>
          <w:rFonts w:cs="Arial"/>
          <w:b/>
          <w:sz w:val="20"/>
          <w:szCs w:val="20"/>
        </w:rPr>
        <w:t>Partijen</w:t>
      </w:r>
      <w:r w:rsidRPr="00612765">
        <w:rPr>
          <w:rFonts w:cs="Arial"/>
          <w:sz w:val="20"/>
          <w:szCs w:val="20"/>
        </w:rPr>
        <w:t>”.</w:t>
      </w:r>
    </w:p>
    <w:p w14:paraId="74768DBA" w14:textId="77777777" w:rsidR="00EB2E79" w:rsidRPr="00612765" w:rsidRDefault="00EB2E79" w:rsidP="00EB2E79">
      <w:pPr>
        <w:tabs>
          <w:tab w:val="left" w:pos="426"/>
        </w:tabs>
        <w:rPr>
          <w:rFonts w:cs="Arial"/>
          <w:sz w:val="20"/>
          <w:szCs w:val="20"/>
        </w:rPr>
      </w:pPr>
    </w:p>
    <w:p w14:paraId="74768DBB" w14:textId="77777777" w:rsidR="00EB2E79" w:rsidRPr="00612765" w:rsidRDefault="00EB2E79" w:rsidP="00EB2E79">
      <w:pPr>
        <w:tabs>
          <w:tab w:val="left" w:pos="426"/>
        </w:tabs>
        <w:rPr>
          <w:rFonts w:cs="Arial"/>
          <w:color w:val="0000FF"/>
          <w:sz w:val="20"/>
          <w:szCs w:val="20"/>
        </w:rPr>
      </w:pPr>
      <w:r w:rsidRPr="00612765">
        <w:rPr>
          <w:rFonts w:cs="Arial"/>
          <w:b/>
          <w:sz w:val="20"/>
          <w:szCs w:val="20"/>
        </w:rPr>
        <w:t xml:space="preserve">nemen in aanmerking dat </w:t>
      </w:r>
    </w:p>
    <w:p w14:paraId="74768DBC" w14:textId="77777777" w:rsidR="00EB2E79" w:rsidRPr="00612765" w:rsidRDefault="00EB2E79" w:rsidP="00EB2E79">
      <w:pPr>
        <w:tabs>
          <w:tab w:val="left" w:pos="426"/>
        </w:tabs>
        <w:rPr>
          <w:rFonts w:cs="Arial"/>
          <w:color w:val="0000FF"/>
          <w:sz w:val="20"/>
          <w:szCs w:val="20"/>
        </w:rPr>
      </w:pPr>
    </w:p>
    <w:p w14:paraId="74768DBE" w14:textId="534B79C9" w:rsidR="00EB2E79" w:rsidRPr="00612765" w:rsidRDefault="00EB2E79" w:rsidP="00814FBF">
      <w:pPr>
        <w:tabs>
          <w:tab w:val="left" w:pos="567"/>
        </w:tabs>
        <w:ind w:left="567" w:hanging="567"/>
        <w:rPr>
          <w:rFonts w:cs="Arial"/>
          <w:sz w:val="20"/>
          <w:szCs w:val="20"/>
        </w:rPr>
      </w:pPr>
      <w:r w:rsidRPr="00612765">
        <w:rPr>
          <w:rFonts w:cs="Arial"/>
          <w:sz w:val="20"/>
          <w:szCs w:val="20"/>
        </w:rPr>
        <w:t>I</w:t>
      </w:r>
      <w:r w:rsidRPr="00612765">
        <w:rPr>
          <w:rFonts w:cs="Arial"/>
          <w:sz w:val="20"/>
          <w:szCs w:val="20"/>
        </w:rPr>
        <w:tab/>
      </w:r>
      <w:r w:rsidRPr="00CD63ED">
        <w:rPr>
          <w:rFonts w:cs="Arial"/>
          <w:sz w:val="20"/>
          <w:szCs w:val="20"/>
        </w:rPr>
        <w:t xml:space="preserve">Opdrachtgever een Europese openbare aanbestedingsprocedure is gestart voor </w:t>
      </w:r>
      <w:r w:rsidR="00296470" w:rsidRPr="00CD63ED">
        <w:rPr>
          <w:rFonts w:cs="Arial"/>
          <w:sz w:val="20"/>
          <w:szCs w:val="20"/>
        </w:rPr>
        <w:t>“</w:t>
      </w:r>
      <w:r w:rsidR="00303E35" w:rsidRPr="00CD63ED">
        <w:rPr>
          <w:rFonts w:cs="Arial"/>
          <w:i/>
          <w:iCs/>
          <w:sz w:val="20"/>
          <w:szCs w:val="20"/>
        </w:rPr>
        <w:t>L</w:t>
      </w:r>
      <w:r w:rsidR="00296470" w:rsidRPr="00CD63ED">
        <w:rPr>
          <w:rFonts w:cs="Arial"/>
          <w:i/>
          <w:iCs/>
          <w:sz w:val="20"/>
          <w:szCs w:val="20"/>
        </w:rPr>
        <w:t>evering en plaatsing ondergrondse containers en aanverwante dienstverlening</w:t>
      </w:r>
      <w:r w:rsidR="00296470" w:rsidRPr="00CD63ED">
        <w:rPr>
          <w:rFonts w:cs="Arial"/>
          <w:sz w:val="20"/>
          <w:szCs w:val="20"/>
        </w:rPr>
        <w:t>”</w:t>
      </w:r>
      <w:r w:rsidR="000B2621" w:rsidRPr="00CD63ED">
        <w:rPr>
          <w:rFonts w:cs="Arial"/>
          <w:sz w:val="20"/>
          <w:szCs w:val="20"/>
        </w:rPr>
        <w:t xml:space="preserve">; </w:t>
      </w:r>
      <w:r w:rsidR="0098334D" w:rsidRPr="00CD63ED">
        <w:rPr>
          <w:rFonts w:cs="Arial"/>
          <w:b/>
          <w:bCs/>
          <w:sz w:val="20"/>
          <w:szCs w:val="20"/>
        </w:rPr>
        <w:t>P</w:t>
      </w:r>
      <w:r w:rsidR="000B2621" w:rsidRPr="00CD63ED">
        <w:rPr>
          <w:rFonts w:cs="Arial"/>
          <w:b/>
          <w:bCs/>
          <w:sz w:val="20"/>
          <w:szCs w:val="20"/>
        </w:rPr>
        <w:t xml:space="preserve">erceel </w:t>
      </w:r>
      <w:r w:rsidR="00522F5A" w:rsidRPr="00CD63ED">
        <w:rPr>
          <w:rFonts w:cs="Arial"/>
          <w:b/>
          <w:bCs/>
          <w:sz w:val="20"/>
          <w:szCs w:val="20"/>
        </w:rPr>
        <w:t>4</w:t>
      </w:r>
      <w:r w:rsidR="00522F5A" w:rsidRPr="00CD63ED">
        <w:rPr>
          <w:rFonts w:cs="Arial"/>
          <w:sz w:val="20"/>
          <w:szCs w:val="20"/>
        </w:rPr>
        <w:t xml:space="preserve"> Leveren en plaatsen GFE-behuizingen</w:t>
      </w:r>
      <w:r w:rsidR="00522F5A" w:rsidRPr="00B57270">
        <w:rPr>
          <w:rFonts w:cs="Arial"/>
          <w:sz w:val="20"/>
          <w:szCs w:val="20"/>
        </w:rPr>
        <w:t xml:space="preserve"> </w:t>
      </w:r>
    </w:p>
    <w:p w14:paraId="3537615A" w14:textId="77777777" w:rsidR="00814FBF" w:rsidRPr="00612765" w:rsidRDefault="00814FBF" w:rsidP="00814FBF">
      <w:pPr>
        <w:tabs>
          <w:tab w:val="left" w:pos="567"/>
        </w:tabs>
        <w:ind w:left="567" w:hanging="567"/>
        <w:rPr>
          <w:rFonts w:cs="Arial"/>
          <w:color w:val="0000FF"/>
          <w:sz w:val="20"/>
          <w:szCs w:val="20"/>
        </w:rPr>
      </w:pPr>
    </w:p>
    <w:p w14:paraId="74768DC0" w14:textId="27F023B9" w:rsidR="00EB2E79" w:rsidRPr="00612765" w:rsidRDefault="00EB2E79" w:rsidP="00000424">
      <w:pPr>
        <w:tabs>
          <w:tab w:val="left" w:pos="567"/>
        </w:tabs>
        <w:ind w:left="567" w:hanging="567"/>
        <w:rPr>
          <w:rFonts w:cs="Arial"/>
          <w:b/>
          <w:sz w:val="20"/>
          <w:szCs w:val="20"/>
        </w:rPr>
      </w:pPr>
      <w:r w:rsidRPr="00612765">
        <w:rPr>
          <w:rFonts w:cs="Arial"/>
          <w:sz w:val="20"/>
          <w:szCs w:val="20"/>
        </w:rPr>
        <w:t>II</w:t>
      </w:r>
      <w:r w:rsidRPr="00612765">
        <w:rPr>
          <w:rFonts w:cs="Arial"/>
          <w:sz w:val="20"/>
          <w:szCs w:val="20"/>
        </w:rPr>
        <w:tab/>
        <w:t>Uit deze Europese openbare aanbestedingsprocedure is gebleken dat Opdrachtnemer de Economisch Meest Voordelige Inschrijving heeft gedaan</w:t>
      </w:r>
      <w:r w:rsidR="00000424" w:rsidRPr="00612765">
        <w:rPr>
          <w:rFonts w:cs="Arial"/>
          <w:sz w:val="20"/>
          <w:szCs w:val="20"/>
        </w:rPr>
        <w:t xml:space="preserve">; </w:t>
      </w:r>
      <w:r w:rsidRPr="00612765">
        <w:rPr>
          <w:rFonts w:cs="Arial"/>
          <w:sz w:val="20"/>
          <w:szCs w:val="20"/>
        </w:rPr>
        <w:t xml:space="preserve"> </w:t>
      </w:r>
    </w:p>
    <w:p w14:paraId="74768DC1" w14:textId="77777777" w:rsidR="00EB2E79" w:rsidRPr="00612765" w:rsidRDefault="00EB2E79" w:rsidP="00EB2E79">
      <w:pPr>
        <w:ind w:left="567" w:hanging="567"/>
        <w:rPr>
          <w:rFonts w:cs="Arial"/>
          <w:sz w:val="20"/>
          <w:szCs w:val="20"/>
        </w:rPr>
      </w:pPr>
    </w:p>
    <w:p w14:paraId="74768DC2" w14:textId="77777777" w:rsidR="00EB2E79" w:rsidRPr="00612765" w:rsidRDefault="00EB2E79" w:rsidP="00EB2E79">
      <w:pPr>
        <w:ind w:left="567" w:hanging="567"/>
        <w:rPr>
          <w:rFonts w:cs="Arial"/>
          <w:sz w:val="20"/>
          <w:szCs w:val="20"/>
        </w:rPr>
      </w:pPr>
      <w:r w:rsidRPr="00612765">
        <w:rPr>
          <w:rFonts w:cs="Arial"/>
          <w:sz w:val="20"/>
          <w:szCs w:val="20"/>
        </w:rPr>
        <w:t>III</w:t>
      </w:r>
      <w:r w:rsidRPr="00612765">
        <w:rPr>
          <w:rFonts w:cs="Arial"/>
          <w:sz w:val="20"/>
          <w:szCs w:val="20"/>
        </w:rPr>
        <w:tab/>
        <w:t>Opdrachtnemer in staat is om deze dienstverlening te leveren, zoals Opdrachtgever dit wenst;</w:t>
      </w:r>
    </w:p>
    <w:p w14:paraId="74768DC3" w14:textId="77777777" w:rsidR="00EB2E79" w:rsidRPr="00612765" w:rsidRDefault="00EB2E79" w:rsidP="00EB2E79">
      <w:pPr>
        <w:ind w:left="567" w:hanging="567"/>
        <w:rPr>
          <w:rFonts w:cs="Arial"/>
          <w:sz w:val="20"/>
          <w:szCs w:val="20"/>
        </w:rPr>
      </w:pPr>
    </w:p>
    <w:p w14:paraId="74768DC4" w14:textId="77777777" w:rsidR="00EB2E79" w:rsidRPr="00612765" w:rsidRDefault="00EB2E79" w:rsidP="00EB2E79">
      <w:pPr>
        <w:tabs>
          <w:tab w:val="left" w:pos="709"/>
        </w:tabs>
        <w:ind w:left="567" w:hanging="567"/>
        <w:rPr>
          <w:rFonts w:cs="Arial"/>
          <w:sz w:val="20"/>
          <w:szCs w:val="20"/>
        </w:rPr>
      </w:pPr>
      <w:r w:rsidRPr="00612765">
        <w:rPr>
          <w:rFonts w:cs="Arial"/>
          <w:sz w:val="20"/>
          <w:szCs w:val="20"/>
        </w:rPr>
        <w:t>IV</w:t>
      </w:r>
      <w:r w:rsidRPr="00612765">
        <w:rPr>
          <w:rFonts w:cs="Arial"/>
          <w:sz w:val="20"/>
          <w:szCs w:val="20"/>
        </w:rPr>
        <w:tab/>
        <w:t>Partijen de voorwaarden waaronder de dienstverlening geschiedt, vast wensen te leggen in een overeenkomst.</w:t>
      </w:r>
    </w:p>
    <w:p w14:paraId="74768DC5" w14:textId="77777777" w:rsidR="00EB2E79" w:rsidRPr="00612765" w:rsidRDefault="00EB2E79" w:rsidP="00EB2E79">
      <w:pPr>
        <w:tabs>
          <w:tab w:val="left" w:pos="709"/>
        </w:tabs>
        <w:ind w:left="567" w:hanging="567"/>
        <w:rPr>
          <w:rFonts w:cs="Arial"/>
          <w:sz w:val="20"/>
          <w:szCs w:val="20"/>
        </w:rPr>
      </w:pPr>
    </w:p>
    <w:p w14:paraId="74768DC6" w14:textId="77777777" w:rsidR="00EB2E79" w:rsidRPr="00612765" w:rsidRDefault="00EB2E79" w:rsidP="00EB2E79">
      <w:pPr>
        <w:rPr>
          <w:rFonts w:cs="Arial"/>
          <w:b/>
          <w:sz w:val="20"/>
          <w:szCs w:val="20"/>
        </w:rPr>
      </w:pPr>
      <w:r w:rsidRPr="00612765">
        <w:rPr>
          <w:rFonts w:cs="Arial"/>
          <w:b/>
          <w:sz w:val="20"/>
          <w:szCs w:val="20"/>
        </w:rPr>
        <w:t>En komen overeen als volgt</w:t>
      </w:r>
    </w:p>
    <w:p w14:paraId="74768DC7" w14:textId="77777777" w:rsidR="00EB2E79" w:rsidRPr="00612765" w:rsidRDefault="00EB2E79" w:rsidP="00EB2E79">
      <w:pPr>
        <w:rPr>
          <w:rFonts w:cs="Arial"/>
          <w:sz w:val="20"/>
          <w:szCs w:val="20"/>
        </w:rPr>
      </w:pPr>
    </w:p>
    <w:p w14:paraId="74768DC8" w14:textId="77777777" w:rsidR="00EB2E79" w:rsidRPr="00612765" w:rsidRDefault="00EB2E79" w:rsidP="00EB2E79">
      <w:pPr>
        <w:rPr>
          <w:rFonts w:cs="Arial"/>
          <w:sz w:val="20"/>
          <w:szCs w:val="20"/>
        </w:rPr>
      </w:pPr>
    </w:p>
    <w:p w14:paraId="74768DC9" w14:textId="77777777" w:rsidR="00EB2E79" w:rsidRPr="00612765" w:rsidRDefault="00EB2E79" w:rsidP="00EB2E79">
      <w:pPr>
        <w:spacing w:after="200" w:line="276" w:lineRule="auto"/>
        <w:rPr>
          <w:rFonts w:cs="Arial"/>
          <w:sz w:val="20"/>
          <w:szCs w:val="20"/>
        </w:rPr>
      </w:pPr>
      <w:r w:rsidRPr="00612765">
        <w:rPr>
          <w:rFonts w:cs="Arial"/>
          <w:sz w:val="20"/>
          <w:szCs w:val="20"/>
        </w:rPr>
        <w:br w:type="page"/>
      </w:r>
    </w:p>
    <w:p w14:paraId="74768DCA" w14:textId="77777777" w:rsidR="00EB2E79" w:rsidRPr="00612765" w:rsidRDefault="00C12E0F" w:rsidP="00EB2E79">
      <w:pPr>
        <w:rPr>
          <w:rFonts w:cs="Arial"/>
          <w:b/>
          <w:sz w:val="20"/>
          <w:szCs w:val="20"/>
        </w:rPr>
      </w:pPr>
      <w:r w:rsidRPr="00612765">
        <w:rPr>
          <w:rFonts w:cs="Arial"/>
          <w:b/>
          <w:sz w:val="20"/>
          <w:szCs w:val="20"/>
        </w:rPr>
        <w:lastRenderedPageBreak/>
        <w:t xml:space="preserve">Artikel 1    </w:t>
      </w:r>
      <w:r w:rsidR="00EB2E79" w:rsidRPr="00612765">
        <w:rPr>
          <w:rFonts w:cs="Arial"/>
          <w:b/>
          <w:sz w:val="20"/>
          <w:szCs w:val="20"/>
        </w:rPr>
        <w:t>Inhoud van de overeenkomst</w:t>
      </w:r>
    </w:p>
    <w:p w14:paraId="74768DCB" w14:textId="56D27563" w:rsidR="00EB2E79" w:rsidRPr="00612765" w:rsidRDefault="00EB2E79" w:rsidP="00EB2E79">
      <w:pPr>
        <w:numPr>
          <w:ilvl w:val="1"/>
          <w:numId w:val="1"/>
        </w:numPr>
        <w:rPr>
          <w:rFonts w:cs="Arial"/>
          <w:sz w:val="20"/>
          <w:szCs w:val="20"/>
        </w:rPr>
      </w:pPr>
      <w:r w:rsidRPr="00612765">
        <w:rPr>
          <w:rFonts w:cs="Arial"/>
          <w:sz w:val="20"/>
          <w:szCs w:val="20"/>
        </w:rPr>
        <w:t>Gedurende de looptijd van deze overeenkomst is Opdrachtnemer verplicht aan Opdrachtgever dienst te verlenen overeenkomstig de naar aanleiding van de inschrijvingsleidraad van Opdrachtgever kenmerk</w:t>
      </w:r>
      <w:r w:rsidR="004E201B" w:rsidRPr="00612765">
        <w:rPr>
          <w:rFonts w:cs="Arial"/>
          <w:sz w:val="20"/>
          <w:szCs w:val="20"/>
        </w:rPr>
        <w:t xml:space="preserve"> </w:t>
      </w:r>
      <w:r w:rsidR="00006A11" w:rsidRPr="00612765">
        <w:rPr>
          <w:rFonts w:cs="Arial"/>
          <w:sz w:val="20"/>
          <w:szCs w:val="20"/>
        </w:rPr>
        <w:t xml:space="preserve">TN </w:t>
      </w:r>
      <w:r w:rsidR="00303E35" w:rsidRPr="00612765">
        <w:rPr>
          <w:rFonts w:cs="Arial"/>
          <w:sz w:val="20"/>
          <w:szCs w:val="20"/>
        </w:rPr>
        <w:t>533201</w:t>
      </w:r>
      <w:r w:rsidR="00006A11" w:rsidRPr="00612765">
        <w:rPr>
          <w:rFonts w:cs="Arial"/>
          <w:sz w:val="20"/>
          <w:szCs w:val="20"/>
        </w:rPr>
        <w:t xml:space="preserve"> d.d.</w:t>
      </w:r>
      <w:r w:rsidR="00CD63ED">
        <w:rPr>
          <w:rFonts w:cs="Arial"/>
          <w:sz w:val="20"/>
          <w:szCs w:val="20"/>
        </w:rPr>
        <w:t xml:space="preserve"> </w:t>
      </w:r>
      <w:r w:rsidR="00874E10">
        <w:rPr>
          <w:rFonts w:cs="Arial"/>
          <w:sz w:val="20"/>
          <w:szCs w:val="20"/>
        </w:rPr>
        <w:t>16</w:t>
      </w:r>
      <w:r w:rsidR="00CD63ED">
        <w:rPr>
          <w:rFonts w:cs="Arial"/>
          <w:sz w:val="20"/>
          <w:szCs w:val="20"/>
        </w:rPr>
        <w:t>-07-2025</w:t>
      </w:r>
      <w:r w:rsidR="00006A11" w:rsidRPr="00612765">
        <w:rPr>
          <w:rFonts w:cs="Arial"/>
          <w:sz w:val="20"/>
          <w:szCs w:val="20"/>
        </w:rPr>
        <w:t xml:space="preserve"> </w:t>
      </w:r>
      <w:r w:rsidRPr="00612765">
        <w:rPr>
          <w:rFonts w:cs="Arial"/>
          <w:sz w:val="20"/>
          <w:szCs w:val="20"/>
        </w:rPr>
        <w:t>opgestelde offerte en/of inschrijving van Opdrachtnemer d.d. &lt;</w:t>
      </w:r>
      <w:r w:rsidRPr="00612765">
        <w:rPr>
          <w:rFonts w:cs="Arial"/>
          <w:sz w:val="20"/>
          <w:szCs w:val="20"/>
          <w:highlight w:val="yellow"/>
        </w:rPr>
        <w:t>datum&gt;</w:t>
      </w:r>
      <w:r w:rsidRPr="00612765">
        <w:rPr>
          <w:rFonts w:cs="Arial"/>
          <w:sz w:val="20"/>
          <w:szCs w:val="20"/>
        </w:rPr>
        <w:t xml:space="preserve"> en de voorwaarden en bepalingen van deze overeenkomst, inclusief bijlagen.</w:t>
      </w:r>
    </w:p>
    <w:p w14:paraId="74768DCC" w14:textId="77777777" w:rsidR="00EB2E79" w:rsidRPr="00612765" w:rsidRDefault="00EB2E79" w:rsidP="00EB2E79">
      <w:pPr>
        <w:ind w:left="1140"/>
        <w:rPr>
          <w:rFonts w:cs="Arial"/>
          <w:sz w:val="20"/>
          <w:szCs w:val="20"/>
        </w:rPr>
      </w:pPr>
    </w:p>
    <w:p w14:paraId="74768DCD" w14:textId="77777777" w:rsidR="00EB2E79" w:rsidRPr="00612765" w:rsidRDefault="00EB2E79" w:rsidP="00EB2E79">
      <w:pPr>
        <w:numPr>
          <w:ilvl w:val="1"/>
          <w:numId w:val="1"/>
        </w:numPr>
        <w:rPr>
          <w:rFonts w:cs="Arial"/>
          <w:sz w:val="20"/>
          <w:szCs w:val="20"/>
        </w:rPr>
      </w:pPr>
      <w:r w:rsidRPr="00612765">
        <w:rPr>
          <w:rFonts w:cs="Arial"/>
          <w:sz w:val="20"/>
          <w:szCs w:val="20"/>
        </w:rPr>
        <w:t>De onderstaande documenten zijn bijlagen van de overeenkomst en maken integraal onderdeel uit van de overeenkomst. Voor zover de volgende bescheiden met elkaar in tegenspraak zijn, geldt de navolgende rangorde, waarbij het hoger voornoemde document prevaleert boven het lager genoemde:</w:t>
      </w:r>
    </w:p>
    <w:p w14:paraId="74768DCE" w14:textId="77777777" w:rsidR="00EB2E79" w:rsidRPr="00612765" w:rsidRDefault="00EB2E79" w:rsidP="00EB2E79">
      <w:pPr>
        <w:ind w:left="1140"/>
        <w:rPr>
          <w:rFonts w:cs="Arial"/>
          <w:sz w:val="20"/>
          <w:szCs w:val="20"/>
        </w:rPr>
      </w:pPr>
    </w:p>
    <w:p w14:paraId="74768DCF" w14:textId="77777777" w:rsidR="00EB2E79" w:rsidRPr="00612765" w:rsidRDefault="00EB2E79" w:rsidP="00EB2E79">
      <w:pPr>
        <w:numPr>
          <w:ilvl w:val="0"/>
          <w:numId w:val="2"/>
        </w:numPr>
        <w:rPr>
          <w:rFonts w:cs="Arial"/>
          <w:sz w:val="20"/>
          <w:szCs w:val="20"/>
        </w:rPr>
      </w:pPr>
      <w:r w:rsidRPr="00612765">
        <w:rPr>
          <w:rFonts w:cs="Arial"/>
          <w:sz w:val="20"/>
          <w:szCs w:val="20"/>
        </w:rPr>
        <w:t>Nota van Inlichtingen (bij meerdere Nota's van Inlichtingen prevaleren latere versies boven eerdere versies);</w:t>
      </w:r>
    </w:p>
    <w:p w14:paraId="74768DD0" w14:textId="77777777" w:rsidR="00EB2E79" w:rsidRPr="00612765" w:rsidRDefault="00EB2E79" w:rsidP="00EB2E79">
      <w:pPr>
        <w:numPr>
          <w:ilvl w:val="0"/>
          <w:numId w:val="2"/>
        </w:numPr>
        <w:rPr>
          <w:rFonts w:cs="Arial"/>
          <w:sz w:val="20"/>
          <w:szCs w:val="20"/>
        </w:rPr>
      </w:pPr>
      <w:r w:rsidRPr="00612765">
        <w:rPr>
          <w:rFonts w:cs="Arial"/>
          <w:sz w:val="20"/>
          <w:szCs w:val="20"/>
        </w:rPr>
        <w:t>Onderhavige overeenkomst;</w:t>
      </w:r>
    </w:p>
    <w:p w14:paraId="74768DD1" w14:textId="67DCA6D7" w:rsidR="00EB2E79" w:rsidRPr="00612765" w:rsidRDefault="00EB2E79" w:rsidP="00EB2E79">
      <w:pPr>
        <w:numPr>
          <w:ilvl w:val="0"/>
          <w:numId w:val="2"/>
        </w:numPr>
        <w:rPr>
          <w:rFonts w:cs="Arial"/>
          <w:sz w:val="20"/>
          <w:szCs w:val="20"/>
        </w:rPr>
      </w:pPr>
      <w:r w:rsidRPr="00612765">
        <w:rPr>
          <w:rFonts w:cs="Arial"/>
          <w:sz w:val="20"/>
          <w:szCs w:val="20"/>
        </w:rPr>
        <w:t>Inschrijvingsleidraad</w:t>
      </w:r>
      <w:r w:rsidR="00A425DB" w:rsidRPr="00612765">
        <w:rPr>
          <w:rFonts w:cs="Arial"/>
          <w:sz w:val="20"/>
          <w:szCs w:val="20"/>
        </w:rPr>
        <w:t xml:space="preserve"> met kenmerk TN</w:t>
      </w:r>
      <w:r w:rsidR="00006A11" w:rsidRPr="00612765">
        <w:rPr>
          <w:rFonts w:cs="Arial"/>
          <w:sz w:val="20"/>
          <w:szCs w:val="20"/>
        </w:rPr>
        <w:t xml:space="preserve"> </w:t>
      </w:r>
      <w:r w:rsidR="00B87667" w:rsidRPr="00612765">
        <w:rPr>
          <w:rFonts w:cs="Arial"/>
          <w:sz w:val="20"/>
          <w:szCs w:val="20"/>
        </w:rPr>
        <w:t xml:space="preserve">533201 </w:t>
      </w:r>
      <w:r w:rsidR="00A425DB" w:rsidRPr="00612765">
        <w:rPr>
          <w:rFonts w:cs="Arial"/>
          <w:sz w:val="20"/>
          <w:szCs w:val="20"/>
        </w:rPr>
        <w:t xml:space="preserve">d.d. </w:t>
      </w:r>
      <w:r w:rsidR="00874E10">
        <w:rPr>
          <w:rFonts w:cs="Arial"/>
          <w:sz w:val="20"/>
          <w:szCs w:val="20"/>
        </w:rPr>
        <w:t>16</w:t>
      </w:r>
      <w:r w:rsidR="00CD63ED">
        <w:rPr>
          <w:rFonts w:cs="Arial"/>
          <w:sz w:val="20"/>
          <w:szCs w:val="20"/>
        </w:rPr>
        <w:t>-07-2025</w:t>
      </w:r>
      <w:r w:rsidR="00B87667" w:rsidRPr="00612765">
        <w:rPr>
          <w:rFonts w:cs="Arial"/>
          <w:sz w:val="20"/>
          <w:szCs w:val="20"/>
        </w:rPr>
        <w:t xml:space="preserve"> </w:t>
      </w:r>
      <w:r w:rsidRPr="00612765">
        <w:rPr>
          <w:rFonts w:cs="Arial"/>
          <w:sz w:val="20"/>
          <w:szCs w:val="20"/>
        </w:rPr>
        <w:t>(inclusief bijlagen);</w:t>
      </w:r>
    </w:p>
    <w:p w14:paraId="74768DD2" w14:textId="03C74824" w:rsidR="00EB2E79" w:rsidRPr="00612765" w:rsidRDefault="00703DDA" w:rsidP="00EB2E79">
      <w:pPr>
        <w:numPr>
          <w:ilvl w:val="0"/>
          <w:numId w:val="2"/>
        </w:numPr>
        <w:rPr>
          <w:rFonts w:cs="Arial"/>
          <w:sz w:val="20"/>
          <w:szCs w:val="20"/>
        </w:rPr>
      </w:pPr>
      <w:r w:rsidRPr="00612765">
        <w:rPr>
          <w:rFonts w:cs="Arial"/>
          <w:sz w:val="20"/>
          <w:szCs w:val="20"/>
        </w:rPr>
        <w:t xml:space="preserve">Algemene inkoopvoorwaarden </w:t>
      </w:r>
      <w:r w:rsidR="005C4A5E" w:rsidRPr="00612765">
        <w:rPr>
          <w:rFonts w:cs="Arial"/>
          <w:sz w:val="20"/>
          <w:szCs w:val="20"/>
        </w:rPr>
        <w:t xml:space="preserve">RD Maasland; </w:t>
      </w:r>
      <w:r w:rsidRPr="00612765">
        <w:rPr>
          <w:rFonts w:cs="Arial"/>
          <w:sz w:val="20"/>
          <w:szCs w:val="20"/>
        </w:rPr>
        <w:t xml:space="preserve"> </w:t>
      </w:r>
    </w:p>
    <w:p w14:paraId="74768DD3" w14:textId="77777777" w:rsidR="00EB2E79" w:rsidRPr="00612765" w:rsidRDefault="00EB2E79" w:rsidP="00703DDA">
      <w:pPr>
        <w:numPr>
          <w:ilvl w:val="0"/>
          <w:numId w:val="2"/>
        </w:numPr>
        <w:rPr>
          <w:rFonts w:cs="Arial"/>
          <w:sz w:val="20"/>
          <w:szCs w:val="20"/>
        </w:rPr>
      </w:pPr>
      <w:r w:rsidRPr="00612765">
        <w:rPr>
          <w:rFonts w:cs="Arial"/>
          <w:sz w:val="20"/>
          <w:szCs w:val="20"/>
        </w:rPr>
        <w:t xml:space="preserve">Inschrijving Opdrachtnemer d.d. </w:t>
      </w:r>
      <w:r w:rsidRPr="00612765">
        <w:rPr>
          <w:rFonts w:cs="Arial"/>
          <w:sz w:val="20"/>
          <w:szCs w:val="20"/>
          <w:highlight w:val="yellow"/>
        </w:rPr>
        <w:t>&lt;datum</w:t>
      </w:r>
      <w:r w:rsidRPr="00612765">
        <w:rPr>
          <w:rFonts w:cs="Arial"/>
          <w:sz w:val="20"/>
          <w:szCs w:val="20"/>
        </w:rPr>
        <w:t>&gt;.</w:t>
      </w:r>
    </w:p>
    <w:p w14:paraId="74768DD4" w14:textId="77777777" w:rsidR="00EB2E79" w:rsidRPr="00612765" w:rsidRDefault="00EB2E79" w:rsidP="00EB2E79">
      <w:pPr>
        <w:rPr>
          <w:rFonts w:cs="Arial"/>
          <w:sz w:val="20"/>
          <w:szCs w:val="20"/>
        </w:rPr>
      </w:pPr>
    </w:p>
    <w:p w14:paraId="74768DD5" w14:textId="77777777" w:rsidR="00EB2E79" w:rsidRPr="00612765" w:rsidRDefault="00EB2E79" w:rsidP="00EB2E79">
      <w:pPr>
        <w:ind w:left="1134" w:hanging="1134"/>
        <w:rPr>
          <w:rFonts w:cs="Arial"/>
          <w:b/>
          <w:sz w:val="20"/>
          <w:szCs w:val="20"/>
        </w:rPr>
      </w:pPr>
      <w:r w:rsidRPr="00612765">
        <w:rPr>
          <w:rFonts w:cs="Arial"/>
          <w:b/>
          <w:sz w:val="20"/>
          <w:szCs w:val="20"/>
        </w:rPr>
        <w:t>Artikel 2</w:t>
      </w:r>
      <w:r w:rsidRPr="00612765">
        <w:rPr>
          <w:rFonts w:cs="Arial"/>
          <w:b/>
          <w:sz w:val="20"/>
          <w:szCs w:val="20"/>
        </w:rPr>
        <w:tab/>
        <w:t>Duur van de overeenkomst</w:t>
      </w:r>
    </w:p>
    <w:p w14:paraId="24C1540F" w14:textId="30A91EAA" w:rsidR="009D23A6" w:rsidRPr="00B13F22" w:rsidRDefault="00EB2E79" w:rsidP="008B2A37">
      <w:pPr>
        <w:ind w:left="1134" w:hanging="1134"/>
        <w:rPr>
          <w:rFonts w:cs="Arial"/>
          <w:sz w:val="20"/>
          <w:szCs w:val="20"/>
        </w:rPr>
      </w:pPr>
      <w:r w:rsidRPr="00612765">
        <w:rPr>
          <w:rFonts w:cs="Arial"/>
          <w:sz w:val="20"/>
          <w:szCs w:val="20"/>
        </w:rPr>
        <w:t>2.1</w:t>
      </w:r>
      <w:r w:rsidRPr="00612765">
        <w:rPr>
          <w:rFonts w:cs="Arial"/>
          <w:sz w:val="20"/>
          <w:szCs w:val="20"/>
        </w:rPr>
        <w:tab/>
      </w:r>
      <w:r w:rsidR="00703DDA" w:rsidRPr="00B13F22">
        <w:rPr>
          <w:rFonts w:cs="Arial"/>
          <w:sz w:val="20"/>
          <w:szCs w:val="20"/>
        </w:rPr>
        <w:t xml:space="preserve">De </w:t>
      </w:r>
      <w:r w:rsidR="008B2A37" w:rsidRPr="00B13F22">
        <w:rPr>
          <w:rFonts w:cs="Arial"/>
          <w:sz w:val="20"/>
          <w:szCs w:val="20"/>
        </w:rPr>
        <w:t xml:space="preserve">overeenkomst voor deze opdracht wordt aangegaan voor de duur van </w:t>
      </w:r>
      <w:r w:rsidR="00926F31" w:rsidRPr="00B13F22">
        <w:rPr>
          <w:rFonts w:cs="Arial"/>
          <w:sz w:val="20"/>
          <w:szCs w:val="20"/>
        </w:rPr>
        <w:t>vier (4)</w:t>
      </w:r>
      <w:r w:rsidR="00612765" w:rsidRPr="00B13F22">
        <w:rPr>
          <w:rFonts w:cs="Arial"/>
          <w:sz w:val="20"/>
          <w:szCs w:val="20"/>
        </w:rPr>
        <w:t xml:space="preserve"> jaar</w:t>
      </w:r>
      <w:r w:rsidR="008B2A37" w:rsidRPr="00B13F22">
        <w:rPr>
          <w:rFonts w:cs="Arial"/>
          <w:color w:val="EE0000"/>
          <w:sz w:val="20"/>
          <w:szCs w:val="20"/>
        </w:rPr>
        <w:t xml:space="preserve"> </w:t>
      </w:r>
      <w:r w:rsidR="008B2A37" w:rsidRPr="00B13F22">
        <w:rPr>
          <w:rFonts w:cs="Arial"/>
          <w:sz w:val="20"/>
          <w:szCs w:val="20"/>
        </w:rPr>
        <w:t xml:space="preserve">en heeft als ingangsdatum </w:t>
      </w:r>
      <w:r w:rsidR="00B94831" w:rsidRPr="00B13F22">
        <w:rPr>
          <w:rFonts w:cs="Arial"/>
          <w:b/>
          <w:bCs/>
          <w:sz w:val="20"/>
          <w:szCs w:val="20"/>
        </w:rPr>
        <w:t>1 januari 2026.</w:t>
      </w:r>
    </w:p>
    <w:p w14:paraId="53E7285F" w14:textId="77777777" w:rsidR="00B13F22" w:rsidRDefault="00B13F22" w:rsidP="009D23A6">
      <w:pPr>
        <w:ind w:left="1134"/>
        <w:rPr>
          <w:rFonts w:cs="Arial"/>
          <w:sz w:val="20"/>
          <w:szCs w:val="20"/>
        </w:rPr>
      </w:pPr>
    </w:p>
    <w:p w14:paraId="47F9355D" w14:textId="495B7011" w:rsidR="006950DA" w:rsidRPr="00612765" w:rsidRDefault="008B2A37" w:rsidP="009D23A6">
      <w:pPr>
        <w:ind w:left="1134"/>
        <w:rPr>
          <w:rFonts w:cs="Arial"/>
          <w:sz w:val="20"/>
          <w:szCs w:val="20"/>
        </w:rPr>
      </w:pPr>
      <w:r w:rsidRPr="00B13F22">
        <w:rPr>
          <w:rFonts w:cs="Arial"/>
          <w:sz w:val="20"/>
          <w:szCs w:val="20"/>
        </w:rPr>
        <w:t xml:space="preserve">Optioneel kan opdrachtgever éénzijdig besluiten de overeenkomst </w:t>
      </w:r>
      <w:r w:rsidR="00926F31" w:rsidRPr="00B13F22">
        <w:rPr>
          <w:rFonts w:cs="Arial"/>
          <w:sz w:val="20"/>
          <w:szCs w:val="20"/>
        </w:rPr>
        <w:t>twee (2</w:t>
      </w:r>
      <w:r w:rsidR="00D952EA" w:rsidRPr="00B13F22">
        <w:rPr>
          <w:rFonts w:cs="Arial"/>
          <w:sz w:val="20"/>
          <w:szCs w:val="20"/>
        </w:rPr>
        <w:t xml:space="preserve">) </w:t>
      </w:r>
      <w:r w:rsidRPr="00B13F22">
        <w:rPr>
          <w:rFonts w:cs="Arial"/>
          <w:sz w:val="20"/>
          <w:szCs w:val="20"/>
        </w:rPr>
        <w:t xml:space="preserve">keer met </w:t>
      </w:r>
      <w:r w:rsidR="004A482F" w:rsidRPr="00B13F22">
        <w:rPr>
          <w:rFonts w:cs="Arial"/>
          <w:sz w:val="20"/>
          <w:szCs w:val="20"/>
        </w:rPr>
        <w:t xml:space="preserve">twee (2) </w:t>
      </w:r>
      <w:r w:rsidRPr="00B13F22">
        <w:rPr>
          <w:rFonts w:cs="Arial"/>
          <w:sz w:val="20"/>
          <w:szCs w:val="20"/>
        </w:rPr>
        <w:t>jaar</w:t>
      </w:r>
      <w:r w:rsidRPr="00B13F22">
        <w:rPr>
          <w:rFonts w:cs="Arial"/>
          <w:color w:val="EE0000"/>
          <w:sz w:val="20"/>
          <w:szCs w:val="20"/>
        </w:rPr>
        <w:t xml:space="preserve"> </w:t>
      </w:r>
      <w:r w:rsidRPr="00B13F22">
        <w:rPr>
          <w:rFonts w:cs="Arial"/>
          <w:sz w:val="20"/>
          <w:szCs w:val="20"/>
        </w:rPr>
        <w:t>te verlengen</w:t>
      </w:r>
      <w:r w:rsidRPr="00612765">
        <w:rPr>
          <w:rFonts w:cs="Arial"/>
          <w:sz w:val="20"/>
          <w:szCs w:val="20"/>
        </w:rPr>
        <w:t xml:space="preserve">. </w:t>
      </w:r>
    </w:p>
    <w:p w14:paraId="74768DD7" w14:textId="77777777" w:rsidR="00EB2E79" w:rsidRPr="00612765" w:rsidRDefault="00EB2E79" w:rsidP="00EB2E79">
      <w:pPr>
        <w:rPr>
          <w:rFonts w:cs="Arial"/>
          <w:sz w:val="20"/>
          <w:szCs w:val="20"/>
        </w:rPr>
      </w:pPr>
    </w:p>
    <w:p w14:paraId="09D18E75" w14:textId="5232519B" w:rsidR="00FF3224" w:rsidRDefault="00FF3224" w:rsidP="00FF3224">
      <w:pPr>
        <w:ind w:left="1134" w:hanging="1134"/>
        <w:rPr>
          <w:rFonts w:cs="Arial"/>
          <w:sz w:val="20"/>
          <w:szCs w:val="20"/>
        </w:rPr>
      </w:pPr>
      <w:r>
        <w:rPr>
          <w:rFonts w:cs="Arial"/>
          <w:sz w:val="20"/>
          <w:szCs w:val="20"/>
        </w:rPr>
        <w:t>2.2</w:t>
      </w:r>
      <w:r>
        <w:rPr>
          <w:rFonts w:cs="Arial"/>
          <w:sz w:val="20"/>
          <w:szCs w:val="20"/>
        </w:rPr>
        <w:tab/>
        <w:t xml:space="preserve">De overeenkomst kent een maximale waarde van </w:t>
      </w:r>
      <w:r w:rsidRPr="00BC2916">
        <w:rPr>
          <w:rFonts w:cs="Arial"/>
          <w:sz w:val="20"/>
          <w:szCs w:val="20"/>
          <w:highlight w:val="yellow"/>
        </w:rPr>
        <w:t xml:space="preserve">€ </w:t>
      </w:r>
      <w:r>
        <w:rPr>
          <w:rFonts w:cs="Arial"/>
          <w:sz w:val="20"/>
          <w:szCs w:val="20"/>
          <w:highlight w:val="yellow"/>
        </w:rPr>
        <w:t>250</w:t>
      </w:r>
      <w:r w:rsidRPr="00BC2916">
        <w:rPr>
          <w:rFonts w:cs="Arial"/>
          <w:sz w:val="20"/>
          <w:szCs w:val="20"/>
          <w:highlight w:val="yellow"/>
        </w:rPr>
        <w:t>.000</w:t>
      </w:r>
      <w:r>
        <w:rPr>
          <w:rFonts w:cs="Arial"/>
          <w:sz w:val="20"/>
          <w:szCs w:val="20"/>
        </w:rPr>
        <w:t>, - excl. btw.</w:t>
      </w:r>
    </w:p>
    <w:p w14:paraId="4752DAE5" w14:textId="77777777" w:rsidR="00FF3224" w:rsidRPr="00E872CE" w:rsidRDefault="00FF3224" w:rsidP="00FF3224">
      <w:pPr>
        <w:ind w:left="1134"/>
        <w:rPr>
          <w:rFonts w:cs="Arial"/>
          <w:sz w:val="20"/>
          <w:szCs w:val="20"/>
        </w:rPr>
      </w:pPr>
      <w:r>
        <w:rPr>
          <w:rFonts w:cs="Arial"/>
          <w:sz w:val="20"/>
          <w:szCs w:val="20"/>
        </w:rPr>
        <w:t xml:space="preserve">Mocht binnen de looptijd van de overeenkomst de opstelsom </w:t>
      </w:r>
      <w:r w:rsidRPr="00FD293E">
        <w:rPr>
          <w:rFonts w:cs="Arial"/>
          <w:sz w:val="20"/>
          <w:szCs w:val="20"/>
        </w:rPr>
        <w:t>van alle gerealiseerde en lopende deelopdrachten deze maximale waarde bereiken, dan eindigt de raamovereenkomst van rechtswege. Op de op dat moment nog lopende nadere opdrachten blijft de raamovereenkomst nog van kracht.</w:t>
      </w:r>
    </w:p>
    <w:p w14:paraId="4883F818" w14:textId="77777777" w:rsidR="00FF3224" w:rsidRDefault="00FF3224" w:rsidP="00FF3224">
      <w:pPr>
        <w:rPr>
          <w:rFonts w:cs="Arial"/>
          <w:b/>
          <w:bCs/>
          <w:sz w:val="20"/>
          <w:szCs w:val="20"/>
        </w:rPr>
      </w:pPr>
    </w:p>
    <w:p w14:paraId="484001C8" w14:textId="7C75A691" w:rsidR="00B13F22" w:rsidRPr="00FC61DF" w:rsidRDefault="00B13F22" w:rsidP="00B13F22">
      <w:pPr>
        <w:ind w:left="1134" w:hanging="1134"/>
        <w:rPr>
          <w:rFonts w:cs="Arial"/>
          <w:sz w:val="20"/>
          <w:szCs w:val="20"/>
        </w:rPr>
      </w:pPr>
      <w:r w:rsidRPr="00FC61DF">
        <w:rPr>
          <w:rFonts w:cs="Arial"/>
          <w:b/>
          <w:bCs/>
          <w:sz w:val="20"/>
          <w:szCs w:val="20"/>
        </w:rPr>
        <w:t>Artikel 3</w:t>
      </w:r>
      <w:r w:rsidRPr="00FC61DF">
        <w:rPr>
          <w:rFonts w:cs="Arial"/>
          <w:sz w:val="20"/>
          <w:szCs w:val="20"/>
        </w:rPr>
        <w:tab/>
      </w:r>
      <w:r w:rsidRPr="00FC61DF">
        <w:rPr>
          <w:rFonts w:cs="Arial"/>
          <w:b/>
          <w:sz w:val="20"/>
          <w:szCs w:val="20"/>
        </w:rPr>
        <w:t>Prijs en betaling</w:t>
      </w:r>
    </w:p>
    <w:p w14:paraId="5A9141C7" w14:textId="77777777" w:rsidR="00B13F22" w:rsidRPr="00FC61DF" w:rsidRDefault="00B13F22" w:rsidP="00B13F22">
      <w:pPr>
        <w:ind w:left="1134" w:hanging="1134"/>
        <w:rPr>
          <w:rFonts w:cs="Arial"/>
          <w:sz w:val="20"/>
          <w:szCs w:val="20"/>
        </w:rPr>
      </w:pPr>
      <w:r w:rsidRPr="00FC61DF">
        <w:rPr>
          <w:rFonts w:cs="Arial"/>
          <w:sz w:val="20"/>
          <w:szCs w:val="20"/>
        </w:rPr>
        <w:t>3.1</w:t>
      </w:r>
      <w:r w:rsidRPr="00FC61DF">
        <w:rPr>
          <w:rFonts w:cs="Arial"/>
          <w:sz w:val="20"/>
          <w:szCs w:val="20"/>
        </w:rPr>
        <w:tab/>
        <w:t xml:space="preserve">De prijs van de te leveren goederen en/of uitvoering van dienstverlening geschiedt volgens ingediend prijzenblad. </w:t>
      </w:r>
    </w:p>
    <w:p w14:paraId="11954D42" w14:textId="77777777" w:rsidR="00B13F22" w:rsidRPr="00FC61DF" w:rsidRDefault="00B13F22" w:rsidP="00B13F22">
      <w:pPr>
        <w:ind w:left="1134" w:hanging="1134"/>
        <w:rPr>
          <w:rFonts w:cs="Arial"/>
          <w:sz w:val="20"/>
          <w:szCs w:val="20"/>
        </w:rPr>
      </w:pPr>
    </w:p>
    <w:p w14:paraId="27C187EA" w14:textId="77777777" w:rsidR="00B13F22" w:rsidRDefault="00B13F22" w:rsidP="00B13F22">
      <w:pPr>
        <w:ind w:left="1134" w:hanging="1134"/>
        <w:rPr>
          <w:rFonts w:cs="Arial"/>
          <w:sz w:val="20"/>
          <w:szCs w:val="20"/>
        </w:rPr>
      </w:pPr>
      <w:r w:rsidRPr="00FC61DF">
        <w:rPr>
          <w:rFonts w:cs="Arial"/>
          <w:sz w:val="20"/>
          <w:szCs w:val="20"/>
        </w:rPr>
        <w:t>3.2</w:t>
      </w:r>
      <w:r w:rsidRPr="00FC61DF">
        <w:rPr>
          <w:rFonts w:cs="Arial"/>
          <w:sz w:val="20"/>
          <w:szCs w:val="20"/>
        </w:rPr>
        <w:tab/>
        <w:t xml:space="preserve">De prijzen staan vast t/m 31 december 2026. Vanaf </w:t>
      </w:r>
      <w:r w:rsidRPr="00FC61DF">
        <w:rPr>
          <w:rFonts w:cs="Arial"/>
          <w:b/>
          <w:bCs/>
          <w:sz w:val="20"/>
          <w:szCs w:val="20"/>
        </w:rPr>
        <w:t>1 januari 2027</w:t>
      </w:r>
      <w:r w:rsidRPr="00FC61DF">
        <w:rPr>
          <w:rFonts w:cs="Arial"/>
          <w:sz w:val="20"/>
          <w:szCs w:val="20"/>
        </w:rPr>
        <w:t xml:space="preserve"> is een jaarlijkse prijsindexatie mogelijk op basis van </w:t>
      </w:r>
      <w:r w:rsidRPr="00A01159">
        <w:rPr>
          <w:rFonts w:cs="Arial"/>
          <w:sz w:val="20"/>
          <w:szCs w:val="20"/>
        </w:rPr>
        <w:t xml:space="preserve">de </w:t>
      </w:r>
      <w:proofErr w:type="spellStart"/>
      <w:r w:rsidRPr="00A01159">
        <w:rPr>
          <w:rFonts w:cs="Arial"/>
          <w:b/>
          <w:bCs/>
          <w:sz w:val="20"/>
          <w:szCs w:val="20"/>
        </w:rPr>
        <w:t>Klair</w:t>
      </w:r>
      <w:proofErr w:type="spellEnd"/>
      <w:r w:rsidRPr="00A01159">
        <w:rPr>
          <w:rFonts w:cs="Arial"/>
          <w:b/>
          <w:bCs/>
          <w:sz w:val="20"/>
          <w:szCs w:val="20"/>
        </w:rPr>
        <w:t xml:space="preserve"> Index</w:t>
      </w:r>
      <w:r w:rsidRPr="00A01159">
        <w:rPr>
          <w:rFonts w:cs="Arial"/>
          <w:i/>
          <w:iCs/>
          <w:sz w:val="20"/>
          <w:szCs w:val="20"/>
        </w:rPr>
        <w:t xml:space="preserve"> voor alle Onderlossende Inzamelsystemen van staal en beton op basis van openbare indexen (BG, Semi OG en OG), versie april 2025</w:t>
      </w:r>
      <w:r>
        <w:rPr>
          <w:rFonts w:cs="Arial"/>
          <w:sz w:val="20"/>
          <w:szCs w:val="20"/>
        </w:rPr>
        <w:t xml:space="preserve"> (zie bijlage 3.5)</w:t>
      </w:r>
      <w:r w:rsidRPr="00FC61DF">
        <w:rPr>
          <w:rFonts w:cs="Arial"/>
          <w:sz w:val="20"/>
          <w:szCs w:val="20"/>
        </w:rPr>
        <w:t xml:space="preserve"> </w:t>
      </w:r>
    </w:p>
    <w:p w14:paraId="4687D28E" w14:textId="77777777" w:rsidR="00B13F22" w:rsidRPr="00FC61DF" w:rsidRDefault="00B13F22" w:rsidP="00B13F22">
      <w:pPr>
        <w:rPr>
          <w:rFonts w:cs="Arial"/>
          <w:color w:val="EE0000"/>
          <w:sz w:val="20"/>
          <w:szCs w:val="20"/>
        </w:rPr>
      </w:pPr>
    </w:p>
    <w:p w14:paraId="63A5746A" w14:textId="77777777" w:rsidR="00B13F22" w:rsidRPr="00FC61DF" w:rsidRDefault="00B13F22" w:rsidP="00B13F22">
      <w:pPr>
        <w:ind w:left="1134"/>
        <w:rPr>
          <w:rFonts w:cs="Arial"/>
          <w:sz w:val="20"/>
          <w:szCs w:val="20"/>
        </w:rPr>
      </w:pPr>
      <w:r w:rsidRPr="00FC61DF">
        <w:rPr>
          <w:rFonts w:cs="Arial"/>
          <w:sz w:val="20"/>
          <w:szCs w:val="20"/>
        </w:rPr>
        <w:t xml:space="preserve">Uitsluitend na schriftelijke onderbouwing en goedkeuring van de Opdrachtgever kunnen indexeringen worden toegepast . </w:t>
      </w:r>
    </w:p>
    <w:p w14:paraId="5D6FF6C0" w14:textId="77777777" w:rsidR="00B13F22" w:rsidRPr="00FC61DF" w:rsidRDefault="00B13F22" w:rsidP="00B13F22">
      <w:pPr>
        <w:ind w:left="1134" w:hanging="1134"/>
        <w:rPr>
          <w:rFonts w:cs="Arial"/>
          <w:sz w:val="20"/>
          <w:szCs w:val="20"/>
        </w:rPr>
      </w:pPr>
    </w:p>
    <w:p w14:paraId="2B5A0156" w14:textId="77777777" w:rsidR="00B13F22" w:rsidRDefault="00B13F22" w:rsidP="00B13F22">
      <w:pPr>
        <w:ind w:left="1134" w:hanging="1134"/>
        <w:rPr>
          <w:rFonts w:cs="Arial"/>
          <w:sz w:val="20"/>
          <w:szCs w:val="20"/>
        </w:rPr>
      </w:pPr>
      <w:r w:rsidRPr="00FC61DF">
        <w:rPr>
          <w:rFonts w:cs="Arial"/>
          <w:sz w:val="20"/>
          <w:szCs w:val="20"/>
        </w:rPr>
        <w:t>3.3</w:t>
      </w:r>
      <w:r w:rsidRPr="00FC61DF">
        <w:rPr>
          <w:rFonts w:cs="Arial"/>
          <w:sz w:val="20"/>
          <w:szCs w:val="20"/>
        </w:rPr>
        <w:tab/>
        <w:t>De factuur,</w:t>
      </w:r>
      <w:r w:rsidRPr="00FC61DF">
        <w:rPr>
          <w:sz w:val="20"/>
          <w:szCs w:val="20"/>
        </w:rPr>
        <w:t xml:space="preserve"> </w:t>
      </w:r>
      <w:r w:rsidRPr="00FC61DF">
        <w:rPr>
          <w:rFonts w:cs="Arial"/>
          <w:sz w:val="20"/>
          <w:szCs w:val="20"/>
        </w:rPr>
        <w:t>voorzien van contract- en verplichtingen nummer, opgesteld door Opdrachtnemer, zal pas worden verzonden door Opdrachtnemer na verrichte dienstverlening per maand.</w:t>
      </w:r>
    </w:p>
    <w:p w14:paraId="36F21510" w14:textId="77777777" w:rsidR="00B13F22" w:rsidRPr="00FC61DF" w:rsidRDefault="00B13F22" w:rsidP="00B13F22">
      <w:pPr>
        <w:rPr>
          <w:rFonts w:cs="Arial"/>
          <w:sz w:val="20"/>
          <w:szCs w:val="20"/>
        </w:rPr>
      </w:pPr>
    </w:p>
    <w:p w14:paraId="001ED1F8" w14:textId="77777777" w:rsidR="00B13F22" w:rsidRPr="00FC61DF" w:rsidRDefault="00B13F22" w:rsidP="00B13F22">
      <w:pPr>
        <w:ind w:left="1134" w:hanging="1134"/>
        <w:rPr>
          <w:rFonts w:cs="Arial"/>
          <w:sz w:val="20"/>
          <w:szCs w:val="20"/>
        </w:rPr>
      </w:pPr>
      <w:r w:rsidRPr="00FC61DF">
        <w:rPr>
          <w:rFonts w:cs="Arial"/>
          <w:sz w:val="20"/>
          <w:szCs w:val="20"/>
        </w:rPr>
        <w:t>3.4</w:t>
      </w:r>
      <w:r w:rsidRPr="00FC61DF">
        <w:rPr>
          <w:rFonts w:cs="Arial"/>
          <w:sz w:val="20"/>
          <w:szCs w:val="20"/>
        </w:rPr>
        <w:tab/>
        <w:t>Betaling zal plaatsvinden door Opdrachtgever binnen 30 dagen nadat de factuur bij Opdrachtgever is ontvangen en goedgekeurd.</w:t>
      </w:r>
    </w:p>
    <w:p w14:paraId="3969D1B0" w14:textId="77777777" w:rsidR="00B13F22" w:rsidRPr="00FC61DF" w:rsidRDefault="00B13F22" w:rsidP="00B13F22">
      <w:pPr>
        <w:ind w:left="1134" w:hanging="1134"/>
        <w:rPr>
          <w:rFonts w:cs="Arial"/>
          <w:sz w:val="20"/>
          <w:szCs w:val="20"/>
        </w:rPr>
      </w:pPr>
    </w:p>
    <w:p w14:paraId="0F0391FC" w14:textId="2B9E286E" w:rsidR="0009348B" w:rsidRPr="00612765" w:rsidRDefault="00B13F22" w:rsidP="00B13F22">
      <w:pPr>
        <w:tabs>
          <w:tab w:val="left" w:pos="1134"/>
        </w:tabs>
        <w:ind w:left="1134" w:right="4" w:hanging="1134"/>
        <w:rPr>
          <w:rFonts w:cs="Arial"/>
          <w:b/>
          <w:sz w:val="20"/>
          <w:szCs w:val="20"/>
        </w:rPr>
      </w:pPr>
      <w:r w:rsidRPr="00FC61DF">
        <w:rPr>
          <w:rFonts w:cs="Arial"/>
          <w:sz w:val="20"/>
          <w:szCs w:val="20"/>
        </w:rPr>
        <w:t>3.5</w:t>
      </w:r>
      <w:r w:rsidRPr="00FC61DF">
        <w:rPr>
          <w:rFonts w:cs="Arial"/>
          <w:sz w:val="20"/>
          <w:szCs w:val="20"/>
        </w:rPr>
        <w:tab/>
        <w:t xml:space="preserve">De factuur dient te worden gezonden aan: </w:t>
      </w:r>
      <w:hyperlink r:id="rId8" w:history="1">
        <w:r w:rsidRPr="00FC61DF">
          <w:rPr>
            <w:rStyle w:val="Hyperlink"/>
            <w:rFonts w:cs="Arial"/>
            <w:sz w:val="20"/>
            <w:szCs w:val="20"/>
          </w:rPr>
          <w:t xml:space="preserve">factuur@rdmaasland.nl </w:t>
        </w:r>
      </w:hyperlink>
    </w:p>
    <w:p w14:paraId="1FDF01F9" w14:textId="77777777" w:rsidR="00B13F22" w:rsidRDefault="00B13F22">
      <w:pPr>
        <w:spacing w:after="200" w:line="276" w:lineRule="auto"/>
        <w:rPr>
          <w:b/>
          <w:sz w:val="20"/>
          <w:szCs w:val="20"/>
        </w:rPr>
      </w:pPr>
      <w:r>
        <w:rPr>
          <w:b/>
          <w:sz w:val="20"/>
          <w:szCs w:val="20"/>
        </w:rPr>
        <w:br w:type="page"/>
      </w:r>
    </w:p>
    <w:p w14:paraId="4CE449B6" w14:textId="39B996E8" w:rsidR="0009348B" w:rsidRPr="00612765" w:rsidRDefault="0009348B" w:rsidP="0009348B">
      <w:pPr>
        <w:tabs>
          <w:tab w:val="left" w:pos="1134"/>
        </w:tabs>
        <w:ind w:left="1134" w:right="4" w:hanging="1134"/>
        <w:rPr>
          <w:b/>
          <w:sz w:val="20"/>
          <w:szCs w:val="20"/>
        </w:rPr>
      </w:pPr>
      <w:r w:rsidRPr="00612765">
        <w:rPr>
          <w:b/>
          <w:sz w:val="20"/>
          <w:szCs w:val="20"/>
        </w:rPr>
        <w:lastRenderedPageBreak/>
        <w:t>Artikel 4</w:t>
      </w:r>
      <w:r w:rsidRPr="00612765">
        <w:rPr>
          <w:b/>
          <w:sz w:val="20"/>
          <w:szCs w:val="20"/>
        </w:rPr>
        <w:tab/>
        <w:t>Slotbepalingen</w:t>
      </w:r>
    </w:p>
    <w:p w14:paraId="6CECB9EF" w14:textId="77777777" w:rsidR="0009348B" w:rsidRPr="00612765" w:rsidRDefault="0009348B" w:rsidP="0009348B">
      <w:pPr>
        <w:tabs>
          <w:tab w:val="left" w:pos="1134"/>
        </w:tabs>
        <w:ind w:left="1134" w:right="4" w:hanging="1134"/>
        <w:rPr>
          <w:sz w:val="20"/>
          <w:szCs w:val="20"/>
        </w:rPr>
      </w:pPr>
      <w:r w:rsidRPr="00612765">
        <w:rPr>
          <w:sz w:val="20"/>
          <w:szCs w:val="20"/>
        </w:rPr>
        <w:t>4.1</w:t>
      </w:r>
      <w:r w:rsidRPr="00612765">
        <w:rPr>
          <w:color w:val="00B0F0"/>
          <w:sz w:val="20"/>
          <w:szCs w:val="20"/>
        </w:rPr>
        <w:tab/>
      </w:r>
      <w:r w:rsidRPr="00612765">
        <w:rPr>
          <w:sz w:val="20"/>
          <w:szCs w:val="20"/>
        </w:rPr>
        <w:t>Op deze overeenkomst zijn geen andere voorwaarden waaronder begrepen algemene of bijzondere leverings- of betalingsvoorwaarden of enige andere of bijzondere voorwaarden van Opdrachtnemer van toepassing.</w:t>
      </w:r>
    </w:p>
    <w:p w14:paraId="3EB2D013" w14:textId="77777777" w:rsidR="00CC2328" w:rsidRPr="00612765" w:rsidRDefault="00CC2328" w:rsidP="0009348B">
      <w:pPr>
        <w:tabs>
          <w:tab w:val="left" w:pos="1134"/>
        </w:tabs>
        <w:ind w:left="1134" w:right="4" w:hanging="1134"/>
        <w:rPr>
          <w:sz w:val="20"/>
          <w:szCs w:val="20"/>
        </w:rPr>
      </w:pPr>
    </w:p>
    <w:p w14:paraId="0A39C3C7" w14:textId="1AA17283" w:rsidR="0009348B" w:rsidRPr="00612765" w:rsidRDefault="0009348B" w:rsidP="0009348B">
      <w:pPr>
        <w:tabs>
          <w:tab w:val="left" w:pos="1134"/>
        </w:tabs>
        <w:ind w:left="1134" w:right="4" w:hanging="1134"/>
        <w:rPr>
          <w:sz w:val="20"/>
          <w:szCs w:val="20"/>
        </w:rPr>
      </w:pPr>
      <w:r w:rsidRPr="00612765">
        <w:rPr>
          <w:sz w:val="20"/>
          <w:szCs w:val="20"/>
        </w:rPr>
        <w:t>4.2</w:t>
      </w:r>
      <w:r w:rsidRPr="00612765">
        <w:rPr>
          <w:sz w:val="20"/>
          <w:szCs w:val="20"/>
        </w:rPr>
        <w:tab/>
        <w:t xml:space="preserve">Partijen zijn zich ervan bewust dat zich onvoorziene c.q. gewijzigde omstandigheden kunnen voordoen welke noodzaken tot overleg. </w:t>
      </w:r>
      <w:proofErr w:type="gramStart"/>
      <w:r w:rsidRPr="00612765">
        <w:rPr>
          <w:sz w:val="20"/>
          <w:szCs w:val="20"/>
        </w:rPr>
        <w:t>Indien</w:t>
      </w:r>
      <w:proofErr w:type="gramEnd"/>
      <w:r w:rsidRPr="00612765">
        <w:rPr>
          <w:sz w:val="20"/>
          <w:szCs w:val="20"/>
        </w:rPr>
        <w:t xml:space="preserve"> zulke omstandigheden zich voordoen zullen Partijen constructief overleg voeren, waarbij zij proberen een aanvaardbare oplossing te bereiken, rekening houdende met hun wederzijdse belangen.</w:t>
      </w:r>
    </w:p>
    <w:p w14:paraId="651854E6" w14:textId="77777777" w:rsidR="0009348B" w:rsidRPr="00612765" w:rsidRDefault="0009348B" w:rsidP="0009348B">
      <w:pPr>
        <w:tabs>
          <w:tab w:val="left" w:pos="1134"/>
        </w:tabs>
        <w:ind w:left="1134" w:right="4" w:hanging="1134"/>
        <w:rPr>
          <w:sz w:val="20"/>
          <w:szCs w:val="20"/>
        </w:rPr>
      </w:pPr>
    </w:p>
    <w:p w14:paraId="717DF0D1" w14:textId="31D1D50A" w:rsidR="0009348B" w:rsidRPr="00612765" w:rsidRDefault="0009348B" w:rsidP="0009348B">
      <w:pPr>
        <w:tabs>
          <w:tab w:val="left" w:pos="1134"/>
        </w:tabs>
        <w:ind w:left="1134" w:right="4" w:hanging="1134"/>
        <w:rPr>
          <w:sz w:val="20"/>
          <w:szCs w:val="20"/>
        </w:rPr>
      </w:pPr>
      <w:r w:rsidRPr="00612765">
        <w:rPr>
          <w:sz w:val="20"/>
          <w:szCs w:val="20"/>
        </w:rPr>
        <w:t>4.3</w:t>
      </w:r>
      <w:r w:rsidRPr="00612765">
        <w:rPr>
          <w:sz w:val="20"/>
          <w:szCs w:val="20"/>
        </w:rPr>
        <w:tab/>
      </w:r>
      <w:r w:rsidR="0074032D" w:rsidRPr="00612765">
        <w:rPr>
          <w:sz w:val="20"/>
          <w:szCs w:val="20"/>
        </w:rPr>
        <w:t>Als</w:t>
      </w:r>
      <w:r w:rsidRPr="00612765">
        <w:rPr>
          <w:sz w:val="20"/>
          <w:szCs w:val="20"/>
        </w:rPr>
        <w:t xml:space="preserve"> één of meer bepalingen van deze overeenkomst nietig blijken te zijn dan blijven de overige bepalingen van deze overeenkomst tussen Partijen van kracht. Partijen verbinden zich om de nietige bepaling te vervangen door een zodanige bepaling, die wel verbindend is en die zo min mogelijk – gelet op het doel en de strekking van deze overeenkomst – afwijkt van de nietige bepaling.</w:t>
      </w:r>
    </w:p>
    <w:p w14:paraId="078C6609" w14:textId="77777777" w:rsidR="0009348B" w:rsidRPr="00612765" w:rsidRDefault="0009348B" w:rsidP="0009348B">
      <w:pPr>
        <w:tabs>
          <w:tab w:val="left" w:pos="1134"/>
        </w:tabs>
        <w:ind w:left="1134" w:right="4" w:hanging="1134"/>
        <w:rPr>
          <w:sz w:val="20"/>
          <w:szCs w:val="20"/>
        </w:rPr>
      </w:pPr>
    </w:p>
    <w:p w14:paraId="30330E29" w14:textId="77777777" w:rsidR="0009348B" w:rsidRPr="00612765" w:rsidRDefault="0009348B" w:rsidP="0009348B">
      <w:pPr>
        <w:tabs>
          <w:tab w:val="left" w:pos="1134"/>
        </w:tabs>
        <w:ind w:left="1134" w:right="4" w:hanging="1134"/>
        <w:rPr>
          <w:sz w:val="20"/>
          <w:szCs w:val="20"/>
        </w:rPr>
      </w:pPr>
      <w:r w:rsidRPr="00612765">
        <w:rPr>
          <w:sz w:val="20"/>
          <w:szCs w:val="20"/>
        </w:rPr>
        <w:t>4.4</w:t>
      </w:r>
      <w:r w:rsidRPr="00612765">
        <w:rPr>
          <w:sz w:val="20"/>
          <w:szCs w:val="20"/>
        </w:rPr>
        <w:tab/>
        <w:t xml:space="preserve">Partijen verplichten zich over en weer om elkaar steeds zo spoedig mogelijk te informeren over zaken waarvan zijn weten of hadden moeten weten dat deze van belang zijn voor de wederpartij. </w:t>
      </w:r>
    </w:p>
    <w:p w14:paraId="31B2F8C9" w14:textId="77777777" w:rsidR="0009348B" w:rsidRPr="00612765" w:rsidRDefault="0009348B" w:rsidP="0009348B">
      <w:pPr>
        <w:tabs>
          <w:tab w:val="left" w:pos="1134"/>
        </w:tabs>
        <w:ind w:left="1134" w:right="4" w:hanging="1134"/>
        <w:rPr>
          <w:sz w:val="20"/>
          <w:szCs w:val="20"/>
        </w:rPr>
      </w:pPr>
    </w:p>
    <w:p w14:paraId="39FF1235" w14:textId="77777777" w:rsidR="0009348B" w:rsidRPr="00612765" w:rsidRDefault="0009348B" w:rsidP="0009348B">
      <w:pPr>
        <w:tabs>
          <w:tab w:val="left" w:pos="1134"/>
        </w:tabs>
        <w:ind w:left="1134" w:right="4" w:hanging="1134"/>
        <w:rPr>
          <w:color w:val="00B0F0"/>
          <w:sz w:val="20"/>
          <w:szCs w:val="20"/>
        </w:rPr>
      </w:pPr>
      <w:r w:rsidRPr="00612765">
        <w:rPr>
          <w:sz w:val="20"/>
          <w:szCs w:val="20"/>
        </w:rPr>
        <w:t>4.5</w:t>
      </w:r>
      <w:r w:rsidRPr="00612765">
        <w:rPr>
          <w:sz w:val="20"/>
          <w:szCs w:val="20"/>
        </w:rPr>
        <w:tab/>
        <w:t>Afwijkingen van deze overeenkomst zijn slechts bindend voor zover zij uitdrukkelijk tussen Partijen schriftelijk zijn overeengekomen.</w:t>
      </w:r>
    </w:p>
    <w:p w14:paraId="096A5745" w14:textId="77777777" w:rsidR="0009348B" w:rsidRPr="00612765" w:rsidRDefault="0009348B" w:rsidP="0009348B">
      <w:pPr>
        <w:tabs>
          <w:tab w:val="left" w:pos="426"/>
        </w:tabs>
        <w:ind w:right="-1440"/>
        <w:rPr>
          <w:sz w:val="20"/>
          <w:szCs w:val="20"/>
        </w:rPr>
      </w:pPr>
    </w:p>
    <w:p w14:paraId="14E9ABBA" w14:textId="77777777" w:rsidR="0009348B" w:rsidRPr="00612765" w:rsidRDefault="0009348B" w:rsidP="00EB2E79">
      <w:pPr>
        <w:tabs>
          <w:tab w:val="left" w:pos="1134"/>
        </w:tabs>
        <w:ind w:left="1134" w:right="4" w:hanging="1134"/>
        <w:rPr>
          <w:rFonts w:cs="Arial"/>
          <w:b/>
          <w:sz w:val="20"/>
          <w:szCs w:val="20"/>
        </w:rPr>
      </w:pPr>
    </w:p>
    <w:p w14:paraId="74768E1E" w14:textId="77777777" w:rsidR="00EB2E79" w:rsidRPr="00612765" w:rsidRDefault="00EB2E79" w:rsidP="00EB2E79">
      <w:pPr>
        <w:tabs>
          <w:tab w:val="left" w:pos="426"/>
        </w:tabs>
        <w:ind w:right="-1440"/>
        <w:rPr>
          <w:rFonts w:cs="Arial"/>
          <w:sz w:val="20"/>
          <w:szCs w:val="20"/>
        </w:rPr>
      </w:pPr>
      <w:r w:rsidRPr="00612765">
        <w:rPr>
          <w:rFonts w:cs="Arial"/>
          <w:sz w:val="20"/>
          <w:szCs w:val="20"/>
        </w:rPr>
        <w:t>Aldus overeengekomen en ondertekend</w:t>
      </w:r>
    </w:p>
    <w:p w14:paraId="74768E1F" w14:textId="77777777" w:rsidR="00EB2E79" w:rsidRPr="00612765" w:rsidRDefault="00EB2E79" w:rsidP="00EB2E79">
      <w:pPr>
        <w:tabs>
          <w:tab w:val="left" w:pos="426"/>
        </w:tabs>
        <w:ind w:right="-1440"/>
        <w:rPr>
          <w:rFonts w:cs="Arial"/>
          <w:sz w:val="20"/>
          <w:szCs w:val="20"/>
        </w:rPr>
      </w:pPr>
    </w:p>
    <w:p w14:paraId="74768E20" w14:textId="77777777" w:rsidR="00EB2E79" w:rsidRPr="00612765" w:rsidRDefault="00EB2E79" w:rsidP="00EB2E79">
      <w:pPr>
        <w:tabs>
          <w:tab w:val="left" w:pos="426"/>
        </w:tabs>
        <w:ind w:right="-144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
        <w:gridCol w:w="4536"/>
      </w:tblGrid>
      <w:tr w:rsidR="00EB2E79" w:rsidRPr="00612765" w14:paraId="74768E24" w14:textId="77777777" w:rsidTr="00B41514">
        <w:tc>
          <w:tcPr>
            <w:tcW w:w="4077" w:type="dxa"/>
            <w:tcBorders>
              <w:top w:val="nil"/>
              <w:left w:val="nil"/>
              <w:bottom w:val="single" w:sz="4" w:space="0" w:color="auto"/>
              <w:right w:val="nil"/>
            </w:tcBorders>
            <w:shd w:val="clear" w:color="auto" w:fill="auto"/>
          </w:tcPr>
          <w:p w14:paraId="74768E21" w14:textId="77777777" w:rsidR="00EB2E79" w:rsidRPr="00612765" w:rsidRDefault="00EB2E79" w:rsidP="00EB2E79">
            <w:pPr>
              <w:rPr>
                <w:sz w:val="20"/>
                <w:szCs w:val="20"/>
              </w:rPr>
            </w:pPr>
            <w:r w:rsidRPr="00612765">
              <w:rPr>
                <w:sz w:val="20"/>
                <w:szCs w:val="20"/>
              </w:rPr>
              <w:t>Plaats:</w:t>
            </w:r>
          </w:p>
        </w:tc>
        <w:tc>
          <w:tcPr>
            <w:tcW w:w="567" w:type="dxa"/>
            <w:tcBorders>
              <w:top w:val="nil"/>
              <w:left w:val="nil"/>
              <w:bottom w:val="nil"/>
              <w:right w:val="nil"/>
            </w:tcBorders>
            <w:shd w:val="clear" w:color="auto" w:fill="auto"/>
          </w:tcPr>
          <w:p w14:paraId="74768E22" w14:textId="77777777" w:rsidR="00EB2E79" w:rsidRPr="00612765" w:rsidRDefault="00EB2E79" w:rsidP="00EB2E79">
            <w:pPr>
              <w:rPr>
                <w:sz w:val="20"/>
                <w:szCs w:val="20"/>
              </w:rPr>
            </w:pPr>
          </w:p>
        </w:tc>
        <w:tc>
          <w:tcPr>
            <w:tcW w:w="4536" w:type="dxa"/>
            <w:tcBorders>
              <w:top w:val="nil"/>
              <w:left w:val="nil"/>
              <w:bottom w:val="single" w:sz="4" w:space="0" w:color="auto"/>
              <w:right w:val="nil"/>
            </w:tcBorders>
            <w:shd w:val="clear" w:color="auto" w:fill="auto"/>
          </w:tcPr>
          <w:p w14:paraId="74768E23" w14:textId="77777777" w:rsidR="00EB2E79" w:rsidRPr="00612765" w:rsidRDefault="00EB2E79" w:rsidP="00EB2E79">
            <w:pPr>
              <w:rPr>
                <w:sz w:val="20"/>
                <w:szCs w:val="20"/>
              </w:rPr>
            </w:pPr>
            <w:r w:rsidRPr="00612765">
              <w:rPr>
                <w:sz w:val="20"/>
                <w:szCs w:val="20"/>
              </w:rPr>
              <w:t>Plaats:</w:t>
            </w:r>
          </w:p>
        </w:tc>
      </w:tr>
      <w:tr w:rsidR="00EB2E79" w:rsidRPr="00612765" w14:paraId="74768E28" w14:textId="77777777" w:rsidTr="00B41514">
        <w:tc>
          <w:tcPr>
            <w:tcW w:w="4077" w:type="dxa"/>
            <w:tcBorders>
              <w:top w:val="single" w:sz="4" w:space="0" w:color="auto"/>
              <w:left w:val="nil"/>
              <w:bottom w:val="nil"/>
              <w:right w:val="nil"/>
            </w:tcBorders>
            <w:shd w:val="clear" w:color="auto" w:fill="auto"/>
          </w:tcPr>
          <w:p w14:paraId="74768E25" w14:textId="77777777" w:rsidR="00EB2E79" w:rsidRPr="00612765" w:rsidRDefault="00EB2E79" w:rsidP="00EB2E79">
            <w:pPr>
              <w:rPr>
                <w:sz w:val="20"/>
                <w:szCs w:val="20"/>
              </w:rPr>
            </w:pPr>
          </w:p>
        </w:tc>
        <w:tc>
          <w:tcPr>
            <w:tcW w:w="567" w:type="dxa"/>
            <w:tcBorders>
              <w:top w:val="nil"/>
              <w:left w:val="nil"/>
              <w:bottom w:val="nil"/>
              <w:right w:val="nil"/>
            </w:tcBorders>
            <w:shd w:val="clear" w:color="auto" w:fill="auto"/>
          </w:tcPr>
          <w:p w14:paraId="74768E26" w14:textId="77777777" w:rsidR="00EB2E79" w:rsidRPr="00612765" w:rsidRDefault="00EB2E79" w:rsidP="00EB2E79">
            <w:pPr>
              <w:rPr>
                <w:sz w:val="20"/>
                <w:szCs w:val="20"/>
              </w:rPr>
            </w:pPr>
          </w:p>
        </w:tc>
        <w:tc>
          <w:tcPr>
            <w:tcW w:w="4536" w:type="dxa"/>
            <w:tcBorders>
              <w:top w:val="single" w:sz="4" w:space="0" w:color="auto"/>
              <w:left w:val="nil"/>
              <w:bottom w:val="nil"/>
              <w:right w:val="nil"/>
            </w:tcBorders>
            <w:shd w:val="clear" w:color="auto" w:fill="auto"/>
          </w:tcPr>
          <w:p w14:paraId="74768E27" w14:textId="77777777" w:rsidR="00EB2E79" w:rsidRPr="00612765" w:rsidRDefault="00EB2E79" w:rsidP="00EB2E79">
            <w:pPr>
              <w:rPr>
                <w:sz w:val="20"/>
                <w:szCs w:val="20"/>
              </w:rPr>
            </w:pPr>
          </w:p>
        </w:tc>
      </w:tr>
      <w:tr w:rsidR="00EB2E79" w:rsidRPr="00612765" w14:paraId="74768E2C" w14:textId="77777777" w:rsidTr="00B41514">
        <w:tc>
          <w:tcPr>
            <w:tcW w:w="4077" w:type="dxa"/>
            <w:tcBorders>
              <w:top w:val="nil"/>
              <w:left w:val="nil"/>
              <w:bottom w:val="single" w:sz="4" w:space="0" w:color="auto"/>
              <w:right w:val="nil"/>
            </w:tcBorders>
            <w:shd w:val="clear" w:color="auto" w:fill="auto"/>
          </w:tcPr>
          <w:p w14:paraId="74768E29" w14:textId="77777777" w:rsidR="00EB2E79" w:rsidRPr="00612765" w:rsidRDefault="00EB2E79" w:rsidP="00EB2E79">
            <w:pPr>
              <w:rPr>
                <w:sz w:val="20"/>
                <w:szCs w:val="20"/>
              </w:rPr>
            </w:pPr>
            <w:r w:rsidRPr="00612765">
              <w:rPr>
                <w:sz w:val="20"/>
                <w:szCs w:val="20"/>
              </w:rPr>
              <w:t>Datum</w:t>
            </w:r>
          </w:p>
        </w:tc>
        <w:tc>
          <w:tcPr>
            <w:tcW w:w="567" w:type="dxa"/>
            <w:tcBorders>
              <w:top w:val="nil"/>
              <w:left w:val="nil"/>
              <w:bottom w:val="nil"/>
              <w:right w:val="nil"/>
            </w:tcBorders>
            <w:shd w:val="clear" w:color="auto" w:fill="auto"/>
          </w:tcPr>
          <w:p w14:paraId="74768E2A" w14:textId="77777777" w:rsidR="00EB2E79" w:rsidRPr="00612765" w:rsidRDefault="00EB2E79" w:rsidP="00EB2E79">
            <w:pPr>
              <w:rPr>
                <w:sz w:val="20"/>
                <w:szCs w:val="20"/>
              </w:rPr>
            </w:pPr>
          </w:p>
        </w:tc>
        <w:tc>
          <w:tcPr>
            <w:tcW w:w="4536" w:type="dxa"/>
            <w:tcBorders>
              <w:top w:val="nil"/>
              <w:left w:val="nil"/>
              <w:bottom w:val="nil"/>
              <w:right w:val="nil"/>
            </w:tcBorders>
            <w:shd w:val="clear" w:color="auto" w:fill="auto"/>
          </w:tcPr>
          <w:p w14:paraId="74768E2B" w14:textId="77777777" w:rsidR="00EB2E79" w:rsidRPr="00612765" w:rsidRDefault="00EB2E79" w:rsidP="00EB2E79">
            <w:pPr>
              <w:rPr>
                <w:sz w:val="20"/>
                <w:szCs w:val="20"/>
              </w:rPr>
            </w:pPr>
            <w:r w:rsidRPr="00612765">
              <w:rPr>
                <w:sz w:val="20"/>
                <w:szCs w:val="20"/>
              </w:rPr>
              <w:t>Datum</w:t>
            </w:r>
          </w:p>
        </w:tc>
      </w:tr>
      <w:tr w:rsidR="00EB2E79" w:rsidRPr="00612765" w14:paraId="74768E30" w14:textId="77777777" w:rsidTr="00B415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top w:val="single" w:sz="4" w:space="0" w:color="auto"/>
            </w:tcBorders>
            <w:shd w:val="clear" w:color="auto" w:fill="auto"/>
          </w:tcPr>
          <w:p w14:paraId="74768E2D" w14:textId="77777777" w:rsidR="00EB2E79" w:rsidRPr="00612765" w:rsidRDefault="00EB2E79" w:rsidP="00EB2E79">
            <w:pPr>
              <w:rPr>
                <w:b/>
                <w:sz w:val="20"/>
                <w:szCs w:val="20"/>
              </w:rPr>
            </w:pPr>
          </w:p>
        </w:tc>
        <w:tc>
          <w:tcPr>
            <w:tcW w:w="567" w:type="dxa"/>
            <w:shd w:val="clear" w:color="auto" w:fill="auto"/>
          </w:tcPr>
          <w:p w14:paraId="74768E2E" w14:textId="77777777" w:rsidR="00EB2E79" w:rsidRPr="00612765" w:rsidRDefault="00EB2E79" w:rsidP="00EB2E79">
            <w:pPr>
              <w:rPr>
                <w:b/>
                <w:sz w:val="20"/>
                <w:szCs w:val="20"/>
              </w:rPr>
            </w:pPr>
          </w:p>
        </w:tc>
        <w:tc>
          <w:tcPr>
            <w:tcW w:w="4536" w:type="dxa"/>
            <w:tcBorders>
              <w:top w:val="single" w:sz="4" w:space="0" w:color="auto"/>
            </w:tcBorders>
            <w:shd w:val="clear" w:color="auto" w:fill="auto"/>
          </w:tcPr>
          <w:p w14:paraId="74768E2F" w14:textId="77777777" w:rsidR="00EB2E79" w:rsidRPr="00612765" w:rsidRDefault="00EB2E79" w:rsidP="00EB2E79">
            <w:pPr>
              <w:rPr>
                <w:b/>
                <w:spacing w:val="-2"/>
                <w:sz w:val="20"/>
                <w:szCs w:val="20"/>
              </w:rPr>
            </w:pPr>
          </w:p>
        </w:tc>
      </w:tr>
      <w:tr w:rsidR="00EB2E79" w:rsidRPr="00612765" w14:paraId="74768E35" w14:textId="77777777" w:rsidTr="00B415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14:paraId="74768E31" w14:textId="4EE935CC" w:rsidR="00EB2E79" w:rsidRPr="00612765" w:rsidRDefault="00840D41" w:rsidP="00EB2E79">
            <w:pPr>
              <w:rPr>
                <w:b/>
                <w:spacing w:val="-2"/>
                <w:sz w:val="20"/>
                <w:szCs w:val="20"/>
              </w:rPr>
            </w:pPr>
            <w:r w:rsidRPr="00612765">
              <w:rPr>
                <w:b/>
                <w:spacing w:val="-2"/>
                <w:sz w:val="20"/>
                <w:szCs w:val="20"/>
              </w:rPr>
              <w:t>RD Maasland</w:t>
            </w:r>
            <w:r w:rsidR="00EB2E79" w:rsidRPr="00612765">
              <w:rPr>
                <w:b/>
                <w:spacing w:val="-2"/>
                <w:sz w:val="20"/>
                <w:szCs w:val="20"/>
              </w:rPr>
              <w:t xml:space="preserve"> </w:t>
            </w:r>
          </w:p>
          <w:p w14:paraId="74768E32" w14:textId="0B38A1DA" w:rsidR="00EB2E79" w:rsidRPr="00612765" w:rsidRDefault="00EB2E79" w:rsidP="00EB2E79">
            <w:pPr>
              <w:rPr>
                <w:sz w:val="20"/>
                <w:szCs w:val="20"/>
              </w:rPr>
            </w:pPr>
          </w:p>
        </w:tc>
        <w:tc>
          <w:tcPr>
            <w:tcW w:w="567" w:type="dxa"/>
            <w:shd w:val="clear" w:color="auto" w:fill="auto"/>
          </w:tcPr>
          <w:p w14:paraId="74768E33" w14:textId="77777777" w:rsidR="00EB2E79" w:rsidRPr="00612765" w:rsidRDefault="00EB2E79" w:rsidP="00EB2E79">
            <w:pPr>
              <w:rPr>
                <w:sz w:val="20"/>
                <w:szCs w:val="20"/>
              </w:rPr>
            </w:pPr>
          </w:p>
        </w:tc>
        <w:tc>
          <w:tcPr>
            <w:tcW w:w="4536" w:type="dxa"/>
            <w:shd w:val="clear" w:color="auto" w:fill="auto"/>
          </w:tcPr>
          <w:p w14:paraId="74768E34" w14:textId="77777777" w:rsidR="00EB2E79" w:rsidRPr="00612765" w:rsidRDefault="00EB2E79" w:rsidP="00EB2E79">
            <w:pPr>
              <w:rPr>
                <w:b/>
                <w:spacing w:val="-2"/>
                <w:sz w:val="20"/>
                <w:szCs w:val="20"/>
                <w:highlight w:val="yellow"/>
              </w:rPr>
            </w:pPr>
            <w:r w:rsidRPr="00612765">
              <w:rPr>
                <w:b/>
                <w:spacing w:val="-2"/>
                <w:sz w:val="20"/>
                <w:szCs w:val="20"/>
                <w:highlight w:val="yellow"/>
              </w:rPr>
              <w:t>&lt;naam&gt;,</w:t>
            </w:r>
          </w:p>
        </w:tc>
      </w:tr>
      <w:tr w:rsidR="00EB2E79" w:rsidRPr="00612765" w14:paraId="74768E39" w14:textId="77777777" w:rsidTr="00B415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14:paraId="74768E36" w14:textId="21D29CD1" w:rsidR="00EB2E79" w:rsidRPr="00612765" w:rsidRDefault="00C715A3" w:rsidP="00EB2E79">
            <w:pPr>
              <w:rPr>
                <w:spacing w:val="-2"/>
                <w:sz w:val="20"/>
                <w:szCs w:val="20"/>
                <w:lang w:val="en-US"/>
              </w:rPr>
            </w:pPr>
            <w:r w:rsidRPr="00612765">
              <w:rPr>
                <w:spacing w:val="-2"/>
                <w:sz w:val="20"/>
                <w:szCs w:val="20"/>
                <w:lang w:val="en-US"/>
              </w:rPr>
              <w:t>R. van der Broek</w:t>
            </w:r>
          </w:p>
        </w:tc>
        <w:tc>
          <w:tcPr>
            <w:tcW w:w="567" w:type="dxa"/>
            <w:shd w:val="clear" w:color="auto" w:fill="auto"/>
          </w:tcPr>
          <w:p w14:paraId="74768E37" w14:textId="77777777" w:rsidR="00EB2E79" w:rsidRPr="00612765" w:rsidRDefault="00EB2E79" w:rsidP="00EB2E79">
            <w:pPr>
              <w:rPr>
                <w:sz w:val="20"/>
                <w:szCs w:val="20"/>
              </w:rPr>
            </w:pPr>
          </w:p>
        </w:tc>
        <w:tc>
          <w:tcPr>
            <w:tcW w:w="4536" w:type="dxa"/>
            <w:shd w:val="clear" w:color="auto" w:fill="auto"/>
          </w:tcPr>
          <w:p w14:paraId="74768E38" w14:textId="77777777" w:rsidR="00EB2E79" w:rsidRPr="00612765" w:rsidRDefault="00EB2E79" w:rsidP="00EB2E79">
            <w:pPr>
              <w:rPr>
                <w:spacing w:val="-2"/>
                <w:sz w:val="20"/>
                <w:szCs w:val="20"/>
                <w:highlight w:val="yellow"/>
                <w:lang w:val="en-US"/>
              </w:rPr>
            </w:pPr>
            <w:r w:rsidRPr="00612765">
              <w:rPr>
                <w:spacing w:val="-2"/>
                <w:sz w:val="20"/>
                <w:szCs w:val="20"/>
                <w:highlight w:val="yellow"/>
              </w:rPr>
              <w:t>&lt;Naam tekeningsbevoegde&gt;</w:t>
            </w:r>
          </w:p>
        </w:tc>
      </w:tr>
      <w:tr w:rsidR="00EB2E79" w:rsidRPr="00612765" w14:paraId="74768E3D" w14:textId="77777777" w:rsidTr="00B415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14:paraId="74768E3A" w14:textId="6894122F" w:rsidR="00EB2E79" w:rsidRPr="00612765" w:rsidRDefault="00C715A3" w:rsidP="00EB2E79">
            <w:pPr>
              <w:rPr>
                <w:sz w:val="20"/>
                <w:szCs w:val="20"/>
              </w:rPr>
            </w:pPr>
            <w:r w:rsidRPr="00612765">
              <w:rPr>
                <w:sz w:val="20"/>
                <w:szCs w:val="20"/>
              </w:rPr>
              <w:t>Directeur</w:t>
            </w:r>
          </w:p>
        </w:tc>
        <w:tc>
          <w:tcPr>
            <w:tcW w:w="567" w:type="dxa"/>
            <w:shd w:val="clear" w:color="auto" w:fill="auto"/>
          </w:tcPr>
          <w:p w14:paraId="74768E3B" w14:textId="77777777" w:rsidR="00EB2E79" w:rsidRPr="00612765" w:rsidRDefault="00EB2E79" w:rsidP="00EB2E79">
            <w:pPr>
              <w:rPr>
                <w:sz w:val="20"/>
                <w:szCs w:val="20"/>
              </w:rPr>
            </w:pPr>
          </w:p>
        </w:tc>
        <w:tc>
          <w:tcPr>
            <w:tcW w:w="4536" w:type="dxa"/>
            <w:shd w:val="clear" w:color="auto" w:fill="auto"/>
          </w:tcPr>
          <w:p w14:paraId="74768E3C" w14:textId="77777777" w:rsidR="00EB2E79" w:rsidRPr="00612765" w:rsidRDefault="00EB2E79" w:rsidP="00EB2E79">
            <w:pPr>
              <w:rPr>
                <w:sz w:val="20"/>
                <w:szCs w:val="20"/>
                <w:highlight w:val="yellow"/>
              </w:rPr>
            </w:pPr>
            <w:r w:rsidRPr="00612765">
              <w:rPr>
                <w:spacing w:val="-2"/>
                <w:sz w:val="20"/>
                <w:szCs w:val="20"/>
                <w:highlight w:val="yellow"/>
              </w:rPr>
              <w:t>&lt;functie&gt;</w:t>
            </w:r>
          </w:p>
        </w:tc>
      </w:tr>
      <w:tr w:rsidR="00EB2E79" w:rsidRPr="00612765" w14:paraId="74768E45" w14:textId="77777777" w:rsidTr="00B415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14:paraId="74768E3E" w14:textId="77777777" w:rsidR="00EB2E79" w:rsidRPr="00612765" w:rsidRDefault="00EB2E79" w:rsidP="00EB2E79">
            <w:pPr>
              <w:rPr>
                <w:sz w:val="20"/>
                <w:szCs w:val="20"/>
              </w:rPr>
            </w:pPr>
          </w:p>
          <w:p w14:paraId="74768E3F" w14:textId="77777777" w:rsidR="00EB2E79" w:rsidRPr="00612765" w:rsidRDefault="00EB2E79" w:rsidP="00EB2E79">
            <w:pPr>
              <w:rPr>
                <w:sz w:val="20"/>
                <w:szCs w:val="20"/>
              </w:rPr>
            </w:pPr>
          </w:p>
          <w:p w14:paraId="74768E40" w14:textId="77777777" w:rsidR="00EB2E79" w:rsidRPr="00612765" w:rsidRDefault="00EB2E79" w:rsidP="00EB2E79">
            <w:pPr>
              <w:rPr>
                <w:sz w:val="20"/>
                <w:szCs w:val="20"/>
              </w:rPr>
            </w:pPr>
          </w:p>
          <w:p w14:paraId="74768E41" w14:textId="77777777" w:rsidR="00EB2E79" w:rsidRPr="00612765" w:rsidRDefault="00EB2E79" w:rsidP="00EB2E79">
            <w:pPr>
              <w:rPr>
                <w:sz w:val="20"/>
                <w:szCs w:val="20"/>
              </w:rPr>
            </w:pPr>
          </w:p>
          <w:p w14:paraId="74768E42" w14:textId="77777777" w:rsidR="00EB2E79" w:rsidRPr="00612765" w:rsidRDefault="00EB2E79" w:rsidP="00EB2E79">
            <w:pPr>
              <w:rPr>
                <w:sz w:val="20"/>
                <w:szCs w:val="20"/>
              </w:rPr>
            </w:pPr>
          </w:p>
        </w:tc>
        <w:tc>
          <w:tcPr>
            <w:tcW w:w="567" w:type="dxa"/>
            <w:shd w:val="clear" w:color="auto" w:fill="auto"/>
          </w:tcPr>
          <w:p w14:paraId="74768E43" w14:textId="77777777" w:rsidR="00EB2E79" w:rsidRPr="00612765" w:rsidRDefault="00EB2E79" w:rsidP="00EB2E79">
            <w:pPr>
              <w:rPr>
                <w:sz w:val="20"/>
                <w:szCs w:val="20"/>
              </w:rPr>
            </w:pPr>
          </w:p>
        </w:tc>
        <w:tc>
          <w:tcPr>
            <w:tcW w:w="4536" w:type="dxa"/>
            <w:shd w:val="clear" w:color="auto" w:fill="auto"/>
          </w:tcPr>
          <w:p w14:paraId="74768E44" w14:textId="77777777" w:rsidR="00EB2E79" w:rsidRPr="00612765" w:rsidRDefault="00EB2E79" w:rsidP="00EB2E79">
            <w:pPr>
              <w:rPr>
                <w:sz w:val="20"/>
                <w:szCs w:val="20"/>
              </w:rPr>
            </w:pPr>
          </w:p>
        </w:tc>
      </w:tr>
      <w:tr w:rsidR="00EB2E79" w:rsidRPr="00612765" w14:paraId="74768E49" w14:textId="77777777" w:rsidTr="00B415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shd w:val="clear" w:color="auto" w:fill="auto"/>
          </w:tcPr>
          <w:p w14:paraId="74768E46" w14:textId="77777777" w:rsidR="00EB2E79" w:rsidRPr="00612765" w:rsidRDefault="00EB2E79" w:rsidP="00EB2E79">
            <w:pPr>
              <w:rPr>
                <w:sz w:val="20"/>
                <w:szCs w:val="20"/>
              </w:rPr>
            </w:pPr>
          </w:p>
        </w:tc>
        <w:tc>
          <w:tcPr>
            <w:tcW w:w="567" w:type="dxa"/>
            <w:shd w:val="clear" w:color="auto" w:fill="auto"/>
          </w:tcPr>
          <w:p w14:paraId="74768E47" w14:textId="77777777" w:rsidR="00EB2E79" w:rsidRPr="00612765" w:rsidRDefault="00EB2E79" w:rsidP="00EB2E79">
            <w:pPr>
              <w:rPr>
                <w:sz w:val="20"/>
                <w:szCs w:val="20"/>
              </w:rPr>
            </w:pPr>
          </w:p>
        </w:tc>
        <w:tc>
          <w:tcPr>
            <w:tcW w:w="4536" w:type="dxa"/>
            <w:shd w:val="clear" w:color="auto" w:fill="auto"/>
          </w:tcPr>
          <w:p w14:paraId="74768E48" w14:textId="77777777" w:rsidR="00EB2E79" w:rsidRPr="00612765" w:rsidRDefault="00EB2E79" w:rsidP="00EB2E79">
            <w:pPr>
              <w:rPr>
                <w:sz w:val="20"/>
                <w:szCs w:val="20"/>
              </w:rPr>
            </w:pPr>
          </w:p>
        </w:tc>
      </w:tr>
      <w:tr w:rsidR="00EB2E79" w:rsidRPr="00612765" w14:paraId="74768E4D" w14:textId="77777777" w:rsidTr="00B415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77" w:type="dxa"/>
            <w:tcBorders>
              <w:bottom w:val="single" w:sz="4" w:space="0" w:color="auto"/>
            </w:tcBorders>
            <w:shd w:val="clear" w:color="auto" w:fill="auto"/>
          </w:tcPr>
          <w:p w14:paraId="74768E4A" w14:textId="77777777" w:rsidR="00EB2E79" w:rsidRPr="00612765" w:rsidRDefault="00EB2E79" w:rsidP="00EB2E79">
            <w:pPr>
              <w:rPr>
                <w:sz w:val="20"/>
                <w:szCs w:val="20"/>
              </w:rPr>
            </w:pPr>
          </w:p>
        </w:tc>
        <w:tc>
          <w:tcPr>
            <w:tcW w:w="567" w:type="dxa"/>
            <w:shd w:val="clear" w:color="auto" w:fill="auto"/>
          </w:tcPr>
          <w:p w14:paraId="74768E4B" w14:textId="77777777" w:rsidR="00EB2E79" w:rsidRPr="00612765" w:rsidRDefault="00EB2E79" w:rsidP="00EB2E79">
            <w:pPr>
              <w:rPr>
                <w:sz w:val="20"/>
                <w:szCs w:val="20"/>
              </w:rPr>
            </w:pPr>
          </w:p>
        </w:tc>
        <w:tc>
          <w:tcPr>
            <w:tcW w:w="4536" w:type="dxa"/>
            <w:tcBorders>
              <w:bottom w:val="single" w:sz="4" w:space="0" w:color="auto"/>
            </w:tcBorders>
            <w:shd w:val="clear" w:color="auto" w:fill="auto"/>
          </w:tcPr>
          <w:p w14:paraId="74768E4C" w14:textId="77777777" w:rsidR="00EB2E79" w:rsidRPr="00612765" w:rsidRDefault="00EB2E79" w:rsidP="00EB2E79">
            <w:pPr>
              <w:rPr>
                <w:sz w:val="20"/>
                <w:szCs w:val="20"/>
              </w:rPr>
            </w:pPr>
          </w:p>
        </w:tc>
      </w:tr>
    </w:tbl>
    <w:p w14:paraId="74768E4E" w14:textId="77777777" w:rsidR="00EB2E79" w:rsidRPr="00612765" w:rsidRDefault="00EB2E79" w:rsidP="00EB2E79">
      <w:pPr>
        <w:tabs>
          <w:tab w:val="left" w:pos="426"/>
        </w:tabs>
        <w:ind w:right="-1440"/>
        <w:rPr>
          <w:sz w:val="20"/>
          <w:szCs w:val="20"/>
        </w:rPr>
      </w:pPr>
    </w:p>
    <w:p w14:paraId="74768E4F" w14:textId="77777777" w:rsidR="00EB2E79" w:rsidRPr="00612765" w:rsidRDefault="00EB2E79" w:rsidP="00EB2E79">
      <w:pPr>
        <w:tabs>
          <w:tab w:val="left" w:pos="426"/>
        </w:tabs>
        <w:ind w:right="-1440"/>
        <w:rPr>
          <w:sz w:val="20"/>
          <w:szCs w:val="20"/>
        </w:rPr>
      </w:pPr>
    </w:p>
    <w:p w14:paraId="74768E50" w14:textId="77777777" w:rsidR="00EB2E79" w:rsidRPr="00612765" w:rsidRDefault="00EB2E79" w:rsidP="00EB2E79">
      <w:pPr>
        <w:tabs>
          <w:tab w:val="left" w:pos="426"/>
        </w:tabs>
        <w:ind w:right="-1440"/>
        <w:rPr>
          <w:sz w:val="20"/>
          <w:szCs w:val="20"/>
        </w:rPr>
      </w:pPr>
    </w:p>
    <w:p w14:paraId="74768E51" w14:textId="77777777" w:rsidR="00EB2E79" w:rsidRPr="00612765" w:rsidRDefault="00EB2E79" w:rsidP="00EB2E79">
      <w:pPr>
        <w:tabs>
          <w:tab w:val="left" w:pos="426"/>
        </w:tabs>
        <w:ind w:right="-1440"/>
        <w:rPr>
          <w:sz w:val="20"/>
          <w:szCs w:val="20"/>
        </w:rPr>
      </w:pPr>
    </w:p>
    <w:p w14:paraId="74768E52" w14:textId="77777777" w:rsidR="00EB2E79" w:rsidRPr="00612765" w:rsidRDefault="00EB2E79" w:rsidP="00EB2E79">
      <w:pPr>
        <w:tabs>
          <w:tab w:val="left" w:pos="426"/>
        </w:tabs>
        <w:ind w:right="-1440"/>
        <w:rPr>
          <w:sz w:val="20"/>
          <w:szCs w:val="20"/>
        </w:rPr>
      </w:pPr>
    </w:p>
    <w:p w14:paraId="74768E53" w14:textId="77777777" w:rsidR="00EB2E79" w:rsidRPr="00612765" w:rsidRDefault="00EB2E79" w:rsidP="00EB2E79">
      <w:pPr>
        <w:tabs>
          <w:tab w:val="left" w:pos="426"/>
        </w:tabs>
        <w:ind w:right="-1440"/>
        <w:rPr>
          <w:sz w:val="20"/>
          <w:szCs w:val="20"/>
        </w:rPr>
      </w:pPr>
    </w:p>
    <w:p w14:paraId="3BE2CCEB" w14:textId="77777777" w:rsidR="00C715A3" w:rsidRPr="00612765" w:rsidRDefault="00C715A3">
      <w:pPr>
        <w:rPr>
          <w:rFonts w:cs="Arial"/>
          <w:sz w:val="20"/>
          <w:szCs w:val="20"/>
        </w:rPr>
      </w:pPr>
    </w:p>
    <w:sectPr w:rsidR="00C715A3" w:rsidRPr="0061276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FA44" w14:textId="77777777" w:rsidR="00A241AA" w:rsidRDefault="00A241AA" w:rsidP="005B703D">
      <w:r>
        <w:separator/>
      </w:r>
    </w:p>
  </w:endnote>
  <w:endnote w:type="continuationSeparator" w:id="0">
    <w:p w14:paraId="32D79852" w14:textId="77777777" w:rsidR="00A241AA" w:rsidRDefault="00A241AA" w:rsidP="005B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8E61" w14:textId="77777777" w:rsidR="005B703D" w:rsidRDefault="005B70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8E62" w14:textId="77777777" w:rsidR="005B703D" w:rsidRDefault="005B70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8E64" w14:textId="77777777" w:rsidR="005B703D" w:rsidRDefault="005B70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014F" w14:textId="77777777" w:rsidR="00A241AA" w:rsidRDefault="00A241AA" w:rsidP="005B703D">
      <w:r>
        <w:separator/>
      </w:r>
    </w:p>
  </w:footnote>
  <w:footnote w:type="continuationSeparator" w:id="0">
    <w:p w14:paraId="0B53879C" w14:textId="77777777" w:rsidR="00A241AA" w:rsidRDefault="00A241AA" w:rsidP="005B7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8E5F" w14:textId="77777777" w:rsidR="005B703D" w:rsidRDefault="005B70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8E60" w14:textId="58EE9BD0" w:rsidR="005B703D" w:rsidRDefault="005B70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8E63" w14:textId="77777777" w:rsidR="005B703D" w:rsidRDefault="005B70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37E5"/>
    <w:multiLevelType w:val="multilevel"/>
    <w:tmpl w:val="9F2AB644"/>
    <w:lvl w:ilvl="0">
      <w:start w:val="1"/>
      <w:numFmt w:val="decimal"/>
      <w:lvlText w:val="%1"/>
      <w:lvlJc w:val="left"/>
      <w:pPr>
        <w:tabs>
          <w:tab w:val="num" w:pos="1140"/>
        </w:tabs>
        <w:ind w:left="1140" w:hanging="1140"/>
      </w:pPr>
      <w:rPr>
        <w:rFonts w:hint="default"/>
        <w:b/>
      </w:rPr>
    </w:lvl>
    <w:lvl w:ilvl="1">
      <w:start w:val="1"/>
      <w:numFmt w:val="decimal"/>
      <w:lvlText w:val="%1.%2"/>
      <w:lvlJc w:val="left"/>
      <w:pPr>
        <w:tabs>
          <w:tab w:val="num" w:pos="1140"/>
        </w:tabs>
        <w:ind w:left="1140" w:hanging="1140"/>
      </w:pPr>
      <w:rPr>
        <w:rFonts w:hint="default"/>
        <w:b w:val="0"/>
      </w:rPr>
    </w:lvl>
    <w:lvl w:ilvl="2">
      <w:start w:val="1"/>
      <w:numFmt w:val="decimal"/>
      <w:lvlText w:val="%1.%2.%3"/>
      <w:lvlJc w:val="left"/>
      <w:pPr>
        <w:tabs>
          <w:tab w:val="num" w:pos="1140"/>
        </w:tabs>
        <w:ind w:left="1140" w:hanging="1140"/>
      </w:pPr>
      <w:rPr>
        <w:rFonts w:hint="default"/>
        <w:b/>
      </w:rPr>
    </w:lvl>
    <w:lvl w:ilvl="3">
      <w:start w:val="1"/>
      <w:numFmt w:val="decimal"/>
      <w:lvlText w:val="%1.%2.%3.%4"/>
      <w:lvlJc w:val="left"/>
      <w:pPr>
        <w:tabs>
          <w:tab w:val="num" w:pos="1140"/>
        </w:tabs>
        <w:ind w:left="1140" w:hanging="1140"/>
      </w:pPr>
      <w:rPr>
        <w:rFonts w:hint="default"/>
        <w:b/>
      </w:rPr>
    </w:lvl>
    <w:lvl w:ilvl="4">
      <w:start w:val="1"/>
      <w:numFmt w:val="decimal"/>
      <w:lvlText w:val="%1.%2.%3.%4.%5"/>
      <w:lvlJc w:val="left"/>
      <w:pPr>
        <w:tabs>
          <w:tab w:val="num" w:pos="1140"/>
        </w:tabs>
        <w:ind w:left="1140" w:hanging="1140"/>
      </w:pPr>
      <w:rPr>
        <w:rFonts w:hint="default"/>
        <w:b/>
      </w:rPr>
    </w:lvl>
    <w:lvl w:ilvl="5">
      <w:start w:val="1"/>
      <w:numFmt w:val="decimal"/>
      <w:lvlText w:val="%1.%2.%3.%4.%5.%6"/>
      <w:lvlJc w:val="left"/>
      <w:pPr>
        <w:tabs>
          <w:tab w:val="num" w:pos="1140"/>
        </w:tabs>
        <w:ind w:left="1140" w:hanging="11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47A07A20"/>
    <w:multiLevelType w:val="hybridMultilevel"/>
    <w:tmpl w:val="BBFA10B2"/>
    <w:lvl w:ilvl="0" w:tplc="AC6C5D82">
      <w:numFmt w:val="bullet"/>
      <w:lvlText w:val="-"/>
      <w:lvlJc w:val="left"/>
      <w:pPr>
        <w:ind w:left="1854" w:hanging="360"/>
      </w:pPr>
      <w:rPr>
        <w:rFonts w:ascii="Arial" w:eastAsia="Times New Roman" w:hAnsi="Arial" w:cs="Aria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 w15:restartNumberingAfterBreak="0">
    <w:nsid w:val="61C75746"/>
    <w:multiLevelType w:val="multilevel"/>
    <w:tmpl w:val="A8E630B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9D710CB"/>
    <w:multiLevelType w:val="hybridMultilevel"/>
    <w:tmpl w:val="CAD2769E"/>
    <w:lvl w:ilvl="0" w:tplc="AC6C5D82">
      <w:numFmt w:val="bullet"/>
      <w:lvlText w:val="-"/>
      <w:lvlJc w:val="left"/>
      <w:pPr>
        <w:ind w:left="1500" w:hanging="360"/>
      </w:pPr>
      <w:rPr>
        <w:rFonts w:ascii="Arial" w:eastAsia="Times New Roman" w:hAnsi="Arial" w:cs="Arial" w:hint="default"/>
      </w:rPr>
    </w:lvl>
    <w:lvl w:ilvl="1" w:tplc="04130003" w:tentative="1">
      <w:start w:val="1"/>
      <w:numFmt w:val="bullet"/>
      <w:lvlText w:val="o"/>
      <w:lvlJc w:val="left"/>
      <w:pPr>
        <w:ind w:left="2220" w:hanging="360"/>
      </w:pPr>
      <w:rPr>
        <w:rFonts w:ascii="Courier New" w:hAnsi="Courier New" w:cs="Courier New"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num w:numId="1" w16cid:durableId="1932811165">
    <w:abstractNumId w:val="0"/>
  </w:num>
  <w:num w:numId="2" w16cid:durableId="1826505307">
    <w:abstractNumId w:val="3"/>
  </w:num>
  <w:num w:numId="3" w16cid:durableId="638220928">
    <w:abstractNumId w:val="2"/>
  </w:num>
  <w:num w:numId="4" w16cid:durableId="1513688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185"/>
    <w:rsid w:val="00000424"/>
    <w:rsid w:val="00006A11"/>
    <w:rsid w:val="00075A2C"/>
    <w:rsid w:val="0009348B"/>
    <w:rsid w:val="000B2621"/>
    <w:rsid w:val="000D44AD"/>
    <w:rsid w:val="001037B6"/>
    <w:rsid w:val="001059E7"/>
    <w:rsid w:val="001263F4"/>
    <w:rsid w:val="00143D9E"/>
    <w:rsid w:val="001736F0"/>
    <w:rsid w:val="001A241E"/>
    <w:rsid w:val="00263259"/>
    <w:rsid w:val="00280978"/>
    <w:rsid w:val="00296470"/>
    <w:rsid w:val="002A216E"/>
    <w:rsid w:val="002B077D"/>
    <w:rsid w:val="002D104C"/>
    <w:rsid w:val="00303E35"/>
    <w:rsid w:val="003176AF"/>
    <w:rsid w:val="003359D2"/>
    <w:rsid w:val="00340FD0"/>
    <w:rsid w:val="0034350B"/>
    <w:rsid w:val="003F0CDB"/>
    <w:rsid w:val="004028BF"/>
    <w:rsid w:val="00410724"/>
    <w:rsid w:val="004A482F"/>
    <w:rsid w:val="004A7196"/>
    <w:rsid w:val="004B10A7"/>
    <w:rsid w:val="004C6012"/>
    <w:rsid w:val="004E201B"/>
    <w:rsid w:val="004E3C2F"/>
    <w:rsid w:val="004F69C4"/>
    <w:rsid w:val="005014F5"/>
    <w:rsid w:val="00505F20"/>
    <w:rsid w:val="00522F5A"/>
    <w:rsid w:val="00532DC4"/>
    <w:rsid w:val="005508D5"/>
    <w:rsid w:val="00555A17"/>
    <w:rsid w:val="0057542C"/>
    <w:rsid w:val="005817AC"/>
    <w:rsid w:val="0058327F"/>
    <w:rsid w:val="005B703D"/>
    <w:rsid w:val="005C4A5E"/>
    <w:rsid w:val="005D39CA"/>
    <w:rsid w:val="00612765"/>
    <w:rsid w:val="00630C6D"/>
    <w:rsid w:val="00661682"/>
    <w:rsid w:val="006843A5"/>
    <w:rsid w:val="006950DA"/>
    <w:rsid w:val="006A2212"/>
    <w:rsid w:val="006C5FB1"/>
    <w:rsid w:val="006E6E92"/>
    <w:rsid w:val="00703DDA"/>
    <w:rsid w:val="00716E39"/>
    <w:rsid w:val="00717D2E"/>
    <w:rsid w:val="0074032D"/>
    <w:rsid w:val="00771ED4"/>
    <w:rsid w:val="00783DB0"/>
    <w:rsid w:val="007A7E18"/>
    <w:rsid w:val="007D6C94"/>
    <w:rsid w:val="00811ED5"/>
    <w:rsid w:val="00814FBF"/>
    <w:rsid w:val="00840D41"/>
    <w:rsid w:val="008422AC"/>
    <w:rsid w:val="00865140"/>
    <w:rsid w:val="00874131"/>
    <w:rsid w:val="00874E10"/>
    <w:rsid w:val="008B2A37"/>
    <w:rsid w:val="008B53DA"/>
    <w:rsid w:val="008D5191"/>
    <w:rsid w:val="00916561"/>
    <w:rsid w:val="00917445"/>
    <w:rsid w:val="00926F31"/>
    <w:rsid w:val="00930CC1"/>
    <w:rsid w:val="009313D6"/>
    <w:rsid w:val="0098334D"/>
    <w:rsid w:val="00994278"/>
    <w:rsid w:val="009B78F9"/>
    <w:rsid w:val="009D23A6"/>
    <w:rsid w:val="009D301B"/>
    <w:rsid w:val="009E7E7D"/>
    <w:rsid w:val="009F7F7C"/>
    <w:rsid w:val="00A241AA"/>
    <w:rsid w:val="00A41CDE"/>
    <w:rsid w:val="00A425DB"/>
    <w:rsid w:val="00A6071D"/>
    <w:rsid w:val="00A6203A"/>
    <w:rsid w:val="00A81B73"/>
    <w:rsid w:val="00B13F22"/>
    <w:rsid w:val="00B43BBC"/>
    <w:rsid w:val="00B44BC1"/>
    <w:rsid w:val="00B57270"/>
    <w:rsid w:val="00B87667"/>
    <w:rsid w:val="00B94831"/>
    <w:rsid w:val="00BD1853"/>
    <w:rsid w:val="00C12E0F"/>
    <w:rsid w:val="00C715A3"/>
    <w:rsid w:val="00CC2328"/>
    <w:rsid w:val="00CD63ED"/>
    <w:rsid w:val="00D04489"/>
    <w:rsid w:val="00D07D18"/>
    <w:rsid w:val="00D61A89"/>
    <w:rsid w:val="00D720FC"/>
    <w:rsid w:val="00D73F17"/>
    <w:rsid w:val="00D872B1"/>
    <w:rsid w:val="00D952EA"/>
    <w:rsid w:val="00DC1D23"/>
    <w:rsid w:val="00DC21BC"/>
    <w:rsid w:val="00DE11B0"/>
    <w:rsid w:val="00DF07BC"/>
    <w:rsid w:val="00E02C7B"/>
    <w:rsid w:val="00E03053"/>
    <w:rsid w:val="00E757FB"/>
    <w:rsid w:val="00E9185C"/>
    <w:rsid w:val="00E97F62"/>
    <w:rsid w:val="00EB2E79"/>
    <w:rsid w:val="00EE4836"/>
    <w:rsid w:val="00EF5626"/>
    <w:rsid w:val="00EF708F"/>
    <w:rsid w:val="00F024D8"/>
    <w:rsid w:val="00F51F63"/>
    <w:rsid w:val="00F56185"/>
    <w:rsid w:val="00F84487"/>
    <w:rsid w:val="00FC4C55"/>
    <w:rsid w:val="00FD13B8"/>
    <w:rsid w:val="00FD5E7F"/>
    <w:rsid w:val="00FF32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8D93"/>
  <w15:docId w15:val="{6307E4FE-C449-4D0F-9358-3586FBE9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6F31"/>
    <w:pPr>
      <w:spacing w:after="0" w:line="240" w:lineRule="auto"/>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B2E79"/>
    <w:rPr>
      <w:rFonts w:ascii="Tahoma" w:hAnsi="Tahoma" w:cs="Tahoma"/>
      <w:sz w:val="16"/>
      <w:szCs w:val="16"/>
    </w:rPr>
  </w:style>
  <w:style w:type="character" w:customStyle="1" w:styleId="BallontekstChar">
    <w:name w:val="Ballontekst Char"/>
    <w:basedOn w:val="Standaardalinea-lettertype"/>
    <w:link w:val="Ballontekst"/>
    <w:uiPriority w:val="99"/>
    <w:semiHidden/>
    <w:rsid w:val="00EB2E79"/>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EB2E79"/>
    <w:rPr>
      <w:sz w:val="16"/>
      <w:szCs w:val="16"/>
    </w:rPr>
  </w:style>
  <w:style w:type="paragraph" w:styleId="Tekstopmerking">
    <w:name w:val="annotation text"/>
    <w:basedOn w:val="Standaard"/>
    <w:link w:val="TekstopmerkingChar"/>
    <w:uiPriority w:val="99"/>
    <w:semiHidden/>
    <w:unhideWhenUsed/>
    <w:rsid w:val="00EB2E79"/>
    <w:rPr>
      <w:rFonts w:ascii="Arial" w:hAnsi="Arial"/>
      <w:sz w:val="20"/>
      <w:szCs w:val="20"/>
    </w:rPr>
  </w:style>
  <w:style w:type="character" w:customStyle="1" w:styleId="TekstopmerkingChar">
    <w:name w:val="Tekst opmerking Char"/>
    <w:basedOn w:val="Standaardalinea-lettertype"/>
    <w:link w:val="Tekstopmerking"/>
    <w:uiPriority w:val="99"/>
    <w:semiHidden/>
    <w:rsid w:val="00EB2E79"/>
    <w:rPr>
      <w:rFonts w:ascii="Arial" w:eastAsia="Times New Roman" w:hAnsi="Arial" w:cs="Times New Roman"/>
      <w:sz w:val="20"/>
      <w:szCs w:val="20"/>
      <w:lang w:eastAsia="nl-NL"/>
    </w:rPr>
  </w:style>
  <w:style w:type="paragraph" w:styleId="Lijstalinea">
    <w:name w:val="List Paragraph"/>
    <w:basedOn w:val="Standaard"/>
    <w:uiPriority w:val="34"/>
    <w:qFormat/>
    <w:rsid w:val="00703DDA"/>
    <w:pPr>
      <w:ind w:left="720"/>
      <w:contextualSpacing/>
    </w:pPr>
  </w:style>
  <w:style w:type="character" w:styleId="Hyperlink">
    <w:name w:val="Hyperlink"/>
    <w:basedOn w:val="Standaardalinea-lettertype"/>
    <w:uiPriority w:val="99"/>
    <w:unhideWhenUsed/>
    <w:rsid w:val="00703DDA"/>
    <w:rPr>
      <w:color w:val="0000FF" w:themeColor="hyperlink"/>
      <w:u w:val="single"/>
    </w:rPr>
  </w:style>
  <w:style w:type="paragraph" w:styleId="Koptekst">
    <w:name w:val="header"/>
    <w:basedOn w:val="Standaard"/>
    <w:link w:val="KoptekstChar"/>
    <w:uiPriority w:val="99"/>
    <w:unhideWhenUsed/>
    <w:rsid w:val="005B703D"/>
    <w:pPr>
      <w:tabs>
        <w:tab w:val="center" w:pos="4536"/>
        <w:tab w:val="right" w:pos="9072"/>
      </w:tabs>
    </w:pPr>
  </w:style>
  <w:style w:type="character" w:customStyle="1" w:styleId="KoptekstChar">
    <w:name w:val="Koptekst Char"/>
    <w:basedOn w:val="Standaardalinea-lettertype"/>
    <w:link w:val="Koptekst"/>
    <w:uiPriority w:val="99"/>
    <w:rsid w:val="005B703D"/>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5B703D"/>
    <w:pPr>
      <w:tabs>
        <w:tab w:val="center" w:pos="4536"/>
        <w:tab w:val="right" w:pos="9072"/>
      </w:tabs>
    </w:pPr>
  </w:style>
  <w:style w:type="character" w:customStyle="1" w:styleId="VoettekstChar">
    <w:name w:val="Voettekst Char"/>
    <w:basedOn w:val="Standaardalinea-lettertype"/>
    <w:link w:val="Voettekst"/>
    <w:uiPriority w:val="99"/>
    <w:rsid w:val="005B703D"/>
    <w:rPr>
      <w:rFonts w:ascii="Verdana" w:eastAsia="Times New Roman" w:hAnsi="Verdana" w:cs="Times New Roman"/>
      <w:sz w:val="18"/>
      <w:szCs w:val="24"/>
      <w:lang w:eastAsia="nl-NL"/>
    </w:rPr>
  </w:style>
  <w:style w:type="character" w:styleId="Onopgelostemelding">
    <w:name w:val="Unresolved Mention"/>
    <w:basedOn w:val="Standaardalinea-lettertype"/>
    <w:uiPriority w:val="99"/>
    <w:semiHidden/>
    <w:unhideWhenUsed/>
    <w:rsid w:val="002A2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ur@rdmaasland.nl%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855</Words>
  <Characters>4703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Prive</dc:creator>
  <cp:lastModifiedBy>Inkooplogic | Ruud Sassen</cp:lastModifiedBy>
  <cp:revision>108</cp:revision>
  <cp:lastPrinted>2022-02-24T16:47:00Z</cp:lastPrinted>
  <dcterms:created xsi:type="dcterms:W3CDTF">2022-02-06T10:51:00Z</dcterms:created>
  <dcterms:modified xsi:type="dcterms:W3CDTF">2025-07-16T07:41:00Z</dcterms:modified>
</cp:coreProperties>
</file>