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20E20" w14:textId="77777777" w:rsidR="004E40D8" w:rsidRPr="000F2F75" w:rsidRDefault="004E40D8" w:rsidP="006C66C1">
      <w:pPr>
        <w:spacing w:after="0" w:line="276" w:lineRule="auto"/>
        <w:jc w:val="both"/>
        <w:rPr>
          <w:rFonts w:ascii="Arial" w:hAnsi="Arial" w:cs="Arial"/>
          <w:b/>
          <w:bCs/>
        </w:rPr>
      </w:pPr>
      <w:r w:rsidRPr="000F2F75">
        <w:rPr>
          <w:rFonts w:ascii="Arial" w:hAnsi="Arial" w:cs="Arial"/>
          <w:b/>
          <w:bCs/>
        </w:rPr>
        <w:t>Bijlage 1: aanvullingen op en afwijkingen van DNR 2011</w:t>
      </w:r>
    </w:p>
    <w:p w14:paraId="5D74D0BE" w14:textId="77777777" w:rsidR="004E40D8" w:rsidRDefault="004E40D8" w:rsidP="006C66C1">
      <w:pPr>
        <w:spacing w:after="0" w:line="276" w:lineRule="auto"/>
        <w:jc w:val="both"/>
        <w:rPr>
          <w:rFonts w:ascii="Arial" w:hAnsi="Arial" w:cs="Arial"/>
          <w:sz w:val="20"/>
          <w:szCs w:val="20"/>
        </w:rPr>
      </w:pPr>
      <w:r w:rsidRPr="001D58BA">
        <w:rPr>
          <w:rFonts w:ascii="Arial" w:hAnsi="Arial" w:cs="Arial"/>
          <w:sz w:val="20"/>
          <w:szCs w:val="20"/>
        </w:rPr>
        <w:t>Versie juli 2013</w:t>
      </w:r>
    </w:p>
    <w:p w14:paraId="4D03691D" w14:textId="77777777" w:rsidR="001D58BA" w:rsidRPr="001D58BA" w:rsidRDefault="001D58BA" w:rsidP="006C66C1">
      <w:pPr>
        <w:spacing w:after="0" w:line="276" w:lineRule="auto"/>
        <w:jc w:val="both"/>
        <w:rPr>
          <w:rFonts w:ascii="Arial" w:hAnsi="Arial" w:cs="Arial"/>
          <w:sz w:val="20"/>
          <w:szCs w:val="20"/>
        </w:rPr>
      </w:pPr>
    </w:p>
    <w:p w14:paraId="6578F12C" w14:textId="77777777"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1: begripsbepalingen</w:t>
      </w:r>
    </w:p>
    <w:p w14:paraId="02315900" w14:textId="36F1C854" w:rsidR="000F2F75" w:rsidRPr="000F2F75" w:rsidRDefault="004E40D8" w:rsidP="006C66C1">
      <w:pPr>
        <w:spacing w:after="0" w:line="276" w:lineRule="auto"/>
        <w:jc w:val="both"/>
        <w:rPr>
          <w:rFonts w:ascii="Arial" w:hAnsi="Arial" w:cs="Arial"/>
          <w:sz w:val="20"/>
          <w:szCs w:val="20"/>
        </w:rPr>
      </w:pPr>
      <w:r w:rsidRPr="001D58BA">
        <w:rPr>
          <w:rFonts w:ascii="Arial" w:hAnsi="Arial" w:cs="Arial"/>
          <w:sz w:val="20"/>
          <w:szCs w:val="20"/>
        </w:rPr>
        <w:t>In aanvulling op artikel 1 wordt verstaan onder:</w:t>
      </w:r>
    </w:p>
    <w:p w14:paraId="10DD28A6" w14:textId="7A93B7C8" w:rsidR="004E40D8" w:rsidRPr="000F2F75" w:rsidRDefault="004E40D8" w:rsidP="006C66C1">
      <w:pPr>
        <w:pStyle w:val="Lijstalinea"/>
        <w:numPr>
          <w:ilvl w:val="0"/>
          <w:numId w:val="2"/>
        </w:numPr>
        <w:spacing w:after="0" w:line="276" w:lineRule="auto"/>
        <w:jc w:val="both"/>
        <w:rPr>
          <w:rFonts w:ascii="Arial" w:hAnsi="Arial" w:cs="Arial"/>
          <w:sz w:val="20"/>
          <w:szCs w:val="20"/>
        </w:rPr>
      </w:pPr>
      <w:r w:rsidRPr="000F2F75">
        <w:rPr>
          <w:rFonts w:ascii="Arial" w:hAnsi="Arial" w:cs="Arial"/>
          <w:sz w:val="20"/>
          <w:szCs w:val="20"/>
        </w:rPr>
        <w:t>DNR 2011: rechtsverhouding opdrachtgever-architect, ingenieur en adviseur inclusief deze aanvullingen op en afwijkingen van De Nieuwe Regeling 2011, versie juli 2013.</w:t>
      </w:r>
    </w:p>
    <w:p w14:paraId="1362902B" w14:textId="77777777" w:rsidR="000F2F75" w:rsidRDefault="000F2F75" w:rsidP="006C66C1">
      <w:pPr>
        <w:spacing w:after="0" w:line="276" w:lineRule="auto"/>
        <w:jc w:val="both"/>
        <w:rPr>
          <w:rFonts w:ascii="Arial" w:hAnsi="Arial" w:cs="Arial"/>
          <w:sz w:val="20"/>
          <w:szCs w:val="20"/>
        </w:rPr>
      </w:pPr>
    </w:p>
    <w:p w14:paraId="0F6D1F9B" w14:textId="749F03D2" w:rsidR="004E40D8" w:rsidRPr="000F2F75" w:rsidRDefault="004E40D8" w:rsidP="006C66C1">
      <w:pPr>
        <w:spacing w:after="0" w:line="276" w:lineRule="auto"/>
        <w:jc w:val="both"/>
        <w:rPr>
          <w:rFonts w:ascii="Arial" w:hAnsi="Arial" w:cs="Arial"/>
          <w:sz w:val="20"/>
          <w:szCs w:val="20"/>
        </w:rPr>
      </w:pPr>
      <w:r w:rsidRPr="000F2F75">
        <w:rPr>
          <w:rFonts w:ascii="Arial" w:hAnsi="Arial" w:cs="Arial"/>
          <w:sz w:val="20"/>
          <w:szCs w:val="20"/>
        </w:rPr>
        <w:t>In afwijking van artikel 1 wordt verstaan onder:</w:t>
      </w:r>
    </w:p>
    <w:p w14:paraId="686232BB" w14:textId="326DC041" w:rsidR="004E40D8" w:rsidRPr="000F2F75" w:rsidRDefault="004E40D8" w:rsidP="006C66C1">
      <w:pPr>
        <w:pStyle w:val="Lijstalinea"/>
        <w:numPr>
          <w:ilvl w:val="0"/>
          <w:numId w:val="2"/>
        </w:numPr>
        <w:spacing w:after="0" w:line="276" w:lineRule="auto"/>
        <w:jc w:val="both"/>
        <w:rPr>
          <w:rFonts w:ascii="Arial" w:hAnsi="Arial" w:cs="Arial"/>
          <w:sz w:val="20"/>
          <w:szCs w:val="20"/>
        </w:rPr>
      </w:pPr>
      <w:r w:rsidRPr="000F2F75">
        <w:rPr>
          <w:rFonts w:ascii="Arial" w:hAnsi="Arial" w:cs="Arial"/>
          <w:sz w:val="20"/>
          <w:szCs w:val="20"/>
        </w:rPr>
        <w:t>Opdrachtgever: … (indien gedelegeerd opdrachtgeverschap)</w:t>
      </w:r>
    </w:p>
    <w:p w14:paraId="51186E20" w14:textId="77777777" w:rsidR="001D58BA" w:rsidRDefault="001D58BA" w:rsidP="006C66C1">
      <w:pPr>
        <w:spacing w:after="0" w:line="276" w:lineRule="auto"/>
        <w:jc w:val="both"/>
        <w:rPr>
          <w:rFonts w:ascii="Arial" w:hAnsi="Arial" w:cs="Arial"/>
          <w:sz w:val="20"/>
          <w:szCs w:val="20"/>
        </w:rPr>
      </w:pPr>
    </w:p>
    <w:p w14:paraId="1A411D55" w14:textId="16E45834"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2: algemene bepalingen omtrent de opdracht</w:t>
      </w:r>
    </w:p>
    <w:p w14:paraId="5C14E163" w14:textId="0508066B"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afwijking van het bepaalde in artikel 2 lid 3j dient het bedrag aan uitvoeringskosten dat met de uitvoering van het object is gemoeid als taakstellend te worden opgevat. Voor afwijking bestaat slechts zeer beperkt ruimte en dient vooraf met Opdrachtgever overlegd te worden. </w:t>
      </w:r>
    </w:p>
    <w:p w14:paraId="1E9038DA" w14:textId="77777777" w:rsidR="001D58BA" w:rsidRDefault="001D58BA" w:rsidP="006C66C1">
      <w:pPr>
        <w:spacing w:after="0" w:line="276" w:lineRule="auto"/>
        <w:jc w:val="both"/>
        <w:rPr>
          <w:rFonts w:ascii="Arial" w:hAnsi="Arial" w:cs="Arial"/>
          <w:sz w:val="20"/>
          <w:szCs w:val="20"/>
        </w:rPr>
      </w:pPr>
    </w:p>
    <w:p w14:paraId="281786A8" w14:textId="14D08522"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3: bijzondere bepalingen omtrent de opdracht</w:t>
      </w:r>
    </w:p>
    <w:p w14:paraId="07BD4342" w14:textId="35F9425A" w:rsidR="004E40D8" w:rsidRDefault="004E40D8" w:rsidP="006C66C1">
      <w:pPr>
        <w:spacing w:after="0" w:line="276" w:lineRule="auto"/>
        <w:jc w:val="both"/>
        <w:rPr>
          <w:rFonts w:ascii="Arial" w:hAnsi="Arial" w:cs="Arial"/>
          <w:sz w:val="20"/>
          <w:szCs w:val="20"/>
        </w:rPr>
      </w:pPr>
      <w:r w:rsidRPr="001D58BA">
        <w:rPr>
          <w:rFonts w:ascii="Arial" w:hAnsi="Arial" w:cs="Arial"/>
          <w:sz w:val="20"/>
          <w:szCs w:val="20"/>
        </w:rPr>
        <w:t>In afwijking van artikel 5 is Adviseur slechts bevoegd na toestemming van Opdrachtgever werkzaamheden onder zijn leiding door anderen te doen uitvoeren en ten aanzien van onderdelen ook de leiding aan anderen over te laten, zulks onverminderd zijn verantwoordelijkheid voor de deugdelijke nakoming van de opdracht. Opdrachtgever zal de instemming niet op onredelijke gronden onthouden.</w:t>
      </w:r>
    </w:p>
    <w:p w14:paraId="0180A276" w14:textId="77777777" w:rsidR="009C3899" w:rsidRPr="001D58BA" w:rsidRDefault="009C3899" w:rsidP="006C66C1">
      <w:pPr>
        <w:spacing w:after="0" w:line="276" w:lineRule="auto"/>
        <w:jc w:val="both"/>
        <w:rPr>
          <w:rFonts w:ascii="Arial" w:hAnsi="Arial" w:cs="Arial"/>
          <w:sz w:val="20"/>
          <w:szCs w:val="20"/>
        </w:rPr>
      </w:pPr>
    </w:p>
    <w:p w14:paraId="0A04A09B" w14:textId="4CC181CE" w:rsidR="004E40D8" w:rsidRDefault="004E40D8" w:rsidP="006C66C1">
      <w:pPr>
        <w:spacing w:after="0" w:line="276" w:lineRule="auto"/>
        <w:jc w:val="both"/>
        <w:rPr>
          <w:rFonts w:ascii="Arial" w:hAnsi="Arial" w:cs="Arial"/>
          <w:sz w:val="20"/>
          <w:szCs w:val="20"/>
        </w:rPr>
      </w:pPr>
      <w:r w:rsidRPr="001D58BA">
        <w:rPr>
          <w:rFonts w:ascii="Arial" w:hAnsi="Arial" w:cs="Arial"/>
          <w:sz w:val="20"/>
          <w:szCs w:val="20"/>
        </w:rPr>
        <w:t>In afwijking van artikel 6 lid 1 is Opdrachtgever niet verplicht met Adviseur te overleggen over het aanstellen van één of meer derden-adviseurs. Dit laat onverlet het streven van Opdrachtgever om over de aanstelling van derden-adviseurs te overleggen met de reeds voor het Project aangestelde adviseurs.</w:t>
      </w:r>
    </w:p>
    <w:p w14:paraId="561C642D" w14:textId="77777777" w:rsidR="009C3899" w:rsidRPr="001D58BA" w:rsidRDefault="009C3899" w:rsidP="006C66C1">
      <w:pPr>
        <w:spacing w:after="0" w:line="276" w:lineRule="auto"/>
        <w:jc w:val="both"/>
        <w:rPr>
          <w:rFonts w:ascii="Arial" w:hAnsi="Arial" w:cs="Arial"/>
          <w:sz w:val="20"/>
          <w:szCs w:val="20"/>
        </w:rPr>
      </w:pPr>
    </w:p>
    <w:p w14:paraId="748F2508" w14:textId="5AC930BA"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Het is Adviseur niet toegestaan om binnen het Project in opdracht van een derde te werken zonder</w:t>
      </w:r>
      <w:r w:rsidR="009C3899">
        <w:rPr>
          <w:rFonts w:ascii="Arial" w:hAnsi="Arial" w:cs="Arial"/>
          <w:sz w:val="20"/>
          <w:szCs w:val="20"/>
        </w:rPr>
        <w:t xml:space="preserve"> </w:t>
      </w:r>
      <w:r w:rsidRPr="001D58BA">
        <w:rPr>
          <w:rFonts w:ascii="Arial" w:hAnsi="Arial" w:cs="Arial"/>
          <w:sz w:val="20"/>
          <w:szCs w:val="20"/>
        </w:rPr>
        <w:t>schriftelijke toestemming van Opdrachtgever.</w:t>
      </w:r>
    </w:p>
    <w:p w14:paraId="554D62B4" w14:textId="77777777" w:rsidR="001D58BA" w:rsidRDefault="001D58BA" w:rsidP="006C66C1">
      <w:pPr>
        <w:spacing w:after="0" w:line="276" w:lineRule="auto"/>
        <w:jc w:val="both"/>
        <w:rPr>
          <w:rFonts w:ascii="Arial" w:hAnsi="Arial" w:cs="Arial"/>
          <w:sz w:val="20"/>
          <w:szCs w:val="20"/>
        </w:rPr>
      </w:pPr>
    </w:p>
    <w:p w14:paraId="328CA8E8" w14:textId="3145940C"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5: algemene verplichtingen van Partijen</w:t>
      </w:r>
    </w:p>
    <w:p w14:paraId="0790C705" w14:textId="595C3237"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In afwijking van artikel 11 lid 6 geldt dat de opdracht wordt vervuld conform het overeengekomen tijdschema. Adviseur dient de planning taakstellend op te vatten. Voor afwijking bestaat slechts zeer beperkt ruimte en dient vooraf met Opdrachtgever overlegd te worden.</w:t>
      </w:r>
    </w:p>
    <w:p w14:paraId="2EE743F6" w14:textId="77777777" w:rsidR="002555B1" w:rsidRDefault="002555B1" w:rsidP="006C66C1">
      <w:pPr>
        <w:spacing w:after="0" w:line="276" w:lineRule="auto"/>
        <w:jc w:val="both"/>
        <w:rPr>
          <w:rFonts w:ascii="Arial" w:hAnsi="Arial" w:cs="Arial"/>
          <w:sz w:val="20"/>
          <w:szCs w:val="20"/>
        </w:rPr>
      </w:pPr>
    </w:p>
    <w:p w14:paraId="582FB560" w14:textId="32F65352"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Artikel 11 lid 13 is niet van toepassing.</w:t>
      </w:r>
    </w:p>
    <w:p w14:paraId="682B3203" w14:textId="77777777" w:rsidR="002555B1" w:rsidRDefault="002555B1" w:rsidP="006C66C1">
      <w:pPr>
        <w:spacing w:after="0" w:line="276" w:lineRule="auto"/>
        <w:jc w:val="both"/>
        <w:rPr>
          <w:rFonts w:ascii="Arial" w:hAnsi="Arial" w:cs="Arial"/>
          <w:sz w:val="20"/>
          <w:szCs w:val="20"/>
        </w:rPr>
      </w:pPr>
    </w:p>
    <w:p w14:paraId="2F1E42F0" w14:textId="6BE0F360"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aanvulling op artikel 11 geldt dat Opdrachtgever zijn verantwoordelijkheden ten aanzien van inventarisatie van potentiële veiligheids- en gezondheidsrisico’s overdraagt aan Adviseur. Door ondertekening van de Basisopdracht verklaart Adviseur zich hiermee akkoord. </w:t>
      </w:r>
    </w:p>
    <w:p w14:paraId="68E4234C" w14:textId="77777777" w:rsidR="002555B1" w:rsidRDefault="002555B1" w:rsidP="006C66C1">
      <w:pPr>
        <w:spacing w:after="0" w:line="276" w:lineRule="auto"/>
        <w:jc w:val="both"/>
        <w:rPr>
          <w:rFonts w:ascii="Arial" w:hAnsi="Arial" w:cs="Arial"/>
          <w:sz w:val="20"/>
          <w:szCs w:val="20"/>
        </w:rPr>
      </w:pPr>
    </w:p>
    <w:p w14:paraId="36FABA05" w14:textId="5C2A96B2" w:rsidR="004E40D8" w:rsidRPr="002555B1" w:rsidRDefault="004E40D8" w:rsidP="006C66C1">
      <w:pPr>
        <w:spacing w:after="0" w:line="276" w:lineRule="auto"/>
        <w:jc w:val="both"/>
        <w:rPr>
          <w:rFonts w:ascii="Arial" w:hAnsi="Arial" w:cs="Arial"/>
          <w:b/>
          <w:bCs/>
          <w:sz w:val="20"/>
          <w:szCs w:val="20"/>
        </w:rPr>
      </w:pPr>
      <w:r w:rsidRPr="002555B1">
        <w:rPr>
          <w:rFonts w:ascii="Arial" w:hAnsi="Arial" w:cs="Arial"/>
          <w:b/>
          <w:bCs/>
          <w:sz w:val="20"/>
          <w:szCs w:val="20"/>
        </w:rPr>
        <w:t>Hoofdstuk 6: aansprakelijkheid van Adviseur</w:t>
      </w:r>
    </w:p>
    <w:p w14:paraId="7B5CAEB5" w14:textId="5DEE2F7A" w:rsidR="00900ABD" w:rsidRPr="00E23A6C"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afwijking van artikel 14 lid 1 is Adviseur in geval van een toerekenbare tekortkoming aansprakelijk voor </w:t>
      </w:r>
      <w:r w:rsidRPr="00E23A6C">
        <w:rPr>
          <w:rFonts w:ascii="Arial" w:hAnsi="Arial" w:cs="Arial"/>
          <w:sz w:val="20"/>
          <w:szCs w:val="20"/>
        </w:rPr>
        <w:t xml:space="preserve">vergoeding van alle schade (directe en indirecte/gevolgschade) - derhalve ook de schade van de Opdrachtgever -, met uitzondering van </w:t>
      </w:r>
      <w:r w:rsidR="00A95C39" w:rsidRPr="00E23A6C">
        <w:rPr>
          <w:rFonts w:ascii="Arial" w:hAnsi="Arial" w:cs="Arial"/>
          <w:sz w:val="20"/>
          <w:szCs w:val="20"/>
        </w:rPr>
        <w:t>omzet- en/of winstderving, imagoschade, bedrijfsschade, productieverlies, waardevermindering van producten en kosten die gemoeid zouden zijn met de uitvoering van het object indien de opdracht vanaf de aanvang correct zou zijn uitgevoerd.</w:t>
      </w:r>
    </w:p>
    <w:p w14:paraId="14E669AA" w14:textId="77777777" w:rsidR="004E40D8" w:rsidRPr="00E23A6C" w:rsidRDefault="004E40D8" w:rsidP="006C66C1">
      <w:pPr>
        <w:spacing w:after="0" w:line="276" w:lineRule="auto"/>
        <w:jc w:val="both"/>
        <w:rPr>
          <w:rFonts w:ascii="Arial" w:hAnsi="Arial" w:cs="Arial"/>
          <w:sz w:val="20"/>
          <w:szCs w:val="20"/>
        </w:rPr>
      </w:pPr>
    </w:p>
    <w:p w14:paraId="558A2F71" w14:textId="77777777" w:rsidR="002555B1" w:rsidRPr="00E23A6C" w:rsidRDefault="004E40D8" w:rsidP="006C66C1">
      <w:pPr>
        <w:spacing w:after="0" w:line="276" w:lineRule="auto"/>
        <w:jc w:val="both"/>
        <w:rPr>
          <w:rFonts w:ascii="Arial" w:hAnsi="Arial" w:cs="Arial"/>
          <w:sz w:val="20"/>
          <w:szCs w:val="20"/>
        </w:rPr>
      </w:pPr>
      <w:r w:rsidRPr="00E23A6C">
        <w:rPr>
          <w:rFonts w:ascii="Arial" w:hAnsi="Arial" w:cs="Arial"/>
          <w:sz w:val="20"/>
          <w:szCs w:val="20"/>
        </w:rPr>
        <w:t>Artikel 14 lid 2 is niet van toepassing</w:t>
      </w:r>
    </w:p>
    <w:p w14:paraId="20866421" w14:textId="77777777" w:rsidR="002555B1" w:rsidRDefault="002555B1" w:rsidP="006C66C1">
      <w:pPr>
        <w:spacing w:after="0" w:line="276" w:lineRule="auto"/>
        <w:jc w:val="both"/>
        <w:rPr>
          <w:rFonts w:ascii="Arial" w:hAnsi="Arial" w:cs="Arial"/>
          <w:sz w:val="20"/>
          <w:szCs w:val="20"/>
        </w:rPr>
      </w:pPr>
    </w:p>
    <w:p w14:paraId="5E28F035" w14:textId="453A83DF"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aanvulling op artikel 14 lid 7 geldt dat Adviseur aansprakelijk is voor het bedrag aan eigen risico van de CAR-verzekering of een vergelijkbare verzekering, mocht de schade door een dergelijke </w:t>
      </w:r>
    </w:p>
    <w:p w14:paraId="6394195D" w14:textId="77777777" w:rsidR="004E40D8" w:rsidRDefault="004E40D8" w:rsidP="006C66C1">
      <w:pPr>
        <w:spacing w:after="0" w:line="276" w:lineRule="auto"/>
        <w:jc w:val="both"/>
        <w:rPr>
          <w:rFonts w:ascii="Arial" w:hAnsi="Arial" w:cs="Arial"/>
          <w:sz w:val="20"/>
          <w:szCs w:val="20"/>
        </w:rPr>
      </w:pPr>
      <w:r w:rsidRPr="001D58BA">
        <w:rPr>
          <w:rFonts w:ascii="Arial" w:hAnsi="Arial" w:cs="Arial"/>
          <w:sz w:val="20"/>
          <w:szCs w:val="20"/>
        </w:rPr>
        <w:lastRenderedPageBreak/>
        <w:t>verzekering worden gedekt.</w:t>
      </w:r>
    </w:p>
    <w:p w14:paraId="77B1E94F" w14:textId="77777777" w:rsidR="002555B1" w:rsidRPr="001D58BA" w:rsidRDefault="002555B1" w:rsidP="006C66C1">
      <w:pPr>
        <w:spacing w:after="0" w:line="276" w:lineRule="auto"/>
        <w:jc w:val="both"/>
        <w:rPr>
          <w:rFonts w:ascii="Arial" w:hAnsi="Arial" w:cs="Arial"/>
          <w:sz w:val="20"/>
          <w:szCs w:val="20"/>
        </w:rPr>
      </w:pPr>
    </w:p>
    <w:p w14:paraId="1B6C868C" w14:textId="3C8FDCA7" w:rsidR="004E40D8"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afwijking van artikel 15 leden 1 tot en met 3 geldt dat de door Adviseur te vergoeden schade per opdracht is beperkt tot het bedrag van maximaal € 2.500.000,--. </w:t>
      </w:r>
    </w:p>
    <w:p w14:paraId="4BA01642" w14:textId="77777777" w:rsidR="002555B1" w:rsidRPr="001D58BA" w:rsidRDefault="002555B1" w:rsidP="006C66C1">
      <w:pPr>
        <w:spacing w:after="0" w:line="276" w:lineRule="auto"/>
        <w:jc w:val="both"/>
        <w:rPr>
          <w:rFonts w:ascii="Arial" w:hAnsi="Arial" w:cs="Arial"/>
          <w:sz w:val="20"/>
          <w:szCs w:val="20"/>
        </w:rPr>
      </w:pPr>
    </w:p>
    <w:p w14:paraId="1AFED65E" w14:textId="34784669"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In afwijking van artikel 16 lid 1 geldt dat de aansprakelijkheid van Adviseur vervalt door verloop van tien jaren vanaf de dag waarop de opdracht door voltooiing of opzegging is geëindigd.</w:t>
      </w:r>
    </w:p>
    <w:p w14:paraId="5B547801" w14:textId="77777777" w:rsidR="002555B1" w:rsidRDefault="002555B1" w:rsidP="006C66C1">
      <w:pPr>
        <w:spacing w:after="0" w:line="276" w:lineRule="auto"/>
        <w:jc w:val="both"/>
        <w:rPr>
          <w:rFonts w:ascii="Arial" w:hAnsi="Arial" w:cs="Arial"/>
          <w:sz w:val="20"/>
          <w:szCs w:val="20"/>
        </w:rPr>
      </w:pPr>
    </w:p>
    <w:p w14:paraId="0FEA94D8" w14:textId="3E161895"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In afwijking van artikel 16 lid 4 geldt dat de rechtsvordering uit hoofde van een toerekenbare tekortkoming vervalt in ieder geval na verloop van tien jaren vanaf de dag waarop de opdracht door voltooiing of opzegging is geëindigd. De rechtsvordering die na deze termijn wordt ingesteld is niet ontvankelijk.</w:t>
      </w:r>
    </w:p>
    <w:p w14:paraId="189F748B" w14:textId="77777777" w:rsidR="002555B1" w:rsidRDefault="002555B1" w:rsidP="006C66C1">
      <w:pPr>
        <w:spacing w:after="0" w:line="276" w:lineRule="auto"/>
        <w:jc w:val="both"/>
        <w:rPr>
          <w:rFonts w:ascii="Arial" w:hAnsi="Arial" w:cs="Arial"/>
          <w:sz w:val="20"/>
          <w:szCs w:val="20"/>
        </w:rPr>
      </w:pPr>
    </w:p>
    <w:p w14:paraId="46F58629" w14:textId="51EB615A"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In aanvulling op artikel 17 lid 1 geldt dat dit een beroep van Opdrachtgever op verrekening onverlet laat.</w:t>
      </w:r>
    </w:p>
    <w:p w14:paraId="23DE8A51" w14:textId="77777777" w:rsidR="002555B1" w:rsidRDefault="002555B1" w:rsidP="006C66C1">
      <w:pPr>
        <w:spacing w:after="0" w:line="276" w:lineRule="auto"/>
        <w:jc w:val="both"/>
        <w:rPr>
          <w:rFonts w:ascii="Arial" w:hAnsi="Arial" w:cs="Arial"/>
          <w:b/>
          <w:bCs/>
          <w:sz w:val="20"/>
          <w:szCs w:val="20"/>
        </w:rPr>
      </w:pPr>
    </w:p>
    <w:p w14:paraId="5428B9FF" w14:textId="70E1DCBF"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7: vertraging, onderbreking en gevolgen daarvan</w:t>
      </w:r>
    </w:p>
    <w:p w14:paraId="38A2EF2A" w14:textId="734C34D8"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In aanvulling op artikel 19 lid 1 geldt dat Adviseur ook aan Opdrachtgever schriftelijk dient mee te delen wanneer hij een vertraging voorziet en welke maatregelen hij gaat nemen om de vertraging zo veel als mogelijk te beperken.</w:t>
      </w:r>
    </w:p>
    <w:p w14:paraId="12A05909" w14:textId="77777777" w:rsidR="002555B1" w:rsidRDefault="002555B1" w:rsidP="006C66C1">
      <w:pPr>
        <w:spacing w:after="0" w:line="276" w:lineRule="auto"/>
        <w:jc w:val="both"/>
        <w:rPr>
          <w:rFonts w:ascii="Arial" w:hAnsi="Arial" w:cs="Arial"/>
          <w:b/>
          <w:bCs/>
          <w:sz w:val="20"/>
          <w:szCs w:val="20"/>
        </w:rPr>
      </w:pPr>
    </w:p>
    <w:p w14:paraId="5DBDE07E" w14:textId="2B6D13E1"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8: bepalingen van toepassing op de opzegging van de opdracht</w:t>
      </w:r>
    </w:p>
    <w:p w14:paraId="172981F2" w14:textId="1BE43ADA"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In afwijking van artikel 22 geldt dat buiten de in deze regeling en de Basisopdracht genoemde opzeggingsgronden ontbinding van de tussen Partijen gesloten opdracht niet is uitgesloten.</w:t>
      </w:r>
    </w:p>
    <w:p w14:paraId="6F78591B" w14:textId="77777777" w:rsidR="002555B1" w:rsidRDefault="002555B1" w:rsidP="006C66C1">
      <w:pPr>
        <w:spacing w:after="0" w:line="276" w:lineRule="auto"/>
        <w:jc w:val="both"/>
        <w:rPr>
          <w:rFonts w:ascii="Arial" w:hAnsi="Arial" w:cs="Arial"/>
          <w:b/>
          <w:bCs/>
          <w:sz w:val="20"/>
          <w:szCs w:val="20"/>
        </w:rPr>
      </w:pPr>
    </w:p>
    <w:p w14:paraId="2E6AEC38" w14:textId="2C846DE3"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10: gevolgen van de opzegging van de opdracht</w:t>
      </w:r>
    </w:p>
    <w:p w14:paraId="0B692209" w14:textId="3B06174F"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aanvulling op de artikelen 34 leden 1 en 2, 40 leden 1 en 2, 42 leden 1 en 2 geldt dat Adviseur zijn toestemming niet op onredelijke gronden zal weigeren en dat de eventuele voorwaarden </w:t>
      </w:r>
      <w:r w:rsidR="002555B1">
        <w:rPr>
          <w:rFonts w:ascii="Arial" w:hAnsi="Arial" w:cs="Arial"/>
          <w:sz w:val="20"/>
          <w:szCs w:val="20"/>
        </w:rPr>
        <w:t>p</w:t>
      </w:r>
      <w:r w:rsidRPr="001D58BA">
        <w:rPr>
          <w:rFonts w:ascii="Arial" w:hAnsi="Arial" w:cs="Arial"/>
          <w:sz w:val="20"/>
          <w:szCs w:val="20"/>
        </w:rPr>
        <w:t>roportioneel zijn.</w:t>
      </w:r>
    </w:p>
    <w:p w14:paraId="3BD81D41" w14:textId="77777777" w:rsidR="002555B1" w:rsidRDefault="002555B1" w:rsidP="006C66C1">
      <w:pPr>
        <w:spacing w:after="0" w:line="276" w:lineRule="auto"/>
        <w:jc w:val="both"/>
        <w:rPr>
          <w:rFonts w:ascii="Arial" w:hAnsi="Arial" w:cs="Arial"/>
          <w:b/>
          <w:bCs/>
          <w:sz w:val="20"/>
          <w:szCs w:val="20"/>
        </w:rPr>
      </w:pPr>
    </w:p>
    <w:p w14:paraId="5B4B77AD" w14:textId="76FF5120" w:rsidR="004E40D8" w:rsidRPr="000F2F75" w:rsidRDefault="004E40D8" w:rsidP="006C66C1">
      <w:pPr>
        <w:spacing w:after="0" w:line="276" w:lineRule="auto"/>
        <w:jc w:val="both"/>
        <w:rPr>
          <w:rFonts w:ascii="Arial" w:hAnsi="Arial" w:cs="Arial"/>
          <w:b/>
          <w:bCs/>
          <w:sz w:val="20"/>
          <w:szCs w:val="20"/>
        </w:rPr>
      </w:pPr>
      <w:r w:rsidRPr="000F2F75">
        <w:rPr>
          <w:rFonts w:ascii="Arial" w:hAnsi="Arial" w:cs="Arial"/>
          <w:b/>
          <w:bCs/>
          <w:sz w:val="20"/>
          <w:szCs w:val="20"/>
        </w:rPr>
        <w:t>Hoofdstuk 11: eigendom en gebruik van documenten - rechten van Adviseur op het advies</w:t>
      </w:r>
    </w:p>
    <w:p w14:paraId="6C8DB720" w14:textId="70E2180C" w:rsidR="004E40D8"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aanvulling op 46 lid 2c geldt dat na oplevering Adviseur enkel het recht heeft zich te verzetten tegen wijziging van het werk voor zover er sprake is van een inbreuk op zijn persoonlijkheidsrecht. </w:t>
      </w:r>
    </w:p>
    <w:p w14:paraId="1754F6A5" w14:textId="77777777" w:rsidR="002555B1" w:rsidRPr="001D58BA" w:rsidRDefault="002555B1" w:rsidP="006C66C1">
      <w:pPr>
        <w:spacing w:after="0" w:line="276" w:lineRule="auto"/>
        <w:jc w:val="both"/>
        <w:rPr>
          <w:rFonts w:ascii="Arial" w:hAnsi="Arial" w:cs="Arial"/>
          <w:sz w:val="20"/>
          <w:szCs w:val="20"/>
        </w:rPr>
      </w:pPr>
    </w:p>
    <w:p w14:paraId="00AA7B78" w14:textId="4305B958" w:rsidR="004E40D8" w:rsidRPr="001D58BA" w:rsidRDefault="004E40D8" w:rsidP="006C66C1">
      <w:pPr>
        <w:spacing w:after="0" w:line="276" w:lineRule="auto"/>
        <w:jc w:val="both"/>
        <w:rPr>
          <w:rFonts w:ascii="Arial" w:hAnsi="Arial" w:cs="Arial"/>
          <w:sz w:val="20"/>
          <w:szCs w:val="20"/>
        </w:rPr>
      </w:pPr>
      <w:r w:rsidRPr="001D58BA">
        <w:rPr>
          <w:rFonts w:ascii="Arial" w:hAnsi="Arial" w:cs="Arial"/>
          <w:sz w:val="20"/>
          <w:szCs w:val="20"/>
        </w:rPr>
        <w:t xml:space="preserve">In afwijking van artikel 47 lid 1 geldt dat Adviseur verplicht is de door Opdrachtgever voorgestelde aanpassingen van de ontwerpen en/of bestekken, die passen binnen het Programma van Eisen en de financiële en </w:t>
      </w:r>
      <w:proofErr w:type="spellStart"/>
      <w:r w:rsidRPr="001D58BA">
        <w:rPr>
          <w:rFonts w:ascii="Arial" w:hAnsi="Arial" w:cs="Arial"/>
          <w:sz w:val="20"/>
          <w:szCs w:val="20"/>
        </w:rPr>
        <w:t>planningstechnische</w:t>
      </w:r>
      <w:proofErr w:type="spellEnd"/>
      <w:r w:rsidRPr="001D58BA">
        <w:rPr>
          <w:rFonts w:ascii="Arial" w:hAnsi="Arial" w:cs="Arial"/>
          <w:sz w:val="20"/>
          <w:szCs w:val="20"/>
        </w:rPr>
        <w:t xml:space="preserve"> uitgangspunten, en die worden voorgesteld wegens gegronde redenen zoals maakbaarheid, voldoen aan branchevoorschriften en beschikbaarheid van producten, onverkort na te komen.</w:t>
      </w:r>
    </w:p>
    <w:p w14:paraId="3868F1E3" w14:textId="77777777" w:rsidR="001D58BA" w:rsidRPr="001D58BA" w:rsidRDefault="001D58BA" w:rsidP="006C66C1">
      <w:pPr>
        <w:spacing w:after="0" w:line="276" w:lineRule="auto"/>
        <w:jc w:val="both"/>
        <w:rPr>
          <w:rFonts w:ascii="Arial" w:hAnsi="Arial" w:cs="Arial"/>
          <w:sz w:val="20"/>
          <w:szCs w:val="20"/>
        </w:rPr>
      </w:pPr>
    </w:p>
    <w:p w14:paraId="4757CBBD" w14:textId="77777777" w:rsidR="001D58BA" w:rsidRPr="000F2F75" w:rsidRDefault="001D58BA" w:rsidP="006C66C1">
      <w:pPr>
        <w:spacing w:after="0" w:line="276" w:lineRule="auto"/>
        <w:jc w:val="both"/>
        <w:rPr>
          <w:rFonts w:ascii="Arial" w:hAnsi="Arial" w:cs="Arial"/>
          <w:b/>
          <w:bCs/>
          <w:sz w:val="20"/>
          <w:szCs w:val="20"/>
        </w:rPr>
      </w:pPr>
      <w:r w:rsidRPr="000F2F75">
        <w:rPr>
          <w:rFonts w:ascii="Arial" w:hAnsi="Arial" w:cs="Arial"/>
          <w:b/>
          <w:bCs/>
          <w:sz w:val="20"/>
          <w:szCs w:val="20"/>
        </w:rPr>
        <w:t>Hoofdstuk 12: financiële bepalingen</w:t>
      </w:r>
    </w:p>
    <w:p w14:paraId="02B32908" w14:textId="75B6A9AE" w:rsidR="001D58BA" w:rsidRPr="001D58BA" w:rsidRDefault="001D58BA" w:rsidP="006C66C1">
      <w:pPr>
        <w:spacing w:after="0" w:line="276" w:lineRule="auto"/>
        <w:jc w:val="both"/>
        <w:rPr>
          <w:rFonts w:ascii="Arial" w:hAnsi="Arial" w:cs="Arial"/>
          <w:sz w:val="20"/>
          <w:szCs w:val="20"/>
        </w:rPr>
      </w:pPr>
      <w:r w:rsidRPr="001D58BA">
        <w:rPr>
          <w:rFonts w:ascii="Arial" w:hAnsi="Arial" w:cs="Arial"/>
          <w:sz w:val="20"/>
          <w:szCs w:val="20"/>
        </w:rPr>
        <w:t>In afwijking van artikel 56 lid 5 zal een onjuiste declaratie, ook wanneer slechts een onderdeel onjuist is, per ommegaande met vermelding van de onjuistheid geretourneerd worden. Deze declaratie wordt als niet ingediend beschouwd</w:t>
      </w:r>
    </w:p>
    <w:sectPr w:rsidR="001D58BA" w:rsidRPr="001D58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D2F9F"/>
    <w:multiLevelType w:val="hybridMultilevel"/>
    <w:tmpl w:val="2C52B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591A58"/>
    <w:multiLevelType w:val="hybridMultilevel"/>
    <w:tmpl w:val="414A0A1A"/>
    <w:lvl w:ilvl="0" w:tplc="3A4CCA3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8239654">
    <w:abstractNumId w:val="0"/>
  </w:num>
  <w:num w:numId="2" w16cid:durableId="1855150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8DBD95"/>
    <w:rsid w:val="000F2F75"/>
    <w:rsid w:val="001D58BA"/>
    <w:rsid w:val="002555B1"/>
    <w:rsid w:val="002A53A3"/>
    <w:rsid w:val="002E3F15"/>
    <w:rsid w:val="004E40D8"/>
    <w:rsid w:val="006C66C1"/>
    <w:rsid w:val="00900ABD"/>
    <w:rsid w:val="009C3899"/>
    <w:rsid w:val="00A73380"/>
    <w:rsid w:val="00A95C39"/>
    <w:rsid w:val="00E23A6C"/>
    <w:rsid w:val="00E87462"/>
    <w:rsid w:val="00F41D8E"/>
    <w:rsid w:val="108DB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104D"/>
  <w15:chartTrackingRefBased/>
  <w15:docId w15:val="{DAECBB56-8B3E-4A69-90ED-03CA1B62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F2F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A0219E7DAA64EA6AB55DDE1AF6075" ma:contentTypeVersion="10" ma:contentTypeDescription="Een nieuw document maken." ma:contentTypeScope="" ma:versionID="8da5808ad93df25a2186aabb36f51039">
  <xsd:schema xmlns:xsd="http://www.w3.org/2001/XMLSchema" xmlns:xs="http://www.w3.org/2001/XMLSchema" xmlns:p="http://schemas.microsoft.com/office/2006/metadata/properties" xmlns:ns2="1b7250ae-8e1f-4235-87c9-e2adfaed7c4d" xmlns:ns3="64d966d4-acb3-4794-9b0d-2b50a0aa3324" targetNamespace="http://schemas.microsoft.com/office/2006/metadata/properties" ma:root="true" ma:fieldsID="3e7c39eef8189a305b64b0dcc780528c" ns2:_="" ns3:_="">
    <xsd:import namespace="1b7250ae-8e1f-4235-87c9-e2adfaed7c4d"/>
    <xsd:import namespace="64d966d4-acb3-4794-9b0d-2b50a0aa33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0ae-8e1f-4235-87c9-e2adfaed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d966d4-acb3-4794-9b0d-2b50a0aa33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243008-ded0-4bbc-a58d-db2930b01ecf}" ma:internalName="TaxCatchAll" ma:showField="CatchAllData" ma:web="64d966d4-acb3-4794-9b0d-2b50a0aa3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7250ae-8e1f-4235-87c9-e2adfaed7c4d">
      <Terms xmlns="http://schemas.microsoft.com/office/infopath/2007/PartnerControls"/>
    </lcf76f155ced4ddcb4097134ff3c332f>
    <TaxCatchAll xmlns="64d966d4-acb3-4794-9b0d-2b50a0aa3324" xsi:nil="true"/>
  </documentManagement>
</p:properties>
</file>

<file path=customXml/itemProps1.xml><?xml version="1.0" encoding="utf-8"?>
<ds:datastoreItem xmlns:ds="http://schemas.openxmlformats.org/officeDocument/2006/customXml" ds:itemID="{240B8AC1-E8F0-43EF-B6E8-FB3C905B7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0ae-8e1f-4235-87c9-e2adfaed7c4d"/>
    <ds:schemaRef ds:uri="64d966d4-acb3-4794-9b0d-2b50a0aa3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6299AB-A62F-43D4-B472-010B20B3AF4E}">
  <ds:schemaRefs>
    <ds:schemaRef ds:uri="http://schemas.microsoft.com/sharepoint/v3/contenttype/forms"/>
  </ds:schemaRefs>
</ds:datastoreItem>
</file>

<file path=customXml/itemProps3.xml><?xml version="1.0" encoding="utf-8"?>
<ds:datastoreItem xmlns:ds="http://schemas.openxmlformats.org/officeDocument/2006/customXml" ds:itemID="{F24B31AA-B318-41DC-9620-B8EFB8B35763}">
  <ds:schemaRefs>
    <ds:schemaRef ds:uri="http://purl.org/dc/elements/1.1/"/>
    <ds:schemaRef ds:uri="http://purl.org/dc/terms/"/>
    <ds:schemaRef ds:uri="1b7250ae-8e1f-4235-87c9-e2adfaed7c4d"/>
    <ds:schemaRef ds:uri="http://schemas.microsoft.com/office/2006/metadata/properties"/>
    <ds:schemaRef ds:uri="64d966d4-acb3-4794-9b0d-2b50a0aa3324"/>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864</Words>
  <Characters>4758</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Leegwater | Younggroup</dc:creator>
  <cp:keywords/>
  <dc:description/>
  <cp:lastModifiedBy>Ilse Leegwater | Younggroup</cp:lastModifiedBy>
  <cp:revision>10</cp:revision>
  <dcterms:created xsi:type="dcterms:W3CDTF">2025-06-19T07:40:00Z</dcterms:created>
  <dcterms:modified xsi:type="dcterms:W3CDTF">2025-09-05T09:54:00Z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0x01010077DA0219E7DAA64EA6AB55DDE1AF6075</vt:lpwstr>
  </property>
  <property fmtid="{D5CDD505-2E9C-101B-9397-08002B2CF9AE}" pid="3" name="MediaServiceImageTags">
    <vt:lpwstr/>
  </property>
</Properties>
</file>