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6EF4A2" w14:textId="77777777" w:rsidR="00FF4DDE" w:rsidRPr="006B004E" w:rsidRDefault="00555E81" w:rsidP="00BF49A8">
      <w:pPr>
        <w:pStyle w:val="Kop7"/>
        <w:spacing w:before="360" w:line="240" w:lineRule="auto"/>
        <w:ind w:left="1260" w:hanging="1260"/>
        <w:rPr>
          <w:b/>
          <w:bCs/>
          <w:sz w:val="32"/>
          <w:szCs w:val="32"/>
          <w:lang w:val="en-GB"/>
        </w:rPr>
      </w:pPr>
      <w:r w:rsidRPr="00555E81">
        <w:rPr>
          <w:b/>
          <w:bCs/>
          <w:sz w:val="32"/>
          <w:szCs w:val="32"/>
          <w:lang w:val="en-GB"/>
        </w:rPr>
        <w:t>Summary of Additional Information and Changes</w:t>
      </w:r>
      <w:r>
        <w:rPr>
          <w:b/>
          <w:bCs/>
          <w:sz w:val="32"/>
          <w:szCs w:val="32"/>
          <w:lang w:val="en-GB"/>
        </w:rPr>
        <w:t xml:space="preserve"> </w:t>
      </w:r>
      <w:r w:rsidR="00F62FC6">
        <w:rPr>
          <w:b/>
          <w:bCs/>
          <w:sz w:val="32"/>
          <w:szCs w:val="32"/>
          <w:lang w:val="en-GB"/>
        </w:rPr>
        <w:t>2</w:t>
      </w:r>
    </w:p>
    <w:p w14:paraId="3DABE968" w14:textId="77777777" w:rsidR="00FF4DDE" w:rsidRPr="006B004E" w:rsidRDefault="00FF4DDE" w:rsidP="00BF49A8">
      <w:pPr>
        <w:pStyle w:val="formulierstandaard"/>
        <w:spacing w:before="120" w:after="0" w:line="240" w:lineRule="auto"/>
        <w:rPr>
          <w:lang w:val="en-GB"/>
        </w:rPr>
      </w:pPr>
    </w:p>
    <w:p w14:paraId="07260C9B" w14:textId="1DC7325C" w:rsidR="00555E81" w:rsidRDefault="00555E81" w:rsidP="00BF49A8">
      <w:pPr>
        <w:spacing w:line="240" w:lineRule="auto"/>
        <w:rPr>
          <w:lang w:val="en-GB"/>
        </w:rPr>
      </w:pPr>
      <w:r>
        <w:rPr>
          <w:lang w:val="en-GB"/>
        </w:rPr>
        <w:t xml:space="preserve">The Hague, </w:t>
      </w:r>
      <w:r w:rsidR="00F62FC6">
        <w:rPr>
          <w:lang w:val="en-GB"/>
        </w:rPr>
        <w:t xml:space="preserve">August </w:t>
      </w:r>
      <w:r w:rsidR="00AA7D95">
        <w:rPr>
          <w:lang w:val="en-GB"/>
        </w:rPr>
        <w:t>13</w:t>
      </w:r>
      <w:r w:rsidR="00AA7D95" w:rsidRPr="00AA7D95">
        <w:rPr>
          <w:vertAlign w:val="superscript"/>
          <w:lang w:val="en-GB"/>
        </w:rPr>
        <w:t>th</w:t>
      </w:r>
      <w:r>
        <w:rPr>
          <w:lang w:val="en-GB"/>
        </w:rPr>
        <w:t>, 2014.</w:t>
      </w:r>
    </w:p>
    <w:p w14:paraId="59BE5745" w14:textId="77777777" w:rsidR="00FF4DDE" w:rsidRDefault="00555E81" w:rsidP="00BF49A8">
      <w:pPr>
        <w:spacing w:line="240" w:lineRule="auto"/>
        <w:rPr>
          <w:lang w:val="en-GB"/>
        </w:rPr>
      </w:pPr>
      <w:r>
        <w:rPr>
          <w:lang w:val="en-GB"/>
        </w:rPr>
        <w:t xml:space="preserve">This </w:t>
      </w:r>
      <w:r w:rsidRPr="00555E81">
        <w:rPr>
          <w:lang w:val="en-GB"/>
        </w:rPr>
        <w:t>Summary of Additional Information and Changes</w:t>
      </w:r>
      <w:r>
        <w:rPr>
          <w:lang w:val="en-GB"/>
        </w:rPr>
        <w:t xml:space="preserve"> (SAIC</w:t>
      </w:r>
      <w:r w:rsidR="00F62FC6">
        <w:rPr>
          <w:lang w:val="en-GB"/>
        </w:rPr>
        <w:t>2</w:t>
      </w:r>
      <w:r>
        <w:rPr>
          <w:lang w:val="en-GB"/>
        </w:rPr>
        <w:t xml:space="preserve">) lists the questions raised bij potential Tenderers and the respective answers from Europeana. This document is thereby part of the combined set of Tender documents for the European tender for </w:t>
      </w:r>
      <w:r w:rsidRPr="00D809EA">
        <w:rPr>
          <w:rFonts w:asciiTheme="minorHAnsi" w:hAnsiTheme="minorHAnsi"/>
          <w:lang w:val="en-GB"/>
        </w:rPr>
        <w:t>Hosting services for the europeana.org website</w:t>
      </w:r>
      <w:r>
        <w:rPr>
          <w:rFonts w:asciiTheme="minorHAnsi" w:hAnsiTheme="minorHAnsi"/>
          <w:lang w:val="en-GB"/>
        </w:rPr>
        <w:t xml:space="preserve"> (TenderNed code: </w:t>
      </w:r>
      <w:r>
        <w:rPr>
          <w:rFonts w:asciiTheme="minorHAnsi" w:hAnsiTheme="minorHAnsi" w:cs="Arial"/>
          <w:lang w:val="en-GB"/>
        </w:rPr>
        <w:t>43680)</w:t>
      </w:r>
      <w:r>
        <w:rPr>
          <w:rFonts w:asciiTheme="minorHAnsi" w:hAnsiTheme="minorHAnsi"/>
          <w:lang w:val="en-GB"/>
        </w:rPr>
        <w:t>.</w:t>
      </w:r>
      <w:r w:rsidR="00B77067">
        <w:rPr>
          <w:lang w:val="en-GB"/>
        </w:rPr>
        <w:t xml:space="preserve"> </w:t>
      </w:r>
      <w:r>
        <w:rPr>
          <w:lang w:val="en-GB"/>
        </w:rPr>
        <w:t xml:space="preserve">When applicable, other remaining questions </w:t>
      </w:r>
      <w:r w:rsidR="00072899">
        <w:rPr>
          <w:lang w:val="en-GB"/>
        </w:rPr>
        <w:t xml:space="preserve">can be submitted by e-mail to </w:t>
      </w:r>
      <w:hyperlink r:id="rId9" w:history="1">
        <w:r w:rsidR="00072899" w:rsidRPr="00147E2D">
          <w:rPr>
            <w:rStyle w:val="Hyperlink"/>
            <w:lang w:val="en-GB"/>
          </w:rPr>
          <w:t>Europeana-tender@vka.nl</w:t>
        </w:r>
      </w:hyperlink>
      <w:r>
        <w:rPr>
          <w:lang w:val="en-GB"/>
        </w:rPr>
        <w:t>, using the question form that can be found in the tender documentation.</w:t>
      </w:r>
    </w:p>
    <w:p w14:paraId="4B6883F8" w14:textId="77777777" w:rsidR="00AA7D95" w:rsidRDefault="00AA7D95" w:rsidP="00BF49A8">
      <w:pPr>
        <w:spacing w:line="240" w:lineRule="auto"/>
        <w:rPr>
          <w:lang w:val="en-GB"/>
        </w:rPr>
      </w:pPr>
    </w:p>
    <w:p w14:paraId="7DE3A3AC" w14:textId="4CFFBCB8" w:rsidR="00AA7D95" w:rsidRPr="00AA7D95" w:rsidRDefault="00AA7D95" w:rsidP="00BF49A8">
      <w:pPr>
        <w:spacing w:line="240" w:lineRule="auto"/>
        <w:rPr>
          <w:b/>
          <w:lang w:val="en-GB"/>
        </w:rPr>
      </w:pPr>
      <w:r w:rsidRPr="00AA7D95">
        <w:rPr>
          <w:b/>
          <w:lang w:val="en-GB"/>
        </w:rPr>
        <w:t>Please note that the deadline for the submission of your Tender has been prolonged</w:t>
      </w:r>
      <w:r w:rsidRPr="00AA7D95">
        <w:rPr>
          <w:b/>
          <w:lang w:val="en-GB"/>
        </w:rPr>
        <w:t>, providing you with an extra two weeks</w:t>
      </w:r>
      <w:bookmarkStart w:id="0" w:name="_GoBack"/>
      <w:bookmarkEnd w:id="0"/>
      <w:r w:rsidRPr="00AA7D95">
        <w:rPr>
          <w:b/>
          <w:lang w:val="en-GB"/>
        </w:rPr>
        <w:t xml:space="preserve">. The new deadline is </w:t>
      </w:r>
      <w:r>
        <w:rPr>
          <w:b/>
          <w:lang w:val="en-GB"/>
        </w:rPr>
        <w:t xml:space="preserve">Monday </w:t>
      </w:r>
      <w:r w:rsidRPr="00AA7D95">
        <w:rPr>
          <w:b/>
          <w:lang w:val="en-GB"/>
        </w:rPr>
        <w:t>September 1</w:t>
      </w:r>
      <w:r w:rsidRPr="00AA7D95">
        <w:rPr>
          <w:b/>
          <w:vertAlign w:val="superscript"/>
          <w:lang w:val="en-GB"/>
        </w:rPr>
        <w:t>st</w:t>
      </w:r>
      <w:r>
        <w:rPr>
          <w:b/>
          <w:lang w:val="en-GB"/>
        </w:rPr>
        <w:t xml:space="preserve"> at</w:t>
      </w:r>
      <w:r w:rsidRPr="00AA7D95">
        <w:rPr>
          <w:b/>
          <w:lang w:val="en-GB"/>
        </w:rPr>
        <w:t xml:space="preserve"> 14:00 hours.</w:t>
      </w:r>
    </w:p>
    <w:p w14:paraId="7626DE69" w14:textId="77777777" w:rsidR="00D12969" w:rsidRPr="006B004E" w:rsidRDefault="00D12969" w:rsidP="00BF49A8">
      <w:pPr>
        <w:spacing w:line="240" w:lineRule="auto"/>
        <w:rPr>
          <w:lang w:val="en-GB"/>
        </w:rPr>
      </w:pPr>
    </w:p>
    <w:tbl>
      <w:tblPr>
        <w:tblW w:w="10065" w:type="dxa"/>
        <w:tblInd w:w="-134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851"/>
        <w:gridCol w:w="1140"/>
        <w:gridCol w:w="1843"/>
        <w:gridCol w:w="3113"/>
        <w:gridCol w:w="3118"/>
      </w:tblGrid>
      <w:tr w:rsidR="00555E81" w:rsidRPr="006B004E" w14:paraId="5277AF6C" w14:textId="77777777" w:rsidTr="0033697A">
        <w:trPr>
          <w:cantSplit/>
          <w:tblHeader/>
        </w:trPr>
        <w:tc>
          <w:tcPr>
            <w:tcW w:w="851" w:type="dxa"/>
            <w:tcBorders>
              <w:top w:val="double" w:sz="4" w:space="0" w:color="auto"/>
              <w:bottom w:val="double" w:sz="4" w:space="0" w:color="auto"/>
            </w:tcBorders>
            <w:shd w:val="clear" w:color="auto" w:fill="D9D9D9"/>
          </w:tcPr>
          <w:p w14:paraId="4C2F5502" w14:textId="77777777" w:rsidR="00555E81" w:rsidRPr="006B004E" w:rsidRDefault="00555E81" w:rsidP="00BF49A8">
            <w:pPr>
              <w:pStyle w:val="Kop6"/>
              <w:spacing w:before="0" w:after="0" w:line="240" w:lineRule="auto"/>
              <w:ind w:left="0" w:firstLine="0"/>
              <w:rPr>
                <w:sz w:val="18"/>
                <w:szCs w:val="18"/>
                <w:lang w:val="en-GB"/>
              </w:rPr>
            </w:pPr>
            <w:r>
              <w:rPr>
                <w:sz w:val="18"/>
                <w:szCs w:val="18"/>
                <w:lang w:val="en-GB"/>
              </w:rPr>
              <w:t>Number</w:t>
            </w:r>
          </w:p>
        </w:tc>
        <w:tc>
          <w:tcPr>
            <w:tcW w:w="1140" w:type="dxa"/>
            <w:tcBorders>
              <w:top w:val="double" w:sz="4" w:space="0" w:color="auto"/>
              <w:bottom w:val="double" w:sz="4" w:space="0" w:color="auto"/>
            </w:tcBorders>
            <w:shd w:val="clear" w:color="auto" w:fill="D9D9D9"/>
          </w:tcPr>
          <w:p w14:paraId="4EDD1919" w14:textId="77777777" w:rsidR="00555E81" w:rsidRPr="006B004E" w:rsidRDefault="00555E81" w:rsidP="00BF49A8">
            <w:pPr>
              <w:pStyle w:val="Kop6"/>
              <w:spacing w:before="0" w:after="0" w:line="240" w:lineRule="auto"/>
              <w:ind w:left="0" w:firstLine="0"/>
              <w:rPr>
                <w:sz w:val="18"/>
                <w:szCs w:val="18"/>
                <w:lang w:val="en-GB"/>
              </w:rPr>
            </w:pPr>
            <w:r>
              <w:rPr>
                <w:sz w:val="18"/>
                <w:szCs w:val="18"/>
                <w:lang w:val="en-GB"/>
              </w:rPr>
              <w:t>Keyword</w:t>
            </w:r>
          </w:p>
        </w:tc>
        <w:tc>
          <w:tcPr>
            <w:tcW w:w="1843" w:type="dxa"/>
            <w:tcBorders>
              <w:top w:val="double" w:sz="4" w:space="0" w:color="auto"/>
              <w:bottom w:val="double" w:sz="4" w:space="0" w:color="auto"/>
            </w:tcBorders>
            <w:shd w:val="clear" w:color="auto" w:fill="D9D9D9"/>
          </w:tcPr>
          <w:p w14:paraId="1318B917" w14:textId="77777777" w:rsidR="00555E81" w:rsidRPr="006B004E" w:rsidRDefault="00555E81" w:rsidP="00BF49A8">
            <w:pPr>
              <w:pStyle w:val="Kop6"/>
              <w:spacing w:before="0" w:after="0" w:line="240" w:lineRule="auto"/>
              <w:ind w:left="0" w:firstLine="0"/>
              <w:rPr>
                <w:sz w:val="18"/>
                <w:szCs w:val="18"/>
                <w:lang w:val="en-GB"/>
              </w:rPr>
            </w:pPr>
            <w:r>
              <w:rPr>
                <w:sz w:val="18"/>
                <w:szCs w:val="18"/>
                <w:lang w:val="en-GB"/>
              </w:rPr>
              <w:t>Document/Paragraph</w:t>
            </w:r>
          </w:p>
        </w:tc>
        <w:tc>
          <w:tcPr>
            <w:tcW w:w="3113" w:type="dxa"/>
            <w:tcBorders>
              <w:top w:val="double" w:sz="4" w:space="0" w:color="auto"/>
              <w:bottom w:val="double" w:sz="4" w:space="0" w:color="auto"/>
            </w:tcBorders>
            <w:shd w:val="clear" w:color="auto" w:fill="D9D9D9"/>
          </w:tcPr>
          <w:p w14:paraId="36815523" w14:textId="77777777" w:rsidR="00555E81" w:rsidRDefault="00555E81" w:rsidP="00BF49A8">
            <w:pPr>
              <w:pStyle w:val="Kop6"/>
              <w:spacing w:before="0" w:after="0" w:line="240" w:lineRule="auto"/>
              <w:ind w:left="0" w:firstLine="0"/>
              <w:rPr>
                <w:sz w:val="18"/>
                <w:szCs w:val="18"/>
                <w:lang w:val="en-GB"/>
              </w:rPr>
            </w:pPr>
            <w:r>
              <w:rPr>
                <w:sz w:val="18"/>
                <w:szCs w:val="18"/>
                <w:lang w:val="en-GB"/>
              </w:rPr>
              <w:t>Question</w:t>
            </w:r>
          </w:p>
        </w:tc>
        <w:tc>
          <w:tcPr>
            <w:tcW w:w="3118" w:type="dxa"/>
            <w:tcBorders>
              <w:top w:val="double" w:sz="4" w:space="0" w:color="auto"/>
              <w:bottom w:val="double" w:sz="4" w:space="0" w:color="auto"/>
            </w:tcBorders>
            <w:shd w:val="clear" w:color="auto" w:fill="D9D9D9"/>
          </w:tcPr>
          <w:p w14:paraId="1AABF8E2" w14:textId="77777777" w:rsidR="00555E81" w:rsidRDefault="00555E81" w:rsidP="00BF49A8">
            <w:pPr>
              <w:pStyle w:val="Kop6"/>
              <w:spacing w:before="0" w:after="0" w:line="240" w:lineRule="auto"/>
              <w:ind w:left="0" w:firstLine="0"/>
              <w:rPr>
                <w:sz w:val="18"/>
                <w:szCs w:val="18"/>
                <w:lang w:val="en-GB"/>
              </w:rPr>
            </w:pPr>
            <w:r>
              <w:rPr>
                <w:sz w:val="18"/>
                <w:szCs w:val="18"/>
                <w:lang w:val="en-GB"/>
              </w:rPr>
              <w:t>Answer</w:t>
            </w:r>
          </w:p>
        </w:tc>
      </w:tr>
      <w:tr w:rsidR="00CC1BE4" w:rsidRPr="00AA7D95" w14:paraId="5A0E37AD" w14:textId="77777777" w:rsidTr="0033697A">
        <w:trPr>
          <w:cantSplit/>
        </w:trPr>
        <w:tc>
          <w:tcPr>
            <w:tcW w:w="851" w:type="dxa"/>
          </w:tcPr>
          <w:p w14:paraId="54919A59" w14:textId="77777777" w:rsidR="00CC1BE4" w:rsidRDefault="00CC1BE4"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15</w:t>
            </w:r>
          </w:p>
        </w:tc>
        <w:tc>
          <w:tcPr>
            <w:tcW w:w="1140" w:type="dxa"/>
          </w:tcPr>
          <w:p w14:paraId="70DB398C" w14:textId="77777777" w:rsidR="00CC1BE4" w:rsidRPr="006B004E" w:rsidRDefault="00F62FC6" w:rsidP="00BF49A8">
            <w:pPr>
              <w:pStyle w:val="formulierstandaard"/>
              <w:spacing w:before="60" w:after="60" w:line="240" w:lineRule="auto"/>
              <w:ind w:left="0"/>
              <w:rPr>
                <w:rFonts w:ascii="Calibri" w:hAnsi="Calibri"/>
                <w:sz w:val="18"/>
                <w:szCs w:val="18"/>
                <w:lang w:val="en-GB"/>
              </w:rPr>
            </w:pPr>
            <w:r w:rsidRPr="00F62FC6">
              <w:rPr>
                <w:rFonts w:ascii="Calibri" w:hAnsi="Calibri"/>
                <w:sz w:val="18"/>
                <w:szCs w:val="18"/>
                <w:lang w:val="en-GB"/>
              </w:rPr>
              <w:t>Management / Level of support</w:t>
            </w:r>
          </w:p>
        </w:tc>
        <w:tc>
          <w:tcPr>
            <w:tcW w:w="1843" w:type="dxa"/>
          </w:tcPr>
          <w:p w14:paraId="253B9B4F" w14:textId="77777777" w:rsidR="00CC1BE4" w:rsidRPr="006B004E" w:rsidRDefault="00F62FC6"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General</w:t>
            </w:r>
          </w:p>
        </w:tc>
        <w:tc>
          <w:tcPr>
            <w:tcW w:w="3113" w:type="dxa"/>
          </w:tcPr>
          <w:p w14:paraId="7AC1EB74" w14:textId="77777777" w:rsidR="00CC1BE4" w:rsidRPr="006B004E" w:rsidRDefault="00F62FC6" w:rsidP="00BF49A8">
            <w:pPr>
              <w:pStyle w:val="formulierstandaard"/>
              <w:spacing w:before="60" w:after="60" w:line="240" w:lineRule="auto"/>
              <w:ind w:left="0"/>
              <w:rPr>
                <w:rFonts w:ascii="Calibri" w:hAnsi="Calibri"/>
                <w:sz w:val="18"/>
                <w:szCs w:val="18"/>
                <w:lang w:val="en-GB"/>
              </w:rPr>
            </w:pPr>
            <w:r w:rsidRPr="00F62FC6">
              <w:rPr>
                <w:rFonts w:ascii="Calibri" w:hAnsi="Calibri"/>
                <w:sz w:val="18"/>
                <w:szCs w:val="18"/>
                <w:lang w:val="en-GB"/>
              </w:rPr>
              <w:t>The requirement specification appears to touch on solutions covering IAAS, PAAS and SAAS. Can you clarify (and/or visualize) which level of supplier management you have in mind?</w:t>
            </w:r>
          </w:p>
        </w:tc>
        <w:tc>
          <w:tcPr>
            <w:tcW w:w="3118" w:type="dxa"/>
          </w:tcPr>
          <w:p w14:paraId="7C72C576" w14:textId="0AF41547" w:rsidR="00FE183B" w:rsidRPr="006B004E" w:rsidRDefault="00EA5EF3" w:rsidP="00BF49A8">
            <w:pPr>
              <w:pStyle w:val="formulierstandaard"/>
              <w:spacing w:before="60" w:after="60" w:line="240" w:lineRule="auto"/>
              <w:ind w:left="0"/>
              <w:rPr>
                <w:rFonts w:ascii="Calibri" w:hAnsi="Calibri"/>
                <w:sz w:val="18"/>
                <w:szCs w:val="18"/>
                <w:lang w:val="en-GB"/>
              </w:rPr>
            </w:pPr>
            <w:proofErr w:type="spellStart"/>
            <w:r w:rsidRPr="00EA5EF3">
              <w:rPr>
                <w:rFonts w:ascii="Calibri" w:hAnsi="Calibri"/>
                <w:sz w:val="18"/>
                <w:szCs w:val="18"/>
                <w:lang w:val="en-GB"/>
              </w:rPr>
              <w:t>IaaS</w:t>
            </w:r>
            <w:proofErr w:type="spellEnd"/>
            <w:r w:rsidRPr="00EA5EF3">
              <w:rPr>
                <w:rFonts w:ascii="Calibri" w:hAnsi="Calibri"/>
                <w:sz w:val="18"/>
                <w:szCs w:val="18"/>
                <w:lang w:val="en-GB"/>
              </w:rPr>
              <w:t xml:space="preserve">, </w:t>
            </w:r>
            <w:proofErr w:type="spellStart"/>
            <w:r w:rsidRPr="00EA5EF3">
              <w:rPr>
                <w:rFonts w:ascii="Calibri" w:hAnsi="Calibri"/>
                <w:sz w:val="18"/>
                <w:szCs w:val="18"/>
                <w:lang w:val="en-GB"/>
              </w:rPr>
              <w:t>PaaS</w:t>
            </w:r>
            <w:proofErr w:type="spellEnd"/>
            <w:r w:rsidRPr="00EA5EF3">
              <w:rPr>
                <w:rFonts w:ascii="Calibri" w:hAnsi="Calibri"/>
                <w:sz w:val="18"/>
                <w:szCs w:val="18"/>
                <w:lang w:val="en-GB"/>
              </w:rPr>
              <w:t xml:space="preserve"> and SaaS are most often industry buzzwords which do not have a strict definition. The set of answers below should provide a good understanding of what we have in mind in this requirement. As we understand the market, we are looking primarily for a </w:t>
            </w:r>
            <w:proofErr w:type="spellStart"/>
            <w:r w:rsidRPr="00EA5EF3">
              <w:rPr>
                <w:rFonts w:ascii="Calibri" w:hAnsi="Calibri"/>
                <w:sz w:val="18"/>
                <w:szCs w:val="18"/>
                <w:lang w:val="en-GB"/>
              </w:rPr>
              <w:t>PaaS</w:t>
            </w:r>
            <w:proofErr w:type="spellEnd"/>
            <w:r w:rsidRPr="00EA5EF3">
              <w:rPr>
                <w:rFonts w:ascii="Calibri" w:hAnsi="Calibri"/>
                <w:sz w:val="18"/>
                <w:szCs w:val="18"/>
                <w:lang w:val="en-GB"/>
              </w:rPr>
              <w:t xml:space="preserve"> solution with support for specific </w:t>
            </w:r>
            <w:proofErr w:type="spellStart"/>
            <w:r w:rsidRPr="00EA5EF3">
              <w:rPr>
                <w:rFonts w:ascii="Calibri" w:hAnsi="Calibri"/>
                <w:sz w:val="18"/>
                <w:szCs w:val="18"/>
                <w:lang w:val="en-GB"/>
              </w:rPr>
              <w:t>IaaS</w:t>
            </w:r>
            <w:proofErr w:type="spellEnd"/>
            <w:r w:rsidRPr="00EA5EF3">
              <w:rPr>
                <w:rFonts w:ascii="Calibri" w:hAnsi="Calibri"/>
                <w:sz w:val="18"/>
                <w:szCs w:val="18"/>
                <w:lang w:val="en-GB"/>
              </w:rPr>
              <w:t xml:space="preserve"> capabilities (unlimited storage, virtual machine provisioning) and optional support for SaaS services for selected applications, or managed services as we call them in this document.</w:t>
            </w:r>
          </w:p>
        </w:tc>
      </w:tr>
      <w:tr w:rsidR="00F62FC6" w:rsidRPr="00AA7D95" w14:paraId="10D125E9" w14:textId="77777777" w:rsidTr="0033697A">
        <w:trPr>
          <w:cantSplit/>
        </w:trPr>
        <w:tc>
          <w:tcPr>
            <w:tcW w:w="851" w:type="dxa"/>
          </w:tcPr>
          <w:p w14:paraId="6E7AD2C5" w14:textId="77777777" w:rsidR="00F62FC6" w:rsidRDefault="00F62FC6"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16</w:t>
            </w:r>
          </w:p>
        </w:tc>
        <w:tc>
          <w:tcPr>
            <w:tcW w:w="1140" w:type="dxa"/>
          </w:tcPr>
          <w:p w14:paraId="78F4B11F"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sidRPr="00F62FC6">
              <w:rPr>
                <w:rFonts w:ascii="Calibri" w:hAnsi="Calibri"/>
                <w:sz w:val="18"/>
                <w:szCs w:val="18"/>
                <w:lang w:val="en-GB"/>
              </w:rPr>
              <w:t>Management / Level of support</w:t>
            </w:r>
          </w:p>
        </w:tc>
        <w:tc>
          <w:tcPr>
            <w:tcW w:w="1843" w:type="dxa"/>
          </w:tcPr>
          <w:p w14:paraId="5E3BDF48"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General</w:t>
            </w:r>
          </w:p>
        </w:tc>
        <w:tc>
          <w:tcPr>
            <w:tcW w:w="3113" w:type="dxa"/>
          </w:tcPr>
          <w:p w14:paraId="39F1B216"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sidRPr="00F62FC6">
              <w:rPr>
                <w:rFonts w:ascii="Calibri" w:hAnsi="Calibri"/>
                <w:sz w:val="18"/>
                <w:szCs w:val="18"/>
                <w:lang w:val="en-GB"/>
              </w:rPr>
              <w:t>What is the level of support by the supplier that you expect on non-production servers?</w:t>
            </w:r>
          </w:p>
        </w:tc>
        <w:tc>
          <w:tcPr>
            <w:tcW w:w="3118" w:type="dxa"/>
          </w:tcPr>
          <w:p w14:paraId="0849C32C" w14:textId="023E6CFC" w:rsidR="00F62FC6" w:rsidRPr="006B004E" w:rsidRDefault="00EA5EF3" w:rsidP="00BF49A8">
            <w:pPr>
              <w:pStyle w:val="formulierstandaard"/>
              <w:spacing w:before="60" w:after="60" w:line="240" w:lineRule="auto"/>
              <w:ind w:left="0"/>
              <w:rPr>
                <w:rFonts w:ascii="Calibri" w:hAnsi="Calibri"/>
                <w:sz w:val="18"/>
                <w:szCs w:val="18"/>
                <w:lang w:val="en-GB"/>
              </w:rPr>
            </w:pPr>
            <w:r w:rsidRPr="00EA5EF3">
              <w:rPr>
                <w:rFonts w:ascii="Calibri" w:hAnsi="Calibri"/>
                <w:sz w:val="18"/>
                <w:szCs w:val="18"/>
                <w:lang w:val="en-GB"/>
              </w:rPr>
              <w:t>We have not specified it intentionally because we would like to see what is the standard practice adopted by the supplier. Our expectation here would not differ from what is commonly expected in the market. For example, support during office hours with a longer response time on a ticket would make sense for us. What is important is that non-production systems are supported by the same logistics as the production ones - in terms of people, processes, tracking system - albeit with a different set of SLA parameters.</w:t>
            </w:r>
          </w:p>
        </w:tc>
      </w:tr>
      <w:tr w:rsidR="00F62FC6" w:rsidRPr="00AA7D95" w14:paraId="4947CCE0" w14:textId="77777777" w:rsidTr="0033697A">
        <w:trPr>
          <w:cantSplit/>
        </w:trPr>
        <w:tc>
          <w:tcPr>
            <w:tcW w:w="851" w:type="dxa"/>
          </w:tcPr>
          <w:p w14:paraId="42A81497" w14:textId="77777777" w:rsidR="00F62FC6" w:rsidRDefault="00F62FC6"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17</w:t>
            </w:r>
          </w:p>
        </w:tc>
        <w:tc>
          <w:tcPr>
            <w:tcW w:w="1140" w:type="dxa"/>
          </w:tcPr>
          <w:p w14:paraId="452AC07E"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sidRPr="00F62FC6">
              <w:rPr>
                <w:rFonts w:ascii="Calibri" w:hAnsi="Calibri"/>
                <w:sz w:val="18"/>
                <w:szCs w:val="18"/>
                <w:lang w:val="en-GB"/>
              </w:rPr>
              <w:t>Performance</w:t>
            </w:r>
          </w:p>
        </w:tc>
        <w:tc>
          <w:tcPr>
            <w:tcW w:w="1843" w:type="dxa"/>
          </w:tcPr>
          <w:p w14:paraId="1427813C"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GE8</w:t>
            </w:r>
          </w:p>
        </w:tc>
        <w:tc>
          <w:tcPr>
            <w:tcW w:w="3113" w:type="dxa"/>
          </w:tcPr>
          <w:p w14:paraId="4A959E02"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sidRPr="00F62FC6">
              <w:rPr>
                <w:rFonts w:ascii="Calibri" w:hAnsi="Calibri"/>
                <w:sz w:val="18"/>
                <w:szCs w:val="18"/>
                <w:lang w:val="en-GB"/>
              </w:rPr>
              <w:t>Can you please provide more detail with regards to the current performance. The metrics contained in appendix 1A are inconsistent, for instance some refer to disk read speeds with a negative value.</w:t>
            </w:r>
          </w:p>
        </w:tc>
        <w:tc>
          <w:tcPr>
            <w:tcW w:w="3118" w:type="dxa"/>
          </w:tcPr>
          <w:p w14:paraId="68DB89F1" w14:textId="0D13B3A9" w:rsidR="00F62FC6" w:rsidRPr="006B004E" w:rsidRDefault="00EA5EF3" w:rsidP="00BF49A8">
            <w:pPr>
              <w:pStyle w:val="formulierstandaard"/>
              <w:spacing w:before="60" w:after="60" w:line="240" w:lineRule="auto"/>
              <w:ind w:left="0"/>
              <w:rPr>
                <w:rFonts w:ascii="Calibri" w:hAnsi="Calibri"/>
                <w:sz w:val="18"/>
                <w:szCs w:val="18"/>
                <w:lang w:val="en-GB"/>
              </w:rPr>
            </w:pPr>
            <w:r w:rsidRPr="00EA5EF3">
              <w:rPr>
                <w:rFonts w:ascii="Calibri" w:hAnsi="Calibri"/>
                <w:sz w:val="18"/>
                <w:szCs w:val="18"/>
                <w:lang w:val="en-GB"/>
              </w:rPr>
              <w:t>Negative values should be considered as zero. What other incon</w:t>
            </w:r>
            <w:r>
              <w:rPr>
                <w:rFonts w:ascii="Calibri" w:hAnsi="Calibri"/>
                <w:sz w:val="18"/>
                <w:szCs w:val="18"/>
                <w:lang w:val="en-GB"/>
              </w:rPr>
              <w:t>sistencies are there? Europeana</w:t>
            </w:r>
            <w:r w:rsidRPr="00EA5EF3">
              <w:rPr>
                <w:rFonts w:ascii="Calibri" w:hAnsi="Calibri"/>
                <w:sz w:val="18"/>
                <w:szCs w:val="18"/>
                <w:lang w:val="en-GB"/>
              </w:rPr>
              <w:t>´s user-facing systems (nodes 11,12,13), the ones experiencing load generated by users and robots are primarily about read operations - that is reflected by the data. The supplied data was measured on the current hardware setup. This setup will eventually change when we migrate to the new system - the size of application clusters can change, the characteristics of individual machines and so on. Therefore, the applicability of these metrics is rather limited and we supplied them mainly for giving a general impression about the performance of the system today. We would not expect the provider to base a proposal only on these numbers - we expect them to be taken into account together with other factors - Europeana´s growth avenue, system architecture, optimisations facilitated by cloud-based solutions, horizontal scalability etc.</w:t>
            </w:r>
          </w:p>
        </w:tc>
      </w:tr>
      <w:tr w:rsidR="00F62FC6" w:rsidRPr="00AA7D95" w14:paraId="72AECFFD" w14:textId="77777777" w:rsidTr="0033697A">
        <w:trPr>
          <w:cantSplit/>
        </w:trPr>
        <w:tc>
          <w:tcPr>
            <w:tcW w:w="851" w:type="dxa"/>
          </w:tcPr>
          <w:p w14:paraId="628B7D8C" w14:textId="77777777" w:rsidR="00F62FC6" w:rsidRDefault="00F62FC6"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18</w:t>
            </w:r>
          </w:p>
        </w:tc>
        <w:tc>
          <w:tcPr>
            <w:tcW w:w="1140" w:type="dxa"/>
          </w:tcPr>
          <w:p w14:paraId="1C5C4B56"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sidRPr="00F62FC6">
              <w:rPr>
                <w:rFonts w:ascii="Calibri" w:hAnsi="Calibri"/>
                <w:sz w:val="18"/>
                <w:szCs w:val="18"/>
                <w:lang w:val="en-GB"/>
              </w:rPr>
              <w:t>Performance</w:t>
            </w:r>
          </w:p>
        </w:tc>
        <w:tc>
          <w:tcPr>
            <w:tcW w:w="1843" w:type="dxa"/>
          </w:tcPr>
          <w:p w14:paraId="1BC2F62A"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GE8</w:t>
            </w:r>
          </w:p>
        </w:tc>
        <w:tc>
          <w:tcPr>
            <w:tcW w:w="3113" w:type="dxa"/>
          </w:tcPr>
          <w:p w14:paraId="216A6D85" w14:textId="77777777" w:rsidR="00F62FC6" w:rsidRPr="006B004E" w:rsidRDefault="00F62FC6" w:rsidP="00BF49A8">
            <w:pPr>
              <w:pStyle w:val="formulierstandaard"/>
              <w:spacing w:before="60" w:after="60" w:line="240" w:lineRule="auto"/>
              <w:ind w:left="0"/>
              <w:rPr>
                <w:rFonts w:ascii="Calibri" w:hAnsi="Calibri"/>
                <w:sz w:val="18"/>
                <w:szCs w:val="18"/>
                <w:lang w:val="en-GB"/>
              </w:rPr>
            </w:pPr>
            <w:r w:rsidRPr="00F62FC6">
              <w:rPr>
                <w:rFonts w:ascii="Calibri" w:hAnsi="Calibri"/>
                <w:sz w:val="18"/>
                <w:szCs w:val="18"/>
                <w:lang w:val="en-GB"/>
              </w:rPr>
              <w:t>Can you please provide more information with regards to the performance expectations of the new system. Industry standard performance is open to interpretation. Are there any specific metrics in terms of IOPS, latency etc. available?</w:t>
            </w:r>
          </w:p>
        </w:tc>
        <w:tc>
          <w:tcPr>
            <w:tcW w:w="3118" w:type="dxa"/>
          </w:tcPr>
          <w:p w14:paraId="6974BE83" w14:textId="6CEBCD09" w:rsidR="0033697A" w:rsidRPr="0033697A" w:rsidRDefault="0033697A" w:rsidP="00BF49A8">
            <w:pPr>
              <w:pStyle w:val="formulierstandaard"/>
              <w:spacing w:before="60" w:after="60" w:line="240" w:lineRule="auto"/>
              <w:rPr>
                <w:rFonts w:ascii="Calibri" w:hAnsi="Calibri"/>
                <w:sz w:val="18"/>
                <w:szCs w:val="18"/>
                <w:lang w:val="en-GB"/>
              </w:rPr>
            </w:pPr>
            <w:r w:rsidRPr="0033697A">
              <w:rPr>
                <w:rFonts w:ascii="Calibri" w:hAnsi="Calibri"/>
                <w:sz w:val="18"/>
                <w:szCs w:val="18"/>
                <w:lang w:val="en-GB"/>
              </w:rPr>
              <w:t>This is somewhat related to the previous question. Some additional information was provided in the set of answers to the first round of questions - there we detailed the load testing routine ran by Europeana. But similarly to the previous answer we do not think that there is a precise answer here. Theoretically, we could point the tenderers to our source code (it is free), dataset (it is open) and system architecture (available in the tender documents) and expect them to reproduce the environment and make exact measurements. But since we do not think that this approach is practical we expect them to take a more holistic approach by looking at our architecture and general expectations. We do expect sub-second performance on w</w:t>
            </w:r>
            <w:r>
              <w:rPr>
                <w:rFonts w:ascii="Calibri" w:hAnsi="Calibri"/>
                <w:sz w:val="18"/>
                <w:szCs w:val="18"/>
                <w:lang w:val="en-GB"/>
              </w:rPr>
              <w:t>eb and API requests under today</w:t>
            </w:r>
            <w:r w:rsidRPr="0033697A">
              <w:rPr>
                <w:rFonts w:ascii="Calibri" w:hAnsi="Calibri"/>
                <w:sz w:val="18"/>
                <w:szCs w:val="18"/>
                <w:lang w:val="en-GB"/>
              </w:rPr>
              <w:t>´s load.</w:t>
            </w:r>
          </w:p>
          <w:p w14:paraId="0AF84D01" w14:textId="3EBDA698" w:rsidR="00F62FC6" w:rsidRPr="006B004E" w:rsidRDefault="0033697A" w:rsidP="00BF49A8">
            <w:pPr>
              <w:pStyle w:val="formulierstandaard"/>
              <w:spacing w:before="60" w:after="60" w:line="240" w:lineRule="auto"/>
              <w:ind w:left="98"/>
              <w:rPr>
                <w:rFonts w:ascii="Calibri" w:hAnsi="Calibri"/>
                <w:sz w:val="18"/>
                <w:szCs w:val="18"/>
                <w:lang w:val="en-GB"/>
              </w:rPr>
            </w:pPr>
            <w:r w:rsidRPr="0033697A">
              <w:rPr>
                <w:rFonts w:ascii="Calibri" w:hAnsi="Calibri"/>
                <w:sz w:val="18"/>
                <w:szCs w:val="18"/>
                <w:lang w:val="en-GB"/>
              </w:rPr>
              <w:t>We do not have expectations in terms of IOS</w:t>
            </w:r>
          </w:p>
        </w:tc>
      </w:tr>
      <w:tr w:rsidR="00F62FC6" w:rsidRPr="002E5B77" w14:paraId="02D2C960" w14:textId="77777777" w:rsidTr="0033697A">
        <w:trPr>
          <w:cantSplit/>
        </w:trPr>
        <w:tc>
          <w:tcPr>
            <w:tcW w:w="851" w:type="dxa"/>
          </w:tcPr>
          <w:p w14:paraId="376E18B1" w14:textId="77777777" w:rsidR="00F62FC6" w:rsidRDefault="00F62FC6"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19</w:t>
            </w:r>
          </w:p>
        </w:tc>
        <w:tc>
          <w:tcPr>
            <w:tcW w:w="1140" w:type="dxa"/>
          </w:tcPr>
          <w:p w14:paraId="15B61AD7"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Provisioning</w:t>
            </w:r>
          </w:p>
        </w:tc>
        <w:tc>
          <w:tcPr>
            <w:tcW w:w="1843" w:type="dxa"/>
          </w:tcPr>
          <w:p w14:paraId="06306A19"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PS2-2</w:t>
            </w:r>
          </w:p>
        </w:tc>
        <w:tc>
          <w:tcPr>
            <w:tcW w:w="3113" w:type="dxa"/>
          </w:tcPr>
          <w:p w14:paraId="0A62F935"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Do you have an expectation of time (minutes, hours, days?) that would be acceptable for the provisioning of new horizontally scaled nodes from request to available in production.</w:t>
            </w:r>
          </w:p>
        </w:tc>
        <w:tc>
          <w:tcPr>
            <w:tcW w:w="3118" w:type="dxa"/>
          </w:tcPr>
          <w:p w14:paraId="11FF1B9B" w14:textId="778FF596" w:rsidR="00F62FC6" w:rsidRPr="006B004E" w:rsidRDefault="0033697A" w:rsidP="00BF49A8">
            <w:pPr>
              <w:pStyle w:val="formulierstandaard"/>
              <w:spacing w:before="60" w:after="60" w:line="240" w:lineRule="auto"/>
              <w:ind w:left="0"/>
              <w:rPr>
                <w:rFonts w:ascii="Calibri" w:hAnsi="Calibri"/>
                <w:sz w:val="18"/>
                <w:szCs w:val="18"/>
                <w:lang w:val="en-GB"/>
              </w:rPr>
            </w:pPr>
            <w:r w:rsidRPr="0033697A">
              <w:rPr>
                <w:rFonts w:ascii="Calibri" w:hAnsi="Calibri"/>
                <w:sz w:val="18"/>
                <w:szCs w:val="18"/>
                <w:lang w:val="en-GB"/>
              </w:rPr>
              <w:t>We do not have strict expectations about this because we have never worked with a setup allowing for easy horizontal scaling. Our general expectation, according to the promise of cloud computing, is that this scaling should be quick and automated to a large degree. We do not expect minutes, but hours will make sense. For sure not many days.</w:t>
            </w:r>
          </w:p>
        </w:tc>
      </w:tr>
      <w:tr w:rsidR="00F62FC6" w:rsidRPr="002E5B77" w14:paraId="265A1026" w14:textId="77777777" w:rsidTr="0033697A">
        <w:trPr>
          <w:cantSplit/>
        </w:trPr>
        <w:tc>
          <w:tcPr>
            <w:tcW w:w="851" w:type="dxa"/>
          </w:tcPr>
          <w:p w14:paraId="6B8426F6" w14:textId="77777777" w:rsidR="00F62FC6" w:rsidRDefault="00F62FC6"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20</w:t>
            </w:r>
          </w:p>
        </w:tc>
        <w:tc>
          <w:tcPr>
            <w:tcW w:w="1140" w:type="dxa"/>
          </w:tcPr>
          <w:p w14:paraId="47D7A953"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Stack</w:t>
            </w:r>
          </w:p>
        </w:tc>
        <w:tc>
          <w:tcPr>
            <w:tcW w:w="1843" w:type="dxa"/>
          </w:tcPr>
          <w:p w14:paraId="3787AC98"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PS4-1/2</w:t>
            </w:r>
          </w:p>
        </w:tc>
        <w:tc>
          <w:tcPr>
            <w:tcW w:w="3113" w:type="dxa"/>
          </w:tcPr>
          <w:p w14:paraId="6AF51C15"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Please provide more detail on the definition of support for the Europeana stack. Does this refer to technology compatibility between the underlying supplier platform and the technologies utilized in the Europeana application stack? Or support by the supplier for the day-to-day management of the production environment from an application perspective.</w:t>
            </w:r>
          </w:p>
        </w:tc>
        <w:tc>
          <w:tcPr>
            <w:tcW w:w="3118" w:type="dxa"/>
          </w:tcPr>
          <w:p w14:paraId="58433BCD" w14:textId="5E128A0A" w:rsidR="00F62FC6" w:rsidRPr="006B004E" w:rsidRDefault="0033697A" w:rsidP="00BF49A8">
            <w:pPr>
              <w:pStyle w:val="formulierstandaard"/>
              <w:spacing w:before="60" w:after="60" w:line="240" w:lineRule="auto"/>
              <w:ind w:left="0"/>
              <w:rPr>
                <w:rFonts w:ascii="Calibri" w:hAnsi="Calibri"/>
                <w:sz w:val="18"/>
                <w:szCs w:val="18"/>
                <w:lang w:val="en-GB"/>
              </w:rPr>
            </w:pPr>
            <w:r w:rsidRPr="0033697A">
              <w:rPr>
                <w:rFonts w:ascii="Calibri" w:hAnsi="Calibri"/>
                <w:sz w:val="18"/>
                <w:szCs w:val="18"/>
                <w:lang w:val="en-GB"/>
              </w:rPr>
              <w:t>Yes, it definitely refers to the former, apologies for the confusion here. It is of paramount importance that all our technologies are compatible with the technology used by the supplier for the platform. They should be either supported directly or after some customization, very specific and limited in scope. Therefore, we expect the supplier to learn very carefully our technologies and commit to supporting them with the platform without drastic changes. This item is not about human support.</w:t>
            </w:r>
          </w:p>
        </w:tc>
      </w:tr>
      <w:tr w:rsidR="00F62FC6" w:rsidRPr="00AA7D95" w14:paraId="2C4AC7A4" w14:textId="77777777" w:rsidTr="0033697A">
        <w:trPr>
          <w:cantSplit/>
        </w:trPr>
        <w:tc>
          <w:tcPr>
            <w:tcW w:w="851" w:type="dxa"/>
          </w:tcPr>
          <w:p w14:paraId="682A5220" w14:textId="77777777" w:rsidR="00F62FC6" w:rsidRDefault="00F62FC6"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21</w:t>
            </w:r>
          </w:p>
        </w:tc>
        <w:tc>
          <w:tcPr>
            <w:tcW w:w="1140" w:type="dxa"/>
          </w:tcPr>
          <w:p w14:paraId="3A9D8B0A"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Services</w:t>
            </w:r>
          </w:p>
        </w:tc>
        <w:tc>
          <w:tcPr>
            <w:tcW w:w="1843" w:type="dxa"/>
          </w:tcPr>
          <w:p w14:paraId="48EBCA4F"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PS4-10</w:t>
            </w:r>
          </w:p>
        </w:tc>
        <w:tc>
          <w:tcPr>
            <w:tcW w:w="3113" w:type="dxa"/>
          </w:tcPr>
          <w:p w14:paraId="18BD2413"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Does this refer to integration with an external existing managed PostgreSQL service. Or is the expectation that the supplier will provide PostgreSQL to the system via a consumption based PostgreSQL-as-a-service offering also provided by the supplier?</w:t>
            </w:r>
          </w:p>
        </w:tc>
        <w:tc>
          <w:tcPr>
            <w:tcW w:w="3118" w:type="dxa"/>
          </w:tcPr>
          <w:p w14:paraId="2B1DAB8B" w14:textId="2BC548BA" w:rsidR="00F62FC6" w:rsidRPr="006B004E" w:rsidRDefault="0033697A" w:rsidP="00BF49A8">
            <w:pPr>
              <w:pStyle w:val="formulierstandaard"/>
              <w:spacing w:before="60" w:after="60" w:line="240" w:lineRule="auto"/>
              <w:ind w:left="0"/>
              <w:rPr>
                <w:rFonts w:ascii="Calibri" w:hAnsi="Calibri"/>
                <w:sz w:val="18"/>
                <w:szCs w:val="18"/>
                <w:lang w:val="en-GB"/>
              </w:rPr>
            </w:pPr>
            <w:r w:rsidRPr="0033697A">
              <w:rPr>
                <w:rFonts w:ascii="Calibri" w:hAnsi="Calibri"/>
                <w:sz w:val="18"/>
                <w:szCs w:val="18"/>
                <w:lang w:val="en-GB"/>
              </w:rPr>
              <w:t xml:space="preserve">This refers to the latter. The expectation is that the supplier will provide a managed PostgreSQL database as a service as part of the solution. This should be similar to the service RDS for PostgreSQL by Amazon which is a part of the AWS service or, for example, to </w:t>
            </w:r>
            <w:proofErr w:type="spellStart"/>
            <w:r w:rsidRPr="0033697A">
              <w:rPr>
                <w:rFonts w:ascii="Calibri" w:hAnsi="Calibri"/>
                <w:sz w:val="18"/>
                <w:szCs w:val="18"/>
                <w:lang w:val="en-GB"/>
              </w:rPr>
              <w:t>ElephantSQL</w:t>
            </w:r>
            <w:proofErr w:type="spellEnd"/>
            <w:r w:rsidRPr="0033697A">
              <w:rPr>
                <w:rFonts w:ascii="Calibri" w:hAnsi="Calibri"/>
                <w:sz w:val="18"/>
                <w:szCs w:val="18"/>
                <w:lang w:val="en-GB"/>
              </w:rPr>
              <w:t xml:space="preserve"> which is a standalone PostgreSQL as a service solution.</w:t>
            </w:r>
          </w:p>
        </w:tc>
      </w:tr>
      <w:tr w:rsidR="00F62FC6" w:rsidRPr="00AA7D95" w14:paraId="717EC9C6" w14:textId="77777777" w:rsidTr="0033697A">
        <w:trPr>
          <w:cantSplit/>
        </w:trPr>
        <w:tc>
          <w:tcPr>
            <w:tcW w:w="851" w:type="dxa"/>
          </w:tcPr>
          <w:p w14:paraId="4BD9B7BE" w14:textId="77777777" w:rsidR="00F62FC6" w:rsidRDefault="00F62FC6"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22</w:t>
            </w:r>
          </w:p>
        </w:tc>
        <w:tc>
          <w:tcPr>
            <w:tcW w:w="1140" w:type="dxa"/>
          </w:tcPr>
          <w:p w14:paraId="7A6AD3B4"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Services</w:t>
            </w:r>
          </w:p>
        </w:tc>
        <w:tc>
          <w:tcPr>
            <w:tcW w:w="1843" w:type="dxa"/>
          </w:tcPr>
          <w:p w14:paraId="6F489EDE"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PS4-14</w:t>
            </w:r>
          </w:p>
        </w:tc>
        <w:tc>
          <w:tcPr>
            <w:tcW w:w="3113" w:type="dxa"/>
          </w:tcPr>
          <w:p w14:paraId="50039BDD"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 xml:space="preserve">Does this refer to an external cache-as-a-service via an external CDN or a </w:t>
            </w:r>
            <w:proofErr w:type="spellStart"/>
            <w:r w:rsidRPr="002E5B77">
              <w:rPr>
                <w:rFonts w:ascii="Calibri" w:hAnsi="Calibri"/>
                <w:sz w:val="18"/>
                <w:szCs w:val="18"/>
                <w:lang w:val="en-GB"/>
              </w:rPr>
              <w:t>MemCache</w:t>
            </w:r>
            <w:proofErr w:type="spellEnd"/>
            <w:r w:rsidRPr="002E5B77">
              <w:rPr>
                <w:rFonts w:ascii="Calibri" w:hAnsi="Calibri"/>
                <w:sz w:val="18"/>
                <w:szCs w:val="18"/>
                <w:lang w:val="en-GB"/>
              </w:rPr>
              <w:t xml:space="preserve"> instanced installed within the environment?</w:t>
            </w:r>
          </w:p>
        </w:tc>
        <w:tc>
          <w:tcPr>
            <w:tcW w:w="3118" w:type="dxa"/>
          </w:tcPr>
          <w:p w14:paraId="357F58CF" w14:textId="68BE5E59" w:rsidR="00F62FC6" w:rsidRPr="006B004E" w:rsidRDefault="0033697A" w:rsidP="00BF49A8">
            <w:pPr>
              <w:pStyle w:val="formulierstandaard"/>
              <w:spacing w:before="60" w:after="60" w:line="240" w:lineRule="auto"/>
              <w:ind w:left="0"/>
              <w:rPr>
                <w:rFonts w:ascii="Calibri" w:hAnsi="Calibri"/>
                <w:sz w:val="18"/>
                <w:szCs w:val="18"/>
                <w:lang w:val="en-GB"/>
              </w:rPr>
            </w:pPr>
            <w:r w:rsidRPr="0033697A">
              <w:rPr>
                <w:rFonts w:ascii="Calibri" w:hAnsi="Calibri"/>
                <w:sz w:val="18"/>
                <w:szCs w:val="18"/>
                <w:lang w:val="en-GB"/>
              </w:rPr>
              <w:t xml:space="preserve">This refers to the latter - a managed </w:t>
            </w:r>
            <w:proofErr w:type="spellStart"/>
            <w:r w:rsidRPr="0033697A">
              <w:rPr>
                <w:rFonts w:ascii="Calibri" w:hAnsi="Calibri"/>
                <w:sz w:val="18"/>
                <w:szCs w:val="18"/>
                <w:lang w:val="en-GB"/>
              </w:rPr>
              <w:t>MemCache</w:t>
            </w:r>
            <w:proofErr w:type="spellEnd"/>
            <w:r w:rsidRPr="0033697A">
              <w:rPr>
                <w:rFonts w:ascii="Calibri" w:hAnsi="Calibri"/>
                <w:sz w:val="18"/>
                <w:szCs w:val="18"/>
                <w:lang w:val="en-GB"/>
              </w:rPr>
              <w:t xml:space="preserve"> instance provided by the platform. Similarly to </w:t>
            </w:r>
            <w:proofErr w:type="spellStart"/>
            <w:r w:rsidRPr="0033697A">
              <w:rPr>
                <w:rFonts w:ascii="Calibri" w:hAnsi="Calibri"/>
                <w:sz w:val="18"/>
                <w:szCs w:val="18"/>
                <w:lang w:val="en-GB"/>
              </w:rPr>
              <w:t>MemCachier</w:t>
            </w:r>
            <w:proofErr w:type="spellEnd"/>
            <w:r w:rsidRPr="0033697A">
              <w:rPr>
                <w:rFonts w:ascii="Calibri" w:hAnsi="Calibri"/>
                <w:sz w:val="18"/>
                <w:szCs w:val="18"/>
                <w:lang w:val="en-GB"/>
              </w:rPr>
              <w:t xml:space="preserve"> which can be used directly or as part of a </w:t>
            </w:r>
            <w:proofErr w:type="spellStart"/>
            <w:r w:rsidRPr="0033697A">
              <w:rPr>
                <w:rFonts w:ascii="Calibri" w:hAnsi="Calibri"/>
                <w:sz w:val="18"/>
                <w:szCs w:val="18"/>
                <w:lang w:val="en-GB"/>
              </w:rPr>
              <w:t>PaaS</w:t>
            </w:r>
            <w:proofErr w:type="spellEnd"/>
            <w:r w:rsidRPr="0033697A">
              <w:rPr>
                <w:rFonts w:ascii="Calibri" w:hAnsi="Calibri"/>
                <w:sz w:val="18"/>
                <w:szCs w:val="18"/>
                <w:lang w:val="en-GB"/>
              </w:rPr>
              <w:t xml:space="preserve">, for example </w:t>
            </w:r>
            <w:proofErr w:type="spellStart"/>
            <w:r w:rsidRPr="0033697A">
              <w:rPr>
                <w:rFonts w:ascii="Calibri" w:hAnsi="Calibri"/>
                <w:sz w:val="18"/>
                <w:szCs w:val="18"/>
                <w:lang w:val="en-GB"/>
              </w:rPr>
              <w:t>Heroku</w:t>
            </w:r>
            <w:proofErr w:type="spellEnd"/>
            <w:r w:rsidRPr="0033697A">
              <w:rPr>
                <w:rFonts w:ascii="Calibri" w:hAnsi="Calibri"/>
                <w:sz w:val="18"/>
                <w:szCs w:val="18"/>
                <w:lang w:val="en-GB"/>
              </w:rPr>
              <w:t>.</w:t>
            </w:r>
          </w:p>
        </w:tc>
      </w:tr>
      <w:tr w:rsidR="00F62FC6" w:rsidRPr="00AA7D95" w14:paraId="6D682440" w14:textId="77777777" w:rsidTr="0033697A">
        <w:trPr>
          <w:cantSplit/>
        </w:trPr>
        <w:tc>
          <w:tcPr>
            <w:tcW w:w="851" w:type="dxa"/>
          </w:tcPr>
          <w:p w14:paraId="280FA332" w14:textId="77777777" w:rsidR="00F62FC6" w:rsidRDefault="00F62FC6"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23</w:t>
            </w:r>
          </w:p>
        </w:tc>
        <w:tc>
          <w:tcPr>
            <w:tcW w:w="1140" w:type="dxa"/>
          </w:tcPr>
          <w:p w14:paraId="7AF48F26"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General</w:t>
            </w:r>
          </w:p>
        </w:tc>
        <w:tc>
          <w:tcPr>
            <w:tcW w:w="1843" w:type="dxa"/>
          </w:tcPr>
          <w:p w14:paraId="1324AAC8"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General</w:t>
            </w:r>
          </w:p>
        </w:tc>
        <w:tc>
          <w:tcPr>
            <w:tcW w:w="3113" w:type="dxa"/>
          </w:tcPr>
          <w:p w14:paraId="00B86572" w14:textId="77777777" w:rsidR="00F62FC6" w:rsidRPr="006B004E" w:rsidRDefault="002E5B77" w:rsidP="00BF49A8">
            <w:pPr>
              <w:pStyle w:val="formulierstandaard"/>
              <w:spacing w:before="60" w:after="60" w:line="240" w:lineRule="auto"/>
              <w:ind w:left="0"/>
              <w:rPr>
                <w:rFonts w:ascii="Calibri" w:hAnsi="Calibri"/>
                <w:sz w:val="18"/>
                <w:szCs w:val="18"/>
                <w:lang w:val="en-GB"/>
              </w:rPr>
            </w:pPr>
            <w:r w:rsidRPr="002E5B77">
              <w:rPr>
                <w:rFonts w:ascii="Calibri" w:hAnsi="Calibri"/>
                <w:sz w:val="18"/>
                <w:szCs w:val="18"/>
                <w:lang w:val="en-GB"/>
              </w:rPr>
              <w:t>Can you provide a detailed definition of “the system”, “the platform” and “the Europeana stack” within the context of the requirement specification document?</w:t>
            </w:r>
          </w:p>
        </w:tc>
        <w:tc>
          <w:tcPr>
            <w:tcW w:w="3118" w:type="dxa"/>
          </w:tcPr>
          <w:p w14:paraId="3D186F07" w14:textId="0A198310" w:rsidR="00F62FC6" w:rsidRPr="006B004E" w:rsidRDefault="0033697A" w:rsidP="00BF49A8">
            <w:pPr>
              <w:pStyle w:val="formulierstandaard"/>
              <w:spacing w:before="60" w:after="60" w:line="240" w:lineRule="auto"/>
              <w:ind w:left="0"/>
              <w:rPr>
                <w:rFonts w:ascii="Calibri" w:hAnsi="Calibri"/>
                <w:sz w:val="18"/>
                <w:szCs w:val="18"/>
                <w:lang w:val="en-GB"/>
              </w:rPr>
            </w:pPr>
            <w:r w:rsidRPr="0033697A">
              <w:rPr>
                <w:rFonts w:ascii="Calibri" w:hAnsi="Calibri"/>
                <w:sz w:val="18"/>
                <w:szCs w:val="18"/>
                <w:lang w:val="en-GB"/>
              </w:rPr>
              <w:t>The system and the platform are used interchangeably, apologies for the confusion. They refer to the software platform operated by the supplier which provides the platform-as-a-service used by Europeana (and maybe others). In this general sen</w:t>
            </w:r>
            <w:r>
              <w:rPr>
                <w:rFonts w:ascii="Calibri" w:hAnsi="Calibri"/>
                <w:sz w:val="18"/>
                <w:szCs w:val="18"/>
                <w:lang w:val="en-GB"/>
              </w:rPr>
              <w:t>s</w:t>
            </w:r>
            <w:r w:rsidRPr="0033697A">
              <w:rPr>
                <w:rFonts w:ascii="Calibri" w:hAnsi="Calibri"/>
                <w:sz w:val="18"/>
                <w:szCs w:val="18"/>
                <w:lang w:val="en-GB"/>
              </w:rPr>
              <w:t xml:space="preserve">e, it is similar, for example, to AWS operated by Amazon and used by clients. Europeana Stack refers to all the software developed by Europeana and used by it in the context of this specification. In this context, ready-made software used by Europeana (e.g. PostgreSQL, Apache </w:t>
            </w:r>
            <w:proofErr w:type="spellStart"/>
            <w:r w:rsidRPr="0033697A">
              <w:rPr>
                <w:rFonts w:ascii="Calibri" w:hAnsi="Calibri"/>
                <w:sz w:val="18"/>
                <w:szCs w:val="18"/>
                <w:lang w:val="en-GB"/>
              </w:rPr>
              <w:t>Solr</w:t>
            </w:r>
            <w:proofErr w:type="spellEnd"/>
            <w:r w:rsidRPr="0033697A">
              <w:rPr>
                <w:rFonts w:ascii="Calibri" w:hAnsi="Calibri"/>
                <w:sz w:val="18"/>
                <w:szCs w:val="18"/>
                <w:lang w:val="en-GB"/>
              </w:rPr>
              <w:t xml:space="preserve">, </w:t>
            </w:r>
            <w:proofErr w:type="spellStart"/>
            <w:r w:rsidRPr="0033697A">
              <w:rPr>
                <w:rFonts w:ascii="Calibri" w:hAnsi="Calibri"/>
                <w:sz w:val="18"/>
                <w:szCs w:val="18"/>
                <w:lang w:val="en-GB"/>
              </w:rPr>
              <w:t>MongoDB</w:t>
            </w:r>
            <w:proofErr w:type="spellEnd"/>
            <w:r w:rsidRPr="0033697A">
              <w:rPr>
                <w:rFonts w:ascii="Calibri" w:hAnsi="Calibri"/>
                <w:sz w:val="18"/>
                <w:szCs w:val="18"/>
                <w:lang w:val="en-GB"/>
              </w:rPr>
              <w:t>) can be either considered provided by the system/platform and then considered a part of it (see, for example, questions 21, 22) or a part of the stack if these services are not provided and are expected to be managed by the customer.</w:t>
            </w:r>
          </w:p>
        </w:tc>
      </w:tr>
      <w:tr w:rsidR="002E5B77" w:rsidRPr="00AA7D95" w14:paraId="286D6B51" w14:textId="77777777" w:rsidTr="0033697A">
        <w:trPr>
          <w:cantSplit/>
        </w:trPr>
        <w:tc>
          <w:tcPr>
            <w:tcW w:w="851" w:type="dxa"/>
          </w:tcPr>
          <w:p w14:paraId="4F43A635"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24</w:t>
            </w:r>
          </w:p>
        </w:tc>
        <w:tc>
          <w:tcPr>
            <w:tcW w:w="1140" w:type="dxa"/>
          </w:tcPr>
          <w:p w14:paraId="714C1BF0"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Easy configuration</w:t>
            </w:r>
          </w:p>
        </w:tc>
        <w:tc>
          <w:tcPr>
            <w:tcW w:w="1843" w:type="dxa"/>
          </w:tcPr>
          <w:p w14:paraId="0FD8BA7B"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PS 10 </w:t>
            </w:r>
            <w:r w:rsidRPr="0071623B">
              <w:rPr>
                <w:rFonts w:ascii="Calibri" w:hAnsi="Calibri"/>
                <w:sz w:val="18"/>
                <w:szCs w:val="18"/>
                <w:lang w:val="en-GB"/>
              </w:rPr>
              <w:t>-</w:t>
            </w:r>
            <w:r>
              <w:rPr>
                <w:rFonts w:ascii="Calibri" w:hAnsi="Calibri"/>
                <w:sz w:val="18"/>
                <w:szCs w:val="18"/>
                <w:lang w:val="en-GB"/>
              </w:rPr>
              <w:t xml:space="preserve"> 3</w:t>
            </w:r>
          </w:p>
        </w:tc>
        <w:tc>
          <w:tcPr>
            <w:tcW w:w="3113" w:type="dxa"/>
          </w:tcPr>
          <w:p w14:paraId="0876B091" w14:textId="77777777" w:rsidR="002E5B77" w:rsidRPr="008968DA" w:rsidRDefault="002E5B77" w:rsidP="00BF49A8">
            <w:pPr>
              <w:pStyle w:val="formulierstandaard"/>
              <w:spacing w:before="60" w:after="60" w:line="240" w:lineRule="auto"/>
              <w:ind w:left="0"/>
              <w:rPr>
                <w:rFonts w:asciiTheme="minorHAnsi" w:hAnsiTheme="minorHAnsi"/>
                <w:sz w:val="18"/>
                <w:szCs w:val="18"/>
                <w:lang w:val="en-GB"/>
              </w:rPr>
            </w:pPr>
            <w:r w:rsidRPr="002E5B77">
              <w:rPr>
                <w:rFonts w:asciiTheme="minorHAnsi" w:hAnsiTheme="minorHAnsi"/>
                <w:sz w:val="18"/>
                <w:szCs w:val="18"/>
                <w:lang w:val="en-GB"/>
              </w:rPr>
              <w:t xml:space="preserve">´The Continuous Delivery system should be configurable entirely from its web UI´. </w:t>
            </w:r>
            <w:r w:rsidRPr="008968DA">
              <w:rPr>
                <w:rFonts w:asciiTheme="minorHAnsi" w:hAnsiTheme="minorHAnsi"/>
                <w:sz w:val="18"/>
                <w:szCs w:val="18"/>
              </w:rPr>
              <w:t xml:space="preserve">Does </w:t>
            </w:r>
            <w:proofErr w:type="spellStart"/>
            <w:r w:rsidRPr="008968DA">
              <w:rPr>
                <w:rFonts w:asciiTheme="minorHAnsi" w:hAnsiTheme="minorHAnsi"/>
                <w:sz w:val="18"/>
                <w:szCs w:val="18"/>
              </w:rPr>
              <w:t>that</w:t>
            </w:r>
            <w:proofErr w:type="spellEnd"/>
            <w:r w:rsidRPr="008968DA">
              <w:rPr>
                <w:rFonts w:asciiTheme="minorHAnsi" w:hAnsiTheme="minorHAnsi"/>
                <w:sz w:val="18"/>
                <w:szCs w:val="18"/>
              </w:rPr>
              <w:t xml:space="preserve"> </w:t>
            </w:r>
            <w:proofErr w:type="spellStart"/>
            <w:r w:rsidRPr="008968DA">
              <w:rPr>
                <w:rFonts w:asciiTheme="minorHAnsi" w:hAnsiTheme="minorHAnsi"/>
                <w:sz w:val="18"/>
                <w:szCs w:val="18"/>
              </w:rPr>
              <w:t>include</w:t>
            </w:r>
            <w:proofErr w:type="spellEnd"/>
            <w:r w:rsidRPr="008968DA">
              <w:rPr>
                <w:rFonts w:asciiTheme="minorHAnsi" w:hAnsiTheme="minorHAnsi"/>
                <w:sz w:val="18"/>
                <w:szCs w:val="18"/>
              </w:rPr>
              <w:t xml:space="preserve"> the </w:t>
            </w:r>
            <w:proofErr w:type="spellStart"/>
            <w:r w:rsidRPr="008968DA">
              <w:rPr>
                <w:rFonts w:asciiTheme="minorHAnsi" w:hAnsiTheme="minorHAnsi"/>
                <w:sz w:val="18"/>
                <w:szCs w:val="18"/>
              </w:rPr>
              <w:t>installation</w:t>
            </w:r>
            <w:proofErr w:type="spellEnd"/>
            <w:r w:rsidRPr="008968DA">
              <w:rPr>
                <w:rFonts w:asciiTheme="minorHAnsi" w:hAnsiTheme="minorHAnsi"/>
                <w:sz w:val="18"/>
                <w:szCs w:val="18"/>
              </w:rPr>
              <w:t xml:space="preserve"> </w:t>
            </w:r>
            <w:proofErr w:type="spellStart"/>
            <w:r w:rsidRPr="008968DA">
              <w:rPr>
                <w:rFonts w:asciiTheme="minorHAnsi" w:hAnsiTheme="minorHAnsi"/>
                <w:sz w:val="18"/>
                <w:szCs w:val="18"/>
              </w:rPr>
              <w:t>and</w:t>
            </w:r>
            <w:proofErr w:type="spellEnd"/>
            <w:r w:rsidRPr="008968DA">
              <w:rPr>
                <w:rFonts w:asciiTheme="minorHAnsi" w:hAnsiTheme="minorHAnsi"/>
                <w:sz w:val="18"/>
                <w:szCs w:val="18"/>
              </w:rPr>
              <w:t xml:space="preserve"> </w:t>
            </w:r>
            <w:proofErr w:type="spellStart"/>
            <w:r w:rsidRPr="008968DA">
              <w:rPr>
                <w:rFonts w:asciiTheme="minorHAnsi" w:hAnsiTheme="minorHAnsi"/>
                <w:sz w:val="18"/>
                <w:szCs w:val="18"/>
              </w:rPr>
              <w:t>adding</w:t>
            </w:r>
            <w:proofErr w:type="spellEnd"/>
            <w:r w:rsidRPr="008968DA">
              <w:rPr>
                <w:rFonts w:asciiTheme="minorHAnsi" w:hAnsiTheme="minorHAnsi"/>
                <w:sz w:val="18"/>
                <w:szCs w:val="18"/>
              </w:rPr>
              <w:t xml:space="preserve"> Jenkins </w:t>
            </w:r>
            <w:proofErr w:type="spellStart"/>
            <w:r w:rsidRPr="008968DA">
              <w:rPr>
                <w:rFonts w:asciiTheme="minorHAnsi" w:hAnsiTheme="minorHAnsi"/>
                <w:sz w:val="18"/>
                <w:szCs w:val="18"/>
              </w:rPr>
              <w:t>slaves</w:t>
            </w:r>
            <w:proofErr w:type="spellEnd"/>
            <w:r w:rsidRPr="008968DA">
              <w:rPr>
                <w:rFonts w:asciiTheme="minorHAnsi" w:hAnsiTheme="minorHAnsi"/>
                <w:sz w:val="18"/>
                <w:szCs w:val="18"/>
              </w:rPr>
              <w:t xml:space="preserve">? </w:t>
            </w:r>
          </w:p>
        </w:tc>
        <w:tc>
          <w:tcPr>
            <w:tcW w:w="3118" w:type="dxa"/>
          </w:tcPr>
          <w:p w14:paraId="4C6060C6" w14:textId="2B767B2E" w:rsidR="002E5B77" w:rsidRPr="006B004E" w:rsidRDefault="0033697A" w:rsidP="00BF49A8">
            <w:pPr>
              <w:pStyle w:val="formulierstandaard"/>
              <w:spacing w:before="60" w:after="60" w:line="240" w:lineRule="auto"/>
              <w:ind w:left="0"/>
              <w:rPr>
                <w:rFonts w:ascii="Calibri" w:hAnsi="Calibri"/>
                <w:sz w:val="18"/>
                <w:szCs w:val="18"/>
                <w:lang w:val="en-GB"/>
              </w:rPr>
            </w:pPr>
            <w:r w:rsidRPr="0033697A">
              <w:rPr>
                <w:rFonts w:ascii="Calibri" w:hAnsi="Calibri"/>
                <w:sz w:val="18"/>
                <w:szCs w:val="18"/>
                <w:lang w:val="en-GB"/>
              </w:rPr>
              <w:t>No, that is not included. Our build process is not that massive to require additional slaves, at least not at this moment.</w:t>
            </w:r>
          </w:p>
        </w:tc>
      </w:tr>
      <w:tr w:rsidR="002E5B77" w:rsidRPr="00AA7D95" w14:paraId="4D1767B2" w14:textId="77777777" w:rsidTr="0033697A">
        <w:trPr>
          <w:cantSplit/>
        </w:trPr>
        <w:tc>
          <w:tcPr>
            <w:tcW w:w="851" w:type="dxa"/>
          </w:tcPr>
          <w:p w14:paraId="08BABEAC"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25</w:t>
            </w:r>
          </w:p>
        </w:tc>
        <w:tc>
          <w:tcPr>
            <w:tcW w:w="1140" w:type="dxa"/>
          </w:tcPr>
          <w:p w14:paraId="7F318175"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Change Set-Support</w:t>
            </w:r>
          </w:p>
        </w:tc>
        <w:tc>
          <w:tcPr>
            <w:tcW w:w="1843" w:type="dxa"/>
          </w:tcPr>
          <w:p w14:paraId="29404F74"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sidRPr="00C67F8B">
              <w:rPr>
                <w:rFonts w:ascii="Calibri" w:hAnsi="Calibri"/>
                <w:sz w:val="18"/>
                <w:szCs w:val="18"/>
                <w:lang w:val="en-GB"/>
              </w:rPr>
              <w:t>PS-10-4</w:t>
            </w:r>
          </w:p>
        </w:tc>
        <w:tc>
          <w:tcPr>
            <w:tcW w:w="3113" w:type="dxa"/>
          </w:tcPr>
          <w:p w14:paraId="2334E8FD"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Could Europeana provide us with an example of generating builds containing a preselected change set?   </w:t>
            </w:r>
          </w:p>
        </w:tc>
        <w:tc>
          <w:tcPr>
            <w:tcW w:w="3118" w:type="dxa"/>
          </w:tcPr>
          <w:p w14:paraId="3FDAEF34" w14:textId="464F1F69" w:rsidR="002E5B77" w:rsidRPr="006B004E" w:rsidRDefault="00771DCD" w:rsidP="00BF49A8">
            <w:pPr>
              <w:pStyle w:val="formulierstandaard"/>
              <w:spacing w:before="60" w:after="60" w:line="240" w:lineRule="auto"/>
              <w:ind w:left="0"/>
              <w:rPr>
                <w:rFonts w:ascii="Calibri" w:hAnsi="Calibri"/>
                <w:sz w:val="18"/>
                <w:szCs w:val="18"/>
                <w:lang w:val="en-GB"/>
              </w:rPr>
            </w:pPr>
            <w:r w:rsidRPr="00771DCD">
              <w:rPr>
                <w:rFonts w:ascii="Calibri" w:hAnsi="Calibri"/>
                <w:sz w:val="18"/>
                <w:szCs w:val="18"/>
                <w:lang w:val="en-GB"/>
              </w:rPr>
              <w:t>We do not have a specific example but a general description should suffice here. Europeana currently uses Jenkins build automation server. This solution supports building specific revisions of a project. Without insisting on Jenkins, this ability is referred to in this item.</w:t>
            </w:r>
          </w:p>
        </w:tc>
      </w:tr>
      <w:tr w:rsidR="002E5B77" w:rsidRPr="00AA7D95" w14:paraId="75C0DC3B" w14:textId="77777777" w:rsidTr="0033697A">
        <w:trPr>
          <w:cantSplit/>
        </w:trPr>
        <w:tc>
          <w:tcPr>
            <w:tcW w:w="851" w:type="dxa"/>
          </w:tcPr>
          <w:p w14:paraId="15F1EE49"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26</w:t>
            </w:r>
          </w:p>
        </w:tc>
        <w:tc>
          <w:tcPr>
            <w:tcW w:w="1140" w:type="dxa"/>
          </w:tcPr>
          <w:p w14:paraId="7D4F1918"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One-Click deploy</w:t>
            </w:r>
          </w:p>
        </w:tc>
        <w:tc>
          <w:tcPr>
            <w:tcW w:w="1843" w:type="dxa"/>
          </w:tcPr>
          <w:p w14:paraId="5E829EDC"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PS 10 </w:t>
            </w:r>
            <w:r w:rsidRPr="0071623B">
              <w:rPr>
                <w:rFonts w:ascii="Calibri" w:hAnsi="Calibri"/>
                <w:sz w:val="18"/>
                <w:szCs w:val="18"/>
                <w:lang w:val="en-GB"/>
              </w:rPr>
              <w:t>-</w:t>
            </w:r>
            <w:r>
              <w:rPr>
                <w:rFonts w:ascii="Calibri" w:hAnsi="Calibri"/>
                <w:sz w:val="18"/>
                <w:szCs w:val="18"/>
                <w:lang w:val="en-GB"/>
              </w:rPr>
              <w:t xml:space="preserve"> 7</w:t>
            </w:r>
          </w:p>
        </w:tc>
        <w:tc>
          <w:tcPr>
            <w:tcW w:w="3113" w:type="dxa"/>
          </w:tcPr>
          <w:p w14:paraId="5415428D"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Could Europeana specify what is meant by ´the system´ and ‘the entire system’?  </w:t>
            </w:r>
          </w:p>
        </w:tc>
        <w:tc>
          <w:tcPr>
            <w:tcW w:w="3118" w:type="dxa"/>
          </w:tcPr>
          <w:p w14:paraId="4EA6F2E3" w14:textId="10765370" w:rsidR="002E5B77" w:rsidRPr="006B004E" w:rsidRDefault="00771DCD" w:rsidP="00BF49A8">
            <w:pPr>
              <w:pStyle w:val="formulierstandaard"/>
              <w:spacing w:before="60" w:after="60" w:line="240" w:lineRule="auto"/>
              <w:ind w:left="0"/>
              <w:rPr>
                <w:rFonts w:ascii="Calibri" w:hAnsi="Calibri"/>
                <w:sz w:val="18"/>
                <w:szCs w:val="18"/>
                <w:lang w:val="en-GB"/>
              </w:rPr>
            </w:pPr>
            <w:r w:rsidRPr="00771DCD">
              <w:rPr>
                <w:rFonts w:ascii="Calibri" w:hAnsi="Calibri"/>
                <w:sz w:val="18"/>
                <w:szCs w:val="18"/>
                <w:lang w:val="en-GB"/>
              </w:rPr>
              <w:t>Here under components of the system we mean build outputs of one or several software projects (e.g., a WAR or a JAR file) and under the entire system we mean outputs of all the software projects registered in the build server. Essentially, there is no difference between the two. The idea was merely to emphasize the need for flexibility in building components - some builds should be defi</w:t>
            </w:r>
            <w:r>
              <w:rPr>
                <w:rFonts w:ascii="Calibri" w:hAnsi="Calibri"/>
                <w:sz w:val="18"/>
                <w:szCs w:val="18"/>
                <w:lang w:val="en-GB"/>
              </w:rPr>
              <w:t>ned for parts of the (Europeana</w:t>
            </w:r>
            <w:r w:rsidRPr="00771DCD">
              <w:rPr>
                <w:rFonts w:ascii="Calibri" w:hAnsi="Calibri"/>
                <w:sz w:val="18"/>
                <w:szCs w:val="18"/>
                <w:lang w:val="en-GB"/>
              </w:rPr>
              <w:t>´s) system - e.g., the frontend portal, and others will build the whole system upon all its parts.</w:t>
            </w:r>
          </w:p>
        </w:tc>
      </w:tr>
      <w:tr w:rsidR="002E5B77" w:rsidRPr="00AA7D95" w14:paraId="185E899A" w14:textId="77777777" w:rsidTr="0033697A">
        <w:trPr>
          <w:cantSplit/>
        </w:trPr>
        <w:tc>
          <w:tcPr>
            <w:tcW w:w="851" w:type="dxa"/>
          </w:tcPr>
          <w:p w14:paraId="02CDC79C"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27</w:t>
            </w:r>
          </w:p>
        </w:tc>
        <w:tc>
          <w:tcPr>
            <w:tcW w:w="1140" w:type="dxa"/>
          </w:tcPr>
          <w:p w14:paraId="2B6F6F09"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Hot Deployment </w:t>
            </w:r>
          </w:p>
        </w:tc>
        <w:tc>
          <w:tcPr>
            <w:tcW w:w="1843" w:type="dxa"/>
          </w:tcPr>
          <w:p w14:paraId="6D036B0F" w14:textId="77777777" w:rsidR="002E5B77" w:rsidRPr="006739CA" w:rsidRDefault="002E5B77" w:rsidP="00BF49A8">
            <w:pPr>
              <w:pStyle w:val="formulierstandaard"/>
              <w:spacing w:before="60" w:after="60" w:line="240" w:lineRule="auto"/>
              <w:ind w:left="0"/>
              <w:rPr>
                <w:rFonts w:ascii="Calibri" w:hAnsi="Calibri"/>
                <w:sz w:val="18"/>
                <w:szCs w:val="18"/>
                <w:lang w:val="en-GB"/>
              </w:rPr>
            </w:pPr>
            <w:r w:rsidRPr="006739CA">
              <w:rPr>
                <w:rFonts w:ascii="Calibri" w:hAnsi="Calibri"/>
                <w:sz w:val="18"/>
                <w:szCs w:val="18"/>
                <w:lang w:val="en-GB"/>
              </w:rPr>
              <w:t xml:space="preserve">PS 10 -10 </w:t>
            </w:r>
          </w:p>
          <w:p w14:paraId="372F1789" w14:textId="77777777" w:rsidR="002E5B77" w:rsidRPr="006B004E" w:rsidRDefault="002E5B77" w:rsidP="00BF49A8">
            <w:pPr>
              <w:pStyle w:val="formulierstandaard"/>
              <w:spacing w:before="60" w:after="60" w:line="240" w:lineRule="auto"/>
              <w:ind w:left="0"/>
              <w:rPr>
                <w:rFonts w:ascii="Calibri" w:hAnsi="Calibri"/>
                <w:sz w:val="18"/>
                <w:szCs w:val="18"/>
                <w:lang w:val="en-GB"/>
              </w:rPr>
            </w:pPr>
          </w:p>
        </w:tc>
        <w:tc>
          <w:tcPr>
            <w:tcW w:w="3113" w:type="dxa"/>
          </w:tcPr>
          <w:p w14:paraId="24A6AAA1" w14:textId="77777777" w:rsidR="002E5B77" w:rsidRPr="006739CA"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Could Europeana specify the</w:t>
            </w:r>
            <w:r w:rsidRPr="006739CA">
              <w:rPr>
                <w:rFonts w:ascii="Calibri" w:hAnsi="Calibri"/>
                <w:sz w:val="18"/>
                <w:szCs w:val="18"/>
                <w:lang w:val="en-GB"/>
              </w:rPr>
              <w:t xml:space="preserve"> exact deployment strategy to ensure that specific hot deployments can be executed. </w:t>
            </w:r>
          </w:p>
        </w:tc>
        <w:tc>
          <w:tcPr>
            <w:tcW w:w="3118" w:type="dxa"/>
          </w:tcPr>
          <w:p w14:paraId="28EC9D62" w14:textId="464376DF" w:rsidR="002E5B77" w:rsidRPr="006B004E" w:rsidRDefault="00771DCD" w:rsidP="00BF49A8">
            <w:pPr>
              <w:pStyle w:val="formulierstandaard"/>
              <w:spacing w:before="60" w:after="60" w:line="240" w:lineRule="auto"/>
              <w:ind w:left="0"/>
              <w:rPr>
                <w:rFonts w:ascii="Calibri" w:hAnsi="Calibri"/>
                <w:sz w:val="18"/>
                <w:szCs w:val="18"/>
                <w:lang w:val="en-GB"/>
              </w:rPr>
            </w:pPr>
            <w:r w:rsidRPr="00771DCD">
              <w:rPr>
                <w:rFonts w:ascii="Calibri" w:hAnsi="Calibri"/>
                <w:sz w:val="18"/>
                <w:szCs w:val="18"/>
                <w:lang w:val="en-GB"/>
              </w:rPr>
              <w:t xml:space="preserve">For several components of its stack Europeana uses application clusters - e.g. for Apache Tomcat, Apache </w:t>
            </w:r>
            <w:proofErr w:type="spellStart"/>
            <w:r w:rsidRPr="00771DCD">
              <w:rPr>
                <w:rFonts w:ascii="Calibri" w:hAnsi="Calibri"/>
                <w:sz w:val="18"/>
                <w:szCs w:val="18"/>
                <w:lang w:val="en-GB"/>
              </w:rPr>
              <w:t>Solr</w:t>
            </w:r>
            <w:proofErr w:type="spellEnd"/>
            <w:r w:rsidRPr="00771DCD">
              <w:rPr>
                <w:rFonts w:ascii="Calibri" w:hAnsi="Calibri"/>
                <w:sz w:val="18"/>
                <w:szCs w:val="18"/>
                <w:lang w:val="en-GB"/>
              </w:rPr>
              <w:t xml:space="preserve">, </w:t>
            </w:r>
            <w:proofErr w:type="spellStart"/>
            <w:r w:rsidRPr="00771DCD">
              <w:rPr>
                <w:rFonts w:ascii="Calibri" w:hAnsi="Calibri"/>
                <w:sz w:val="18"/>
                <w:szCs w:val="18"/>
                <w:lang w:val="en-GB"/>
              </w:rPr>
              <w:t>MongoDB</w:t>
            </w:r>
            <w:proofErr w:type="spellEnd"/>
            <w:r w:rsidRPr="00771DCD">
              <w:rPr>
                <w:rFonts w:ascii="Calibri" w:hAnsi="Calibri"/>
                <w:sz w:val="18"/>
                <w:szCs w:val="18"/>
                <w:lang w:val="en-GB"/>
              </w:rPr>
              <w:t>. Currently, we ensure in a manual way responsiveness of an application cluster during a deployment. We keep some nodes alive while others are patched and then switch the nodes. The requirement stated here is about automatic support for this procedure. The ideal deployment strategy for Europeana, to be awarded the full score, would be launching a deploy process within the CI server that will result in a full deployment of the artefacts to all the nodes in a cluster without any downtime during the process. Every intermediate combination between a fully automated deployment and a manual deployment, like today, will be awarded a part of the full score.</w:t>
            </w:r>
          </w:p>
        </w:tc>
      </w:tr>
      <w:tr w:rsidR="002E5B77" w:rsidRPr="00AA7D95" w14:paraId="3AC24D26" w14:textId="77777777" w:rsidTr="0033697A">
        <w:trPr>
          <w:cantSplit/>
        </w:trPr>
        <w:tc>
          <w:tcPr>
            <w:tcW w:w="851" w:type="dxa"/>
          </w:tcPr>
          <w:p w14:paraId="7DD199FB"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28</w:t>
            </w:r>
          </w:p>
        </w:tc>
        <w:tc>
          <w:tcPr>
            <w:tcW w:w="1140" w:type="dxa"/>
          </w:tcPr>
          <w:p w14:paraId="6D0D257F"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Open Source</w:t>
            </w:r>
          </w:p>
        </w:tc>
        <w:tc>
          <w:tcPr>
            <w:tcW w:w="1843" w:type="dxa"/>
          </w:tcPr>
          <w:p w14:paraId="2C6467F5"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PS 12</w:t>
            </w:r>
          </w:p>
        </w:tc>
        <w:tc>
          <w:tcPr>
            <w:tcW w:w="3113" w:type="dxa"/>
          </w:tcPr>
          <w:p w14:paraId="22F4EE5C"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Should the platform-enabling solution be based on</w:t>
            </w:r>
            <w:r w:rsidRPr="002464F7">
              <w:rPr>
                <w:rFonts w:ascii="Calibri" w:hAnsi="Calibri"/>
                <w:sz w:val="18"/>
                <w:szCs w:val="18"/>
                <w:lang w:val="en-GB"/>
              </w:rPr>
              <w:t xml:space="preserve"> open</w:t>
            </w:r>
            <w:r>
              <w:rPr>
                <w:rFonts w:ascii="Calibri" w:hAnsi="Calibri"/>
                <w:sz w:val="18"/>
                <w:szCs w:val="18"/>
                <w:lang w:val="en-GB"/>
              </w:rPr>
              <w:t xml:space="preserve"> </w:t>
            </w:r>
            <w:r w:rsidRPr="002464F7">
              <w:rPr>
                <w:rFonts w:ascii="Calibri" w:hAnsi="Calibri"/>
                <w:sz w:val="18"/>
                <w:szCs w:val="18"/>
                <w:lang w:val="en-GB"/>
              </w:rPr>
              <w:t xml:space="preserve">source </w:t>
            </w:r>
            <w:r>
              <w:rPr>
                <w:rFonts w:ascii="Calibri" w:hAnsi="Calibri"/>
                <w:sz w:val="18"/>
                <w:szCs w:val="18"/>
                <w:lang w:val="en-GB"/>
              </w:rPr>
              <w:t>as well</w:t>
            </w:r>
            <w:r w:rsidRPr="002464F7">
              <w:rPr>
                <w:rFonts w:ascii="Calibri" w:hAnsi="Calibri"/>
                <w:sz w:val="18"/>
                <w:szCs w:val="18"/>
                <w:lang w:val="en-GB"/>
              </w:rPr>
              <w:t xml:space="preserve">, </w:t>
            </w:r>
            <w:r>
              <w:rPr>
                <w:rFonts w:ascii="Calibri" w:hAnsi="Calibri"/>
                <w:sz w:val="18"/>
                <w:szCs w:val="18"/>
                <w:lang w:val="en-GB"/>
              </w:rPr>
              <w:t xml:space="preserve">or does this exclusively apply to the supplied platforms which contains of  the operating system, service on the systems and applications on systems. </w:t>
            </w:r>
          </w:p>
        </w:tc>
        <w:tc>
          <w:tcPr>
            <w:tcW w:w="3118" w:type="dxa"/>
          </w:tcPr>
          <w:p w14:paraId="2968F66C" w14:textId="433BEE30" w:rsidR="002E5B77" w:rsidRPr="006B004E" w:rsidRDefault="00771DCD" w:rsidP="00BF49A8">
            <w:pPr>
              <w:pStyle w:val="formulierstandaard"/>
              <w:spacing w:before="60" w:after="60" w:line="240" w:lineRule="auto"/>
              <w:ind w:left="0"/>
              <w:rPr>
                <w:rFonts w:ascii="Calibri" w:hAnsi="Calibri"/>
                <w:sz w:val="18"/>
                <w:szCs w:val="18"/>
                <w:lang w:val="en-GB"/>
              </w:rPr>
            </w:pPr>
            <w:r w:rsidRPr="00771DCD">
              <w:rPr>
                <w:rFonts w:ascii="Calibri" w:hAnsi="Calibri"/>
                <w:sz w:val="18"/>
                <w:szCs w:val="18"/>
                <w:lang w:val="en-GB"/>
              </w:rPr>
              <w:t xml:space="preserve">The question is not clear. The open-source requirement refers to the underlying system/platform providing the </w:t>
            </w:r>
            <w:proofErr w:type="spellStart"/>
            <w:r w:rsidRPr="00771DCD">
              <w:rPr>
                <w:rFonts w:ascii="Calibri" w:hAnsi="Calibri"/>
                <w:sz w:val="18"/>
                <w:szCs w:val="18"/>
                <w:lang w:val="en-GB"/>
              </w:rPr>
              <w:t>PaaS</w:t>
            </w:r>
            <w:proofErr w:type="spellEnd"/>
            <w:r w:rsidRPr="00771DCD">
              <w:rPr>
                <w:rFonts w:ascii="Calibri" w:hAnsi="Calibri"/>
                <w:sz w:val="18"/>
                <w:szCs w:val="18"/>
                <w:lang w:val="en-GB"/>
              </w:rPr>
              <w:t xml:space="preserve"> (see question 23). For example, Cloud Foundry is an open-source solution and a system based on it will be awarded the full score.</w:t>
            </w:r>
          </w:p>
        </w:tc>
      </w:tr>
      <w:tr w:rsidR="002E5B77" w:rsidRPr="002E5B77" w14:paraId="3361D3A9" w14:textId="77777777" w:rsidTr="0033697A">
        <w:trPr>
          <w:cantSplit/>
        </w:trPr>
        <w:tc>
          <w:tcPr>
            <w:tcW w:w="851" w:type="dxa"/>
          </w:tcPr>
          <w:p w14:paraId="4B168252"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29</w:t>
            </w:r>
          </w:p>
        </w:tc>
        <w:tc>
          <w:tcPr>
            <w:tcW w:w="1140" w:type="dxa"/>
          </w:tcPr>
          <w:p w14:paraId="399263A0"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Availability </w:t>
            </w:r>
          </w:p>
        </w:tc>
        <w:tc>
          <w:tcPr>
            <w:tcW w:w="1843" w:type="dxa"/>
          </w:tcPr>
          <w:p w14:paraId="4004B0D0"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sidRPr="00F32668">
              <w:rPr>
                <w:rFonts w:ascii="Calibri" w:hAnsi="Calibri"/>
                <w:sz w:val="18"/>
                <w:szCs w:val="18"/>
                <w:lang w:val="en-GB"/>
              </w:rPr>
              <w:t>PR 2-2</w:t>
            </w:r>
          </w:p>
        </w:tc>
        <w:tc>
          <w:tcPr>
            <w:tcW w:w="3113" w:type="dxa"/>
          </w:tcPr>
          <w:p w14:paraId="0F00048A" w14:textId="77777777" w:rsidR="002E5B77" w:rsidRPr="00A87966"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Could Europeana give more information on the amount and nature of incidents over the last 12 months? </w:t>
            </w:r>
          </w:p>
        </w:tc>
        <w:tc>
          <w:tcPr>
            <w:tcW w:w="3118" w:type="dxa"/>
          </w:tcPr>
          <w:p w14:paraId="428EDF8B" w14:textId="77777777" w:rsidR="00771DCD" w:rsidRPr="00771DCD" w:rsidRDefault="00771DCD" w:rsidP="00BF49A8">
            <w:pPr>
              <w:pStyle w:val="formulierstandaard"/>
              <w:spacing w:before="60" w:after="60" w:line="240" w:lineRule="auto"/>
              <w:rPr>
                <w:rFonts w:ascii="Calibri" w:hAnsi="Calibri"/>
                <w:sz w:val="18"/>
                <w:szCs w:val="18"/>
                <w:lang w:val="en-GB"/>
              </w:rPr>
            </w:pPr>
            <w:r w:rsidRPr="00771DCD">
              <w:rPr>
                <w:rFonts w:ascii="Calibri" w:hAnsi="Calibri"/>
                <w:sz w:val="18"/>
                <w:szCs w:val="18"/>
                <w:lang w:val="en-GB"/>
              </w:rPr>
              <w:t>We do not have the means to provide a full account of our incidents over the last 12 months. But looking at some examples should be enough for a general picture or our incident record:</w:t>
            </w:r>
          </w:p>
          <w:p w14:paraId="7E229F46" w14:textId="33F5713A" w:rsidR="00771DCD" w:rsidRPr="00771DCD" w:rsidRDefault="00771DCD" w:rsidP="007E5BDD">
            <w:pPr>
              <w:pStyle w:val="formulierstandaard"/>
              <w:numPr>
                <w:ilvl w:val="0"/>
                <w:numId w:val="10"/>
              </w:numPr>
              <w:spacing w:before="60" w:after="60" w:line="240" w:lineRule="auto"/>
              <w:ind w:left="360"/>
              <w:rPr>
                <w:rFonts w:ascii="Calibri" w:hAnsi="Calibri"/>
                <w:sz w:val="18"/>
                <w:szCs w:val="18"/>
                <w:lang w:val="en-GB"/>
              </w:rPr>
            </w:pPr>
            <w:r w:rsidRPr="00771DCD">
              <w:rPr>
                <w:rFonts w:ascii="Calibri" w:hAnsi="Calibri"/>
                <w:sz w:val="18"/>
                <w:szCs w:val="18"/>
                <w:lang w:val="en-GB"/>
              </w:rPr>
              <w:t>an application is not responding (crashed or stuck)</w:t>
            </w:r>
          </w:p>
          <w:p w14:paraId="11454116" w14:textId="41406D20" w:rsidR="00771DCD" w:rsidRPr="00771DCD" w:rsidRDefault="00771DCD" w:rsidP="007E5BDD">
            <w:pPr>
              <w:pStyle w:val="formulierstandaard"/>
              <w:numPr>
                <w:ilvl w:val="0"/>
                <w:numId w:val="10"/>
              </w:numPr>
              <w:spacing w:before="60" w:after="60" w:line="240" w:lineRule="auto"/>
              <w:ind w:left="360"/>
              <w:rPr>
                <w:rFonts w:ascii="Calibri" w:hAnsi="Calibri"/>
                <w:sz w:val="18"/>
                <w:szCs w:val="18"/>
                <w:lang w:val="en-GB"/>
              </w:rPr>
            </w:pPr>
            <w:r w:rsidRPr="00771DCD">
              <w:rPr>
                <w:rFonts w:ascii="Calibri" w:hAnsi="Calibri"/>
                <w:sz w:val="18"/>
                <w:szCs w:val="18"/>
                <w:lang w:val="en-GB"/>
              </w:rPr>
              <w:t>no disk space, database space exceeded</w:t>
            </w:r>
          </w:p>
          <w:p w14:paraId="28DE97D3" w14:textId="5FA74B5A" w:rsidR="00771DCD" w:rsidRPr="00771DCD" w:rsidRDefault="00771DCD" w:rsidP="007E5BDD">
            <w:pPr>
              <w:pStyle w:val="formulierstandaard"/>
              <w:numPr>
                <w:ilvl w:val="0"/>
                <w:numId w:val="10"/>
              </w:numPr>
              <w:spacing w:before="60" w:after="60" w:line="240" w:lineRule="auto"/>
              <w:ind w:left="360"/>
              <w:rPr>
                <w:rFonts w:ascii="Calibri" w:hAnsi="Calibri"/>
                <w:sz w:val="18"/>
                <w:szCs w:val="18"/>
                <w:lang w:val="en-GB"/>
              </w:rPr>
            </w:pPr>
            <w:r w:rsidRPr="00771DCD">
              <w:rPr>
                <w:rFonts w:ascii="Calibri" w:hAnsi="Calibri"/>
                <w:sz w:val="18"/>
                <w:szCs w:val="18"/>
                <w:lang w:val="en-GB"/>
              </w:rPr>
              <w:t>excessive CPU/Memory consumption as a result of an application error or external condition</w:t>
            </w:r>
          </w:p>
          <w:p w14:paraId="7E734148" w14:textId="300296A9" w:rsidR="00771DCD" w:rsidRPr="00771DCD" w:rsidRDefault="00771DCD" w:rsidP="007E5BDD">
            <w:pPr>
              <w:pStyle w:val="formulierstandaard"/>
              <w:numPr>
                <w:ilvl w:val="0"/>
                <w:numId w:val="10"/>
              </w:numPr>
              <w:spacing w:before="60" w:after="60" w:line="240" w:lineRule="auto"/>
              <w:ind w:left="360"/>
              <w:rPr>
                <w:rFonts w:ascii="Calibri" w:hAnsi="Calibri"/>
                <w:sz w:val="18"/>
                <w:szCs w:val="18"/>
                <w:lang w:val="en-GB"/>
              </w:rPr>
            </w:pPr>
            <w:r w:rsidRPr="00771DCD">
              <w:rPr>
                <w:rFonts w:ascii="Calibri" w:hAnsi="Calibri"/>
                <w:sz w:val="18"/>
                <w:szCs w:val="18"/>
                <w:lang w:val="en-GB"/>
              </w:rPr>
              <w:t xml:space="preserve">a </w:t>
            </w:r>
            <w:proofErr w:type="spellStart"/>
            <w:r w:rsidRPr="00771DCD">
              <w:rPr>
                <w:rFonts w:ascii="Calibri" w:hAnsi="Calibri"/>
                <w:sz w:val="18"/>
                <w:szCs w:val="18"/>
                <w:lang w:val="en-GB"/>
              </w:rPr>
              <w:t>ddos</w:t>
            </w:r>
            <w:proofErr w:type="spellEnd"/>
            <w:r w:rsidRPr="00771DCD">
              <w:rPr>
                <w:rFonts w:ascii="Calibri" w:hAnsi="Calibri"/>
                <w:sz w:val="18"/>
                <w:szCs w:val="18"/>
                <w:lang w:val="en-GB"/>
              </w:rPr>
              <w:t xml:space="preserve"> attack resulting in traffic surge</w:t>
            </w:r>
          </w:p>
          <w:p w14:paraId="49EF5DB5" w14:textId="389058BE" w:rsidR="00771DCD" w:rsidRDefault="00771DCD" w:rsidP="007E5BDD">
            <w:pPr>
              <w:pStyle w:val="formulierstandaard"/>
              <w:numPr>
                <w:ilvl w:val="0"/>
                <w:numId w:val="10"/>
              </w:numPr>
              <w:spacing w:before="60" w:after="60" w:line="240" w:lineRule="auto"/>
              <w:ind w:left="360"/>
              <w:rPr>
                <w:rFonts w:ascii="Calibri" w:hAnsi="Calibri"/>
                <w:sz w:val="18"/>
                <w:szCs w:val="18"/>
                <w:lang w:val="en-GB"/>
              </w:rPr>
            </w:pPr>
            <w:r>
              <w:rPr>
                <w:rFonts w:ascii="Calibri" w:hAnsi="Calibri"/>
                <w:sz w:val="18"/>
                <w:szCs w:val="18"/>
                <w:lang w:val="en-GB"/>
              </w:rPr>
              <w:t>supplier</w:t>
            </w:r>
            <w:r w:rsidRPr="00771DCD">
              <w:rPr>
                <w:rFonts w:ascii="Calibri" w:hAnsi="Calibri"/>
                <w:sz w:val="18"/>
                <w:szCs w:val="18"/>
                <w:lang w:val="en-GB"/>
              </w:rPr>
              <w:t>´s system failure</w:t>
            </w:r>
          </w:p>
          <w:p w14:paraId="0EBAE7F8" w14:textId="7EEAB327" w:rsidR="002E5B77" w:rsidRPr="00771DCD" w:rsidRDefault="00771DCD" w:rsidP="007E5BDD">
            <w:pPr>
              <w:pStyle w:val="formulierstandaard"/>
              <w:numPr>
                <w:ilvl w:val="0"/>
                <w:numId w:val="10"/>
              </w:numPr>
              <w:spacing w:before="60" w:after="60" w:line="240" w:lineRule="auto"/>
              <w:ind w:left="360"/>
              <w:rPr>
                <w:rFonts w:ascii="Calibri" w:hAnsi="Calibri"/>
                <w:sz w:val="18"/>
                <w:szCs w:val="18"/>
                <w:lang w:val="en-GB"/>
              </w:rPr>
            </w:pPr>
            <w:r w:rsidRPr="00771DCD">
              <w:rPr>
                <w:rFonts w:ascii="Calibri" w:hAnsi="Calibri"/>
                <w:sz w:val="18"/>
                <w:szCs w:val="18"/>
                <w:lang w:val="en-GB"/>
              </w:rPr>
              <w:t>load-balancer failure</w:t>
            </w:r>
          </w:p>
        </w:tc>
      </w:tr>
      <w:tr w:rsidR="002E5B77" w:rsidRPr="002E5B77" w14:paraId="572F555D" w14:textId="77777777" w:rsidTr="0033697A">
        <w:trPr>
          <w:cantSplit/>
        </w:trPr>
        <w:tc>
          <w:tcPr>
            <w:tcW w:w="851" w:type="dxa"/>
          </w:tcPr>
          <w:p w14:paraId="4B01C792"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30</w:t>
            </w:r>
          </w:p>
        </w:tc>
        <w:tc>
          <w:tcPr>
            <w:tcW w:w="1140" w:type="dxa"/>
          </w:tcPr>
          <w:p w14:paraId="1E520954"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Availability </w:t>
            </w:r>
          </w:p>
        </w:tc>
        <w:tc>
          <w:tcPr>
            <w:tcW w:w="1843" w:type="dxa"/>
          </w:tcPr>
          <w:p w14:paraId="4C3C9476"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PR 1-1 </w:t>
            </w:r>
          </w:p>
        </w:tc>
        <w:tc>
          <w:tcPr>
            <w:tcW w:w="3113" w:type="dxa"/>
          </w:tcPr>
          <w:p w14:paraId="4B184E81" w14:textId="77777777" w:rsidR="002E5B77" w:rsidRPr="00A87966"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Is the demanded availability of 99,95% uptime measured on a monthly or a yearly basis?  </w:t>
            </w:r>
          </w:p>
        </w:tc>
        <w:tc>
          <w:tcPr>
            <w:tcW w:w="3118" w:type="dxa"/>
          </w:tcPr>
          <w:p w14:paraId="7E888A52" w14:textId="77777777" w:rsidR="002E5B77" w:rsidRPr="006B004E" w:rsidRDefault="00FE183B"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On a monthly basis.</w:t>
            </w:r>
          </w:p>
        </w:tc>
      </w:tr>
      <w:tr w:rsidR="002E5B77" w:rsidRPr="00AA7D95" w14:paraId="5014884F" w14:textId="77777777" w:rsidTr="0033697A">
        <w:trPr>
          <w:cantSplit/>
        </w:trPr>
        <w:tc>
          <w:tcPr>
            <w:tcW w:w="851" w:type="dxa"/>
          </w:tcPr>
          <w:p w14:paraId="4DEAA813"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31</w:t>
            </w:r>
          </w:p>
        </w:tc>
        <w:tc>
          <w:tcPr>
            <w:tcW w:w="1140" w:type="dxa"/>
          </w:tcPr>
          <w:p w14:paraId="3E3ED232" w14:textId="77777777" w:rsidR="002E5B77" w:rsidRPr="000E7558"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Availability</w:t>
            </w:r>
          </w:p>
        </w:tc>
        <w:tc>
          <w:tcPr>
            <w:tcW w:w="1843" w:type="dxa"/>
          </w:tcPr>
          <w:p w14:paraId="0B129438"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PR 1-1</w:t>
            </w:r>
          </w:p>
        </w:tc>
        <w:tc>
          <w:tcPr>
            <w:tcW w:w="3113" w:type="dxa"/>
          </w:tcPr>
          <w:p w14:paraId="62CCE9D4"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What is the exact definition of availability? (e.g. functional, performance, application layer).</w:t>
            </w:r>
          </w:p>
        </w:tc>
        <w:tc>
          <w:tcPr>
            <w:tcW w:w="3118" w:type="dxa"/>
          </w:tcPr>
          <w:p w14:paraId="6A3360C6" w14:textId="7737021E" w:rsidR="002E5B77" w:rsidRPr="006B004E" w:rsidRDefault="00A93BDA" w:rsidP="00BF49A8">
            <w:pPr>
              <w:pStyle w:val="formulierstandaard"/>
              <w:spacing w:before="60" w:after="60" w:line="240" w:lineRule="auto"/>
              <w:ind w:left="0"/>
              <w:rPr>
                <w:rFonts w:ascii="Calibri" w:hAnsi="Calibri"/>
                <w:sz w:val="18"/>
                <w:szCs w:val="18"/>
                <w:lang w:val="en-GB"/>
              </w:rPr>
            </w:pPr>
            <w:r w:rsidRPr="00A93BDA">
              <w:rPr>
                <w:rFonts w:ascii="Calibri" w:hAnsi="Calibri"/>
                <w:sz w:val="18"/>
                <w:szCs w:val="18"/>
                <w:lang w:val="en-GB"/>
              </w:rPr>
              <w:t>Our expectation is that the systems that are supplied by the provider as part of the service should fall under the definition of availability. For example, colocation services, physical machines, hard disks, electricity supply, virtual machines, software applications, man</w:t>
            </w:r>
            <w:r>
              <w:rPr>
                <w:rFonts w:ascii="Calibri" w:hAnsi="Calibri"/>
                <w:sz w:val="18"/>
                <w:szCs w:val="18"/>
                <w:lang w:val="en-GB"/>
              </w:rPr>
              <w:t>aged services etc. If Europeana</w:t>
            </w:r>
            <w:r w:rsidRPr="00A93BDA">
              <w:rPr>
                <w:rFonts w:ascii="Calibri" w:hAnsi="Calibri"/>
                <w:sz w:val="18"/>
                <w:szCs w:val="18"/>
                <w:lang w:val="en-GB"/>
              </w:rPr>
              <w:t xml:space="preserve">´s systems were unavailable due to their internal failure, then this is not considered an instance of </w:t>
            </w:r>
            <w:r>
              <w:rPr>
                <w:rFonts w:ascii="Calibri" w:hAnsi="Calibri"/>
                <w:sz w:val="18"/>
                <w:szCs w:val="18"/>
                <w:lang w:val="en-GB"/>
              </w:rPr>
              <w:t>unavailability due to a provider</w:t>
            </w:r>
            <w:r w:rsidRPr="00A93BDA">
              <w:rPr>
                <w:rFonts w:ascii="Calibri" w:hAnsi="Calibri"/>
                <w:sz w:val="18"/>
                <w:szCs w:val="18"/>
                <w:lang w:val="en-GB"/>
              </w:rPr>
              <w:t>´s failure. But we do expect the provider to have enough reporting and investigating capabilities to detect whether a problem is</w:t>
            </w:r>
            <w:r>
              <w:rPr>
                <w:rFonts w:ascii="Calibri" w:hAnsi="Calibri"/>
                <w:sz w:val="18"/>
                <w:szCs w:val="18"/>
                <w:lang w:val="en-GB"/>
              </w:rPr>
              <w:t xml:space="preserve"> on the side of Europeana</w:t>
            </w:r>
            <w:r w:rsidRPr="00A93BDA">
              <w:rPr>
                <w:rFonts w:ascii="Calibri" w:hAnsi="Calibri"/>
                <w:sz w:val="18"/>
                <w:szCs w:val="18"/>
                <w:lang w:val="en-GB"/>
              </w:rPr>
              <w:t xml:space="preserve">´s </w:t>
            </w:r>
            <w:r>
              <w:rPr>
                <w:rFonts w:ascii="Calibri" w:hAnsi="Calibri"/>
                <w:sz w:val="18"/>
                <w:szCs w:val="18"/>
                <w:lang w:val="en-GB"/>
              </w:rPr>
              <w:t>applications or on the provider</w:t>
            </w:r>
            <w:r w:rsidRPr="00A93BDA">
              <w:rPr>
                <w:rFonts w:ascii="Calibri" w:hAnsi="Calibri"/>
                <w:sz w:val="18"/>
                <w:szCs w:val="18"/>
                <w:lang w:val="en-GB"/>
              </w:rPr>
              <w:t>´s side. In case of an unavailability instance due to a problem whose source is</w:t>
            </w:r>
            <w:r>
              <w:rPr>
                <w:rFonts w:ascii="Calibri" w:hAnsi="Calibri"/>
                <w:sz w:val="18"/>
                <w:szCs w:val="18"/>
                <w:lang w:val="en-GB"/>
              </w:rPr>
              <w:t xml:space="preserve"> unknown, that is when provider</w:t>
            </w:r>
            <w:r w:rsidRPr="00A93BDA">
              <w:rPr>
                <w:rFonts w:ascii="Calibri" w:hAnsi="Calibri"/>
                <w:sz w:val="18"/>
                <w:szCs w:val="18"/>
                <w:lang w:val="en-GB"/>
              </w:rPr>
              <w:t>´s systems are incapable of detecting the location of the primary root of the problem, Europeana will assume that the unav</w:t>
            </w:r>
            <w:r>
              <w:rPr>
                <w:rFonts w:ascii="Calibri" w:hAnsi="Calibri"/>
                <w:sz w:val="18"/>
                <w:szCs w:val="18"/>
                <w:lang w:val="en-GB"/>
              </w:rPr>
              <w:t>ailability is due to a provider</w:t>
            </w:r>
            <w:r w:rsidRPr="00A93BDA">
              <w:rPr>
                <w:rFonts w:ascii="Calibri" w:hAnsi="Calibri"/>
                <w:sz w:val="18"/>
                <w:szCs w:val="18"/>
                <w:lang w:val="en-GB"/>
              </w:rPr>
              <w:t>´s failure.</w:t>
            </w:r>
          </w:p>
        </w:tc>
      </w:tr>
      <w:tr w:rsidR="002E5B77" w:rsidRPr="00AA7D95" w14:paraId="10380FB1" w14:textId="77777777" w:rsidTr="0033697A">
        <w:trPr>
          <w:cantSplit/>
        </w:trPr>
        <w:tc>
          <w:tcPr>
            <w:tcW w:w="851" w:type="dxa"/>
          </w:tcPr>
          <w:p w14:paraId="3EBE2C9F"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32</w:t>
            </w:r>
          </w:p>
        </w:tc>
        <w:tc>
          <w:tcPr>
            <w:tcW w:w="1140" w:type="dxa"/>
          </w:tcPr>
          <w:p w14:paraId="20C29526"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sidRPr="00F32668">
              <w:rPr>
                <w:rFonts w:ascii="Calibri" w:hAnsi="Calibri"/>
                <w:sz w:val="18"/>
                <w:szCs w:val="18"/>
                <w:lang w:val="en-GB"/>
              </w:rPr>
              <w:t>General</w:t>
            </w:r>
            <w:r>
              <w:rPr>
                <w:rFonts w:ascii="Calibri" w:hAnsi="Calibri"/>
                <w:sz w:val="18"/>
                <w:szCs w:val="18"/>
                <w:lang w:val="en-GB"/>
              </w:rPr>
              <w:t xml:space="preserve"> maintenance</w:t>
            </w:r>
          </w:p>
        </w:tc>
        <w:tc>
          <w:tcPr>
            <w:tcW w:w="1843" w:type="dxa"/>
          </w:tcPr>
          <w:p w14:paraId="63E08DEC"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 xml:space="preserve">. </w:t>
            </w:r>
          </w:p>
        </w:tc>
        <w:tc>
          <w:tcPr>
            <w:tcW w:w="3113" w:type="dxa"/>
          </w:tcPr>
          <w:p w14:paraId="38B17CA3"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Could Europeana specify the frequency of application changes in recent years? </w:t>
            </w:r>
          </w:p>
        </w:tc>
        <w:tc>
          <w:tcPr>
            <w:tcW w:w="3118" w:type="dxa"/>
          </w:tcPr>
          <w:p w14:paraId="0C075442" w14:textId="2D5CA3AB" w:rsidR="002E5B77" w:rsidRPr="006B004E" w:rsidRDefault="00A93BDA" w:rsidP="00BF49A8">
            <w:pPr>
              <w:pStyle w:val="formulierstandaard"/>
              <w:spacing w:before="60" w:after="60" w:line="240" w:lineRule="auto"/>
              <w:ind w:left="0"/>
              <w:rPr>
                <w:rFonts w:ascii="Calibri" w:hAnsi="Calibri"/>
                <w:sz w:val="18"/>
                <w:szCs w:val="18"/>
                <w:lang w:val="en-GB"/>
              </w:rPr>
            </w:pPr>
            <w:r w:rsidRPr="00A93BDA">
              <w:rPr>
                <w:rFonts w:ascii="Calibri" w:hAnsi="Calibri"/>
                <w:sz w:val="18"/>
                <w:szCs w:val="18"/>
                <w:lang w:val="en-GB"/>
              </w:rPr>
              <w:t>This is not relevant because Europeana wishes to switch to a continuous deployment mode. In this mode we would not like to be limited by the amount of application changes and we would like to be able to deploy as often as we wish. In the past we were deploying approximately once in several weeks.</w:t>
            </w:r>
          </w:p>
        </w:tc>
      </w:tr>
      <w:tr w:rsidR="002E5B77" w:rsidRPr="006B004E" w14:paraId="0F261E54" w14:textId="77777777" w:rsidTr="0033697A">
        <w:trPr>
          <w:cantSplit/>
        </w:trPr>
        <w:tc>
          <w:tcPr>
            <w:tcW w:w="851" w:type="dxa"/>
          </w:tcPr>
          <w:p w14:paraId="51BEB71E"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33</w:t>
            </w:r>
          </w:p>
        </w:tc>
        <w:tc>
          <w:tcPr>
            <w:tcW w:w="1140" w:type="dxa"/>
          </w:tcPr>
          <w:p w14:paraId="1C83CE1F"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Test-Environment</w:t>
            </w:r>
          </w:p>
        </w:tc>
        <w:tc>
          <w:tcPr>
            <w:tcW w:w="1843" w:type="dxa"/>
          </w:tcPr>
          <w:p w14:paraId="07873509"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690A4F77"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Is tenderer expected to perform testing? If so, please specify.  </w:t>
            </w:r>
          </w:p>
        </w:tc>
        <w:tc>
          <w:tcPr>
            <w:tcW w:w="3118" w:type="dxa"/>
          </w:tcPr>
          <w:p w14:paraId="4B978715" w14:textId="7FF27D90" w:rsidR="002E5B77" w:rsidRPr="006B004E" w:rsidRDefault="00A93BDA" w:rsidP="00BF49A8">
            <w:pPr>
              <w:pStyle w:val="formulierstandaard"/>
              <w:spacing w:before="60" w:after="60" w:line="240" w:lineRule="auto"/>
              <w:ind w:left="0"/>
              <w:rPr>
                <w:rFonts w:ascii="Calibri" w:hAnsi="Calibri"/>
                <w:sz w:val="18"/>
                <w:szCs w:val="18"/>
                <w:lang w:val="en-GB"/>
              </w:rPr>
            </w:pPr>
            <w:r w:rsidRPr="00A93BDA">
              <w:rPr>
                <w:rFonts w:ascii="Calibri" w:hAnsi="Calibri"/>
                <w:sz w:val="18"/>
                <w:szCs w:val="18"/>
                <w:lang w:val="en-GB"/>
              </w:rPr>
              <w:t>The tenderer is expected to perform testing of the systems supplied as part of the service. He is</w:t>
            </w:r>
            <w:r>
              <w:rPr>
                <w:rFonts w:ascii="Calibri" w:hAnsi="Calibri"/>
                <w:sz w:val="18"/>
                <w:szCs w:val="18"/>
                <w:lang w:val="en-GB"/>
              </w:rPr>
              <w:t xml:space="preserve"> not expected to test Europeana</w:t>
            </w:r>
            <w:r w:rsidRPr="00A93BDA">
              <w:rPr>
                <w:rFonts w:ascii="Calibri" w:hAnsi="Calibri"/>
                <w:sz w:val="18"/>
                <w:szCs w:val="18"/>
                <w:lang w:val="en-GB"/>
              </w:rPr>
              <w:t>´s software.</w:t>
            </w:r>
          </w:p>
        </w:tc>
      </w:tr>
      <w:tr w:rsidR="002E5B77" w:rsidRPr="00AA7D95" w14:paraId="07DE76F9" w14:textId="77777777" w:rsidTr="0033697A">
        <w:trPr>
          <w:cantSplit/>
        </w:trPr>
        <w:tc>
          <w:tcPr>
            <w:tcW w:w="851" w:type="dxa"/>
          </w:tcPr>
          <w:p w14:paraId="44662CFF"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34</w:t>
            </w:r>
          </w:p>
        </w:tc>
        <w:tc>
          <w:tcPr>
            <w:tcW w:w="1140" w:type="dxa"/>
          </w:tcPr>
          <w:p w14:paraId="1ED8FA1F"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General</w:t>
            </w:r>
          </w:p>
        </w:tc>
        <w:tc>
          <w:tcPr>
            <w:tcW w:w="1843" w:type="dxa"/>
          </w:tcPr>
          <w:p w14:paraId="050035AE"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74181373" w14:textId="77777777" w:rsidR="002E5B77" w:rsidRPr="00A87966"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Which organisation will do the web application development ? </w:t>
            </w:r>
          </w:p>
        </w:tc>
        <w:tc>
          <w:tcPr>
            <w:tcW w:w="3118" w:type="dxa"/>
          </w:tcPr>
          <w:p w14:paraId="5AAF084E" w14:textId="12C3968F" w:rsidR="002E5B77" w:rsidRPr="006B004E" w:rsidRDefault="00A93BDA" w:rsidP="00BF49A8">
            <w:pPr>
              <w:pStyle w:val="formulierstandaard"/>
              <w:spacing w:before="60" w:after="60" w:line="240" w:lineRule="auto"/>
              <w:ind w:left="0"/>
              <w:rPr>
                <w:rFonts w:ascii="Calibri" w:hAnsi="Calibri"/>
                <w:sz w:val="18"/>
                <w:szCs w:val="18"/>
                <w:lang w:val="en-GB"/>
              </w:rPr>
            </w:pPr>
            <w:r w:rsidRPr="00A93BDA">
              <w:rPr>
                <w:rFonts w:ascii="Calibri" w:hAnsi="Calibri"/>
                <w:sz w:val="18"/>
                <w:szCs w:val="18"/>
                <w:lang w:val="en-GB"/>
              </w:rPr>
              <w:t>Europeana and its network partners.</w:t>
            </w:r>
          </w:p>
        </w:tc>
      </w:tr>
      <w:tr w:rsidR="002E5B77" w:rsidRPr="00AA7D95" w14:paraId="232E18BB" w14:textId="77777777" w:rsidTr="0033697A">
        <w:trPr>
          <w:cantSplit/>
        </w:trPr>
        <w:tc>
          <w:tcPr>
            <w:tcW w:w="851" w:type="dxa"/>
          </w:tcPr>
          <w:p w14:paraId="7C86F1BD"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35</w:t>
            </w:r>
          </w:p>
        </w:tc>
        <w:tc>
          <w:tcPr>
            <w:tcW w:w="1140" w:type="dxa"/>
          </w:tcPr>
          <w:p w14:paraId="5FF4E435"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Migration</w:t>
            </w:r>
          </w:p>
        </w:tc>
        <w:tc>
          <w:tcPr>
            <w:tcW w:w="1843" w:type="dxa"/>
          </w:tcPr>
          <w:p w14:paraId="50E3AB88"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PC-4</w:t>
            </w:r>
          </w:p>
        </w:tc>
        <w:tc>
          <w:tcPr>
            <w:tcW w:w="3113" w:type="dxa"/>
          </w:tcPr>
          <w:p w14:paraId="493857EC"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Please describe how the estimate of 9 weeks and 40 hours has been determined.  </w:t>
            </w:r>
          </w:p>
        </w:tc>
        <w:tc>
          <w:tcPr>
            <w:tcW w:w="3118" w:type="dxa"/>
          </w:tcPr>
          <w:p w14:paraId="1191D892" w14:textId="2764932B" w:rsidR="002E5B77" w:rsidRPr="006B004E" w:rsidRDefault="00DD7D96" w:rsidP="00BF49A8">
            <w:pPr>
              <w:pStyle w:val="formulierstandaard"/>
              <w:spacing w:before="60" w:after="60" w:line="240" w:lineRule="auto"/>
              <w:ind w:left="0"/>
              <w:rPr>
                <w:rFonts w:ascii="Calibri" w:hAnsi="Calibri"/>
                <w:sz w:val="18"/>
                <w:szCs w:val="18"/>
                <w:lang w:val="en-GB"/>
              </w:rPr>
            </w:pPr>
            <w:r w:rsidRPr="00DD7D96">
              <w:rPr>
                <w:rFonts w:ascii="Calibri" w:hAnsi="Calibri"/>
                <w:sz w:val="18"/>
                <w:szCs w:val="18"/>
                <w:lang w:val="en-GB"/>
              </w:rPr>
              <w:t xml:space="preserve">This estimation was done based on our knowledge of the complexity of our systems and the ability of the team. We did it after a series of experiments with some of the available </w:t>
            </w:r>
            <w:proofErr w:type="spellStart"/>
            <w:r w:rsidRPr="00DD7D96">
              <w:rPr>
                <w:rFonts w:ascii="Calibri" w:hAnsi="Calibri"/>
                <w:sz w:val="18"/>
                <w:szCs w:val="18"/>
                <w:lang w:val="en-GB"/>
              </w:rPr>
              <w:t>PaaS</w:t>
            </w:r>
            <w:proofErr w:type="spellEnd"/>
            <w:r w:rsidRPr="00DD7D96">
              <w:rPr>
                <w:rFonts w:ascii="Calibri" w:hAnsi="Calibri"/>
                <w:sz w:val="18"/>
                <w:szCs w:val="18"/>
                <w:lang w:val="en-GB"/>
              </w:rPr>
              <w:t xml:space="preserve"> solutions in the market. This estimation is not an exact science and is grounded on the assumption that we shall not be required to introduce significant changes into the software. Another assumption was that even that some coordination work, or even development or customisation work will be required from the provider, the m</w:t>
            </w:r>
            <w:r>
              <w:rPr>
                <w:rFonts w:ascii="Calibri" w:hAnsi="Calibri"/>
                <w:sz w:val="18"/>
                <w:szCs w:val="18"/>
                <w:lang w:val="en-GB"/>
              </w:rPr>
              <w:t>ain effort will be on Europeana</w:t>
            </w:r>
            <w:r w:rsidRPr="00DD7D96">
              <w:rPr>
                <w:rFonts w:ascii="Calibri" w:hAnsi="Calibri"/>
                <w:sz w:val="18"/>
                <w:szCs w:val="18"/>
                <w:lang w:val="en-GB"/>
              </w:rPr>
              <w:t>´s side.</w:t>
            </w:r>
          </w:p>
        </w:tc>
      </w:tr>
      <w:tr w:rsidR="002E5B77" w:rsidRPr="00AA7D95" w14:paraId="1447DA51" w14:textId="77777777" w:rsidTr="0033697A">
        <w:trPr>
          <w:cantSplit/>
        </w:trPr>
        <w:tc>
          <w:tcPr>
            <w:tcW w:w="851" w:type="dxa"/>
          </w:tcPr>
          <w:p w14:paraId="3A77808C"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36</w:t>
            </w:r>
          </w:p>
        </w:tc>
        <w:tc>
          <w:tcPr>
            <w:tcW w:w="1140" w:type="dxa"/>
          </w:tcPr>
          <w:p w14:paraId="158B40B2"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Migration</w:t>
            </w:r>
          </w:p>
        </w:tc>
        <w:tc>
          <w:tcPr>
            <w:tcW w:w="1843" w:type="dxa"/>
          </w:tcPr>
          <w:p w14:paraId="1A3DAB3B"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PC-6</w:t>
            </w:r>
          </w:p>
        </w:tc>
        <w:tc>
          <w:tcPr>
            <w:tcW w:w="3113" w:type="dxa"/>
          </w:tcPr>
          <w:p w14:paraId="4ADEC39C"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Please describe how the estimate of 80 hours has been determined.  </w:t>
            </w:r>
          </w:p>
        </w:tc>
        <w:tc>
          <w:tcPr>
            <w:tcW w:w="3118" w:type="dxa"/>
          </w:tcPr>
          <w:p w14:paraId="5F0314F5" w14:textId="08EC6803" w:rsidR="002E5B77" w:rsidRPr="006B004E" w:rsidRDefault="00DD7D96" w:rsidP="00BF49A8">
            <w:pPr>
              <w:pStyle w:val="formulierstandaard"/>
              <w:spacing w:before="60" w:after="60" w:line="240" w:lineRule="auto"/>
              <w:ind w:left="0"/>
              <w:rPr>
                <w:rFonts w:ascii="Calibri" w:hAnsi="Calibri"/>
                <w:sz w:val="18"/>
                <w:szCs w:val="18"/>
                <w:lang w:val="en-GB"/>
              </w:rPr>
            </w:pPr>
            <w:r w:rsidRPr="00DD7D96">
              <w:rPr>
                <w:rFonts w:ascii="Calibri" w:hAnsi="Calibri"/>
                <w:sz w:val="18"/>
                <w:szCs w:val="18"/>
                <w:lang w:val="en-GB"/>
              </w:rPr>
              <w:t>The answer is s</w:t>
            </w:r>
            <w:r>
              <w:rPr>
                <w:rFonts w:ascii="Calibri" w:hAnsi="Calibri"/>
                <w:sz w:val="18"/>
                <w:szCs w:val="18"/>
                <w:lang w:val="en-GB"/>
              </w:rPr>
              <w:t>imilar to the one in Question 35</w:t>
            </w:r>
            <w:r w:rsidRPr="00DD7D96">
              <w:rPr>
                <w:rFonts w:ascii="Calibri" w:hAnsi="Calibri"/>
                <w:sz w:val="18"/>
                <w:szCs w:val="18"/>
                <w:lang w:val="en-GB"/>
              </w:rPr>
              <w:t>. A double estimation was given here to reflect the need for final customisations and adjustments necessary to complete the migration. Some of these changes will not have surfaced during the POC stage, which should be intense but limited in time. Therefore, we left enough space here to tackle unexpected problems.</w:t>
            </w:r>
          </w:p>
        </w:tc>
      </w:tr>
      <w:tr w:rsidR="002E5B77" w:rsidRPr="00AA7D95" w14:paraId="50E91C9D" w14:textId="77777777" w:rsidTr="0033697A">
        <w:trPr>
          <w:cantSplit/>
        </w:trPr>
        <w:tc>
          <w:tcPr>
            <w:tcW w:w="851" w:type="dxa"/>
          </w:tcPr>
          <w:p w14:paraId="238F0AB4"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37</w:t>
            </w:r>
          </w:p>
        </w:tc>
        <w:tc>
          <w:tcPr>
            <w:tcW w:w="1140" w:type="dxa"/>
          </w:tcPr>
          <w:p w14:paraId="419A547C"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Migration</w:t>
            </w:r>
          </w:p>
        </w:tc>
        <w:tc>
          <w:tcPr>
            <w:tcW w:w="1843" w:type="dxa"/>
          </w:tcPr>
          <w:p w14:paraId="58A8029F"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Group 4</w:t>
            </w:r>
          </w:p>
        </w:tc>
        <w:tc>
          <w:tcPr>
            <w:tcW w:w="3113" w:type="dxa"/>
          </w:tcPr>
          <w:p w14:paraId="407964FB" w14:textId="77777777" w:rsidR="002E5B77" w:rsidRPr="00A87966"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What are the acceptation criteria for migration to the production environment ? </w:t>
            </w:r>
          </w:p>
        </w:tc>
        <w:tc>
          <w:tcPr>
            <w:tcW w:w="3118" w:type="dxa"/>
          </w:tcPr>
          <w:p w14:paraId="0C23B526" w14:textId="75D7CB26" w:rsidR="002E5B77" w:rsidRPr="006B004E"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Acceptation criteria are roughly about European</w:t>
            </w:r>
            <w:r>
              <w:rPr>
                <w:rFonts w:ascii="Calibri" w:hAnsi="Calibri"/>
                <w:sz w:val="18"/>
                <w:szCs w:val="18"/>
                <w:lang w:val="en-GB"/>
              </w:rPr>
              <w:t>a</w:t>
            </w:r>
            <w:r w:rsidRPr="00BF49A8">
              <w:rPr>
                <w:rFonts w:ascii="Calibri" w:hAnsi="Calibri"/>
                <w:sz w:val="18"/>
                <w:szCs w:val="18"/>
                <w:lang w:val="en-GB"/>
              </w:rPr>
              <w:t>´s software functioning properly. These criteria are both about functionality and performance under load. For functionality, Europeana has a standard acceptance procedure for each software component. For performance, Europeana will employ its standard performance stress test described in detail in the first set of answers. The major part of the acc</w:t>
            </w:r>
            <w:r>
              <w:rPr>
                <w:rFonts w:ascii="Calibri" w:hAnsi="Calibri"/>
                <w:sz w:val="18"/>
                <w:szCs w:val="18"/>
                <w:lang w:val="en-GB"/>
              </w:rPr>
              <w:t>eptance process of the provider</w:t>
            </w:r>
            <w:r w:rsidRPr="00BF49A8">
              <w:rPr>
                <w:rFonts w:ascii="Calibri" w:hAnsi="Calibri"/>
                <w:sz w:val="18"/>
                <w:szCs w:val="18"/>
                <w:lang w:val="en-GB"/>
              </w:rPr>
              <w:t>´s system wi</w:t>
            </w:r>
            <w:r>
              <w:rPr>
                <w:rFonts w:ascii="Calibri" w:hAnsi="Calibri"/>
                <w:sz w:val="18"/>
                <w:szCs w:val="18"/>
                <w:lang w:val="en-GB"/>
              </w:rPr>
              <w:t>l</w:t>
            </w:r>
            <w:r w:rsidRPr="00BF49A8">
              <w:rPr>
                <w:rFonts w:ascii="Calibri" w:hAnsi="Calibri"/>
                <w:sz w:val="18"/>
                <w:szCs w:val="18"/>
                <w:lang w:val="en-GB"/>
              </w:rPr>
              <w:t>l be done indirectly through this testing. But we shall also look specifically at the components and services supplied by the provider. For example, we shall test the Continuous Integration solution by con</w:t>
            </w:r>
            <w:r>
              <w:rPr>
                <w:rFonts w:ascii="Calibri" w:hAnsi="Calibri"/>
                <w:sz w:val="18"/>
                <w:szCs w:val="18"/>
                <w:lang w:val="en-GB"/>
              </w:rPr>
              <w:t>f</w:t>
            </w:r>
            <w:r w:rsidRPr="00BF49A8">
              <w:rPr>
                <w:rFonts w:ascii="Calibri" w:hAnsi="Calibri"/>
                <w:sz w:val="18"/>
                <w:szCs w:val="18"/>
                <w:lang w:val="en-GB"/>
              </w:rPr>
              <w:t>iguring several build processes and verifying their normal execution. We shall also test how software and content deployment can be executed with the system. Some other sanity checks are also possible. We do not expect any extraordinary acceptance testing that would come unexpected to the provider. Requirement PC-2 should give more ideas about the acceptance criteria we deem appropriate.</w:t>
            </w:r>
          </w:p>
        </w:tc>
      </w:tr>
      <w:tr w:rsidR="002E5B77" w:rsidRPr="00AA7D95" w14:paraId="3FA5715A" w14:textId="77777777" w:rsidTr="0033697A">
        <w:trPr>
          <w:cantSplit/>
        </w:trPr>
        <w:tc>
          <w:tcPr>
            <w:tcW w:w="851" w:type="dxa"/>
          </w:tcPr>
          <w:p w14:paraId="19FB9A84"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38</w:t>
            </w:r>
          </w:p>
        </w:tc>
        <w:tc>
          <w:tcPr>
            <w:tcW w:w="1140" w:type="dxa"/>
          </w:tcPr>
          <w:p w14:paraId="64636782"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Availability</w:t>
            </w:r>
          </w:p>
        </w:tc>
        <w:tc>
          <w:tcPr>
            <w:tcW w:w="1843" w:type="dxa"/>
          </w:tcPr>
          <w:p w14:paraId="5486D0D9"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530700E1" w14:textId="77777777" w:rsidR="002E5B77" w:rsidRPr="00A87966"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Are there any direct dependencies between application and middleware versions that might cause outages with regards to maintenance, security and/or availability? </w:t>
            </w:r>
          </w:p>
        </w:tc>
        <w:tc>
          <w:tcPr>
            <w:tcW w:w="3118" w:type="dxa"/>
          </w:tcPr>
          <w:p w14:paraId="4EB98EBB" w14:textId="41C629C1" w:rsidR="002E5B77" w:rsidRPr="006B004E"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The question is unclear. What is</w:t>
            </w:r>
            <w:r>
              <w:rPr>
                <w:rFonts w:ascii="Calibri" w:hAnsi="Calibri"/>
                <w:sz w:val="18"/>
                <w:szCs w:val="18"/>
                <w:lang w:val="en-GB"/>
              </w:rPr>
              <w:t xml:space="preserve"> your understanding of ´middleware</w:t>
            </w:r>
            <w:r w:rsidRPr="00BF49A8">
              <w:rPr>
                <w:rFonts w:ascii="Calibri" w:hAnsi="Calibri"/>
                <w:sz w:val="18"/>
                <w:szCs w:val="18"/>
                <w:lang w:val="en-GB"/>
              </w:rPr>
              <w:t>´</w:t>
            </w:r>
            <w:r>
              <w:rPr>
                <w:rFonts w:ascii="Calibri" w:hAnsi="Calibri"/>
                <w:sz w:val="18"/>
                <w:szCs w:val="18"/>
                <w:lang w:val="en-GB"/>
              </w:rPr>
              <w:t xml:space="preserve"> in this situation</w:t>
            </w:r>
            <w:r w:rsidRPr="00BF49A8">
              <w:rPr>
                <w:rFonts w:ascii="Calibri" w:hAnsi="Calibri"/>
                <w:sz w:val="18"/>
                <w:szCs w:val="18"/>
                <w:lang w:val="en-GB"/>
              </w:rPr>
              <w:t>?</w:t>
            </w:r>
          </w:p>
        </w:tc>
      </w:tr>
      <w:tr w:rsidR="002E5B77" w:rsidRPr="00AA7D95" w14:paraId="6CC21F77" w14:textId="77777777" w:rsidTr="0033697A">
        <w:trPr>
          <w:cantSplit/>
        </w:trPr>
        <w:tc>
          <w:tcPr>
            <w:tcW w:w="851" w:type="dxa"/>
          </w:tcPr>
          <w:p w14:paraId="48FA663B"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39</w:t>
            </w:r>
          </w:p>
        </w:tc>
        <w:tc>
          <w:tcPr>
            <w:tcW w:w="1140" w:type="dxa"/>
          </w:tcPr>
          <w:p w14:paraId="4930CBC9"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Availability</w:t>
            </w:r>
          </w:p>
        </w:tc>
        <w:tc>
          <w:tcPr>
            <w:tcW w:w="1843" w:type="dxa"/>
          </w:tcPr>
          <w:p w14:paraId="7006BC80"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4D7A7C93" w14:textId="77777777" w:rsidR="002E5B77"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What are the restrictions for updating OS and middleware versions? </w:t>
            </w:r>
          </w:p>
        </w:tc>
        <w:tc>
          <w:tcPr>
            <w:tcW w:w="3118" w:type="dxa"/>
          </w:tcPr>
          <w:p w14:paraId="6F09F9D4" w14:textId="4FF30F5C" w:rsidR="002E5B77" w:rsidRPr="006B004E"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We expect all the systems operated by the provider to be maintained without any impact on Europeana. The only exceptions are described in the requirements PR-1-1 and PR-1-3.</w:t>
            </w:r>
          </w:p>
        </w:tc>
      </w:tr>
      <w:tr w:rsidR="002E5B77" w:rsidRPr="002E5B77" w14:paraId="6FF9EDF5" w14:textId="77777777" w:rsidTr="0033697A">
        <w:trPr>
          <w:cantSplit/>
        </w:trPr>
        <w:tc>
          <w:tcPr>
            <w:tcW w:w="851" w:type="dxa"/>
          </w:tcPr>
          <w:p w14:paraId="6E3E1655"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40</w:t>
            </w:r>
          </w:p>
        </w:tc>
        <w:tc>
          <w:tcPr>
            <w:tcW w:w="1140" w:type="dxa"/>
          </w:tcPr>
          <w:p w14:paraId="5EEBAFB1"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Security Audits</w:t>
            </w:r>
          </w:p>
        </w:tc>
        <w:tc>
          <w:tcPr>
            <w:tcW w:w="1843" w:type="dxa"/>
          </w:tcPr>
          <w:p w14:paraId="12BFFA09"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69E7F1DA" w14:textId="77777777" w:rsidR="002E5B77" w:rsidRPr="00A87966"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Is Europeana able to guarantee that audits will be carried out by independent and certified auditors ? (</w:t>
            </w:r>
            <w:proofErr w:type="spellStart"/>
            <w:r>
              <w:rPr>
                <w:rFonts w:ascii="Calibri" w:hAnsi="Calibri"/>
                <w:sz w:val="18"/>
                <w:szCs w:val="18"/>
                <w:lang w:val="en-GB"/>
              </w:rPr>
              <w:t>Norea</w:t>
            </w:r>
            <w:proofErr w:type="spellEnd"/>
            <w:r>
              <w:rPr>
                <w:rFonts w:ascii="Calibri" w:hAnsi="Calibri"/>
                <w:sz w:val="18"/>
                <w:szCs w:val="18"/>
                <w:lang w:val="en-GB"/>
              </w:rPr>
              <w:t>, EDP or CISA). And if so, could this be</w:t>
            </w:r>
            <w:r w:rsidRPr="008632E7">
              <w:rPr>
                <w:rFonts w:ascii="Calibri" w:hAnsi="Calibri"/>
                <w:sz w:val="18"/>
                <w:szCs w:val="18"/>
                <w:lang w:val="en-GB"/>
              </w:rPr>
              <w:t xml:space="preserve"> registered in the SLA?</w:t>
            </w:r>
            <w:r>
              <w:rPr>
                <w:rFonts w:ascii="Calibri" w:hAnsi="Calibri"/>
                <w:sz w:val="18"/>
                <w:szCs w:val="18"/>
                <w:lang w:val="en-GB"/>
              </w:rPr>
              <w:t xml:space="preserve">  </w:t>
            </w:r>
          </w:p>
        </w:tc>
        <w:tc>
          <w:tcPr>
            <w:tcW w:w="3118" w:type="dxa"/>
          </w:tcPr>
          <w:p w14:paraId="02361616" w14:textId="018F8A18" w:rsidR="002E5B77" w:rsidRPr="006B004E"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In case of security audits they will be executed by a certified body. This can be registered in the SLA.</w:t>
            </w:r>
          </w:p>
        </w:tc>
      </w:tr>
      <w:tr w:rsidR="002E5B77" w:rsidRPr="00AA7D95" w14:paraId="75A12F45" w14:textId="77777777" w:rsidTr="0033697A">
        <w:trPr>
          <w:cantSplit/>
        </w:trPr>
        <w:tc>
          <w:tcPr>
            <w:tcW w:w="851" w:type="dxa"/>
          </w:tcPr>
          <w:p w14:paraId="622AB109"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41</w:t>
            </w:r>
          </w:p>
        </w:tc>
        <w:tc>
          <w:tcPr>
            <w:tcW w:w="1140" w:type="dxa"/>
          </w:tcPr>
          <w:p w14:paraId="1AD69FBB"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Concept Agreement</w:t>
            </w:r>
          </w:p>
        </w:tc>
        <w:tc>
          <w:tcPr>
            <w:tcW w:w="1843" w:type="dxa"/>
          </w:tcPr>
          <w:p w14:paraId="36BA8D45"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2DCA5CB8"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Tenderer notes that Schedule 2 is missing in provided  Concept Agreement documentation. Tenderer kindly requests to provide this information since this is relevant to the SLA and an integral part of the agreement Tenderer is expected to accept in full.  </w:t>
            </w:r>
          </w:p>
        </w:tc>
        <w:tc>
          <w:tcPr>
            <w:tcW w:w="3118" w:type="dxa"/>
          </w:tcPr>
          <w:p w14:paraId="4753D1B7" w14:textId="77777777" w:rsidR="002E5B77" w:rsidRPr="006B004E" w:rsidRDefault="001E3735"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Schedule 2 </w:t>
            </w:r>
            <w:r w:rsidR="008C01A2">
              <w:rPr>
                <w:rFonts w:ascii="Calibri" w:hAnsi="Calibri"/>
                <w:sz w:val="18"/>
                <w:szCs w:val="18"/>
                <w:lang w:val="en-GB"/>
              </w:rPr>
              <w:t xml:space="preserve">will be based on Appendix A (Technical Requirements) and will comprise all requirements which </w:t>
            </w:r>
            <w:r w:rsidR="00951634">
              <w:rPr>
                <w:rFonts w:ascii="Calibri" w:hAnsi="Calibri"/>
                <w:sz w:val="18"/>
                <w:szCs w:val="18"/>
                <w:lang w:val="en-GB"/>
              </w:rPr>
              <w:t>relate to the Services or any other applicable obligation of Parties during Term of the Agreement.</w:t>
            </w:r>
          </w:p>
        </w:tc>
      </w:tr>
      <w:tr w:rsidR="002E5B77" w:rsidRPr="00AA7D95" w14:paraId="2D7D22EA" w14:textId="77777777" w:rsidTr="0033697A">
        <w:trPr>
          <w:cantSplit/>
        </w:trPr>
        <w:tc>
          <w:tcPr>
            <w:tcW w:w="851" w:type="dxa"/>
          </w:tcPr>
          <w:p w14:paraId="439F6972"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42</w:t>
            </w:r>
          </w:p>
        </w:tc>
        <w:tc>
          <w:tcPr>
            <w:tcW w:w="1140" w:type="dxa"/>
          </w:tcPr>
          <w:p w14:paraId="559D0C29"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SLA</w:t>
            </w:r>
          </w:p>
        </w:tc>
        <w:tc>
          <w:tcPr>
            <w:tcW w:w="1843" w:type="dxa"/>
          </w:tcPr>
          <w:p w14:paraId="04E86142"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61E7C4B7"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Is Tenderer responsible in any way for the functioning of the application? If so, What KPI’s are requested and how does this correspond to the possible lack of a fully functional development and testing environment?  </w:t>
            </w:r>
          </w:p>
        </w:tc>
        <w:tc>
          <w:tcPr>
            <w:tcW w:w="3118" w:type="dxa"/>
          </w:tcPr>
          <w:p w14:paraId="137292F9" w14:textId="3BFD0A98" w:rsidR="002E5B77" w:rsidRPr="00BF49A8"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The tenderer is not respo</w:t>
            </w:r>
            <w:r>
              <w:rPr>
                <w:rFonts w:ascii="Calibri" w:hAnsi="Calibri"/>
                <w:sz w:val="18"/>
                <w:szCs w:val="18"/>
                <w:lang w:val="en-GB"/>
              </w:rPr>
              <w:t>n</w:t>
            </w:r>
            <w:r w:rsidRPr="00BF49A8">
              <w:rPr>
                <w:rFonts w:ascii="Calibri" w:hAnsi="Calibri"/>
                <w:sz w:val="18"/>
                <w:szCs w:val="18"/>
                <w:lang w:val="en-GB"/>
              </w:rPr>
              <w:t>sible f</w:t>
            </w:r>
            <w:r>
              <w:rPr>
                <w:rFonts w:ascii="Calibri" w:hAnsi="Calibri"/>
                <w:sz w:val="18"/>
                <w:szCs w:val="18"/>
                <w:lang w:val="en-GB"/>
              </w:rPr>
              <w:t>or the functioning of Europeana</w:t>
            </w:r>
            <w:r w:rsidRPr="00BF49A8">
              <w:rPr>
                <w:rFonts w:ascii="Calibri" w:hAnsi="Calibri"/>
                <w:sz w:val="18"/>
                <w:szCs w:val="18"/>
                <w:lang w:val="en-GB"/>
              </w:rPr>
              <w:t>´s applications except when this functioning is directly depending on the functioning of the systems for which the tenderer is responsible. That is, when the systems under the responsibility of the tenderer function properly t</w:t>
            </w:r>
            <w:r>
              <w:rPr>
                <w:rFonts w:ascii="Calibri" w:hAnsi="Calibri"/>
                <w:sz w:val="18"/>
                <w:szCs w:val="18"/>
                <w:lang w:val="en-GB"/>
              </w:rPr>
              <w:t>hen malfunctioning of Europeana</w:t>
            </w:r>
            <w:r w:rsidRPr="00BF49A8">
              <w:rPr>
                <w:rFonts w:ascii="Calibri" w:hAnsi="Calibri"/>
                <w:sz w:val="18"/>
                <w:szCs w:val="18"/>
                <w:lang w:val="en-GB"/>
              </w:rPr>
              <w:t>´s application does not fall under the responsibility of the tenderer. When Europeana is able to prove that malfunctioning of its application is a direct consequence of malfu</w:t>
            </w:r>
            <w:r>
              <w:rPr>
                <w:rFonts w:ascii="Calibri" w:hAnsi="Calibri"/>
                <w:sz w:val="18"/>
                <w:szCs w:val="18"/>
                <w:lang w:val="en-GB"/>
              </w:rPr>
              <w:t>nctioning of a tenderer</w:t>
            </w:r>
            <w:r w:rsidRPr="00BF49A8">
              <w:rPr>
                <w:rFonts w:ascii="Calibri" w:hAnsi="Calibri"/>
                <w:sz w:val="18"/>
                <w:szCs w:val="18"/>
                <w:lang w:val="en-GB"/>
              </w:rPr>
              <w:t>´s service then the issue falls under the responsibility of the tenderer.</w:t>
            </w:r>
          </w:p>
        </w:tc>
      </w:tr>
      <w:tr w:rsidR="002E5B77" w:rsidRPr="00AA7D95" w14:paraId="0838BFFD" w14:textId="77777777" w:rsidTr="0033697A">
        <w:trPr>
          <w:cantSplit/>
        </w:trPr>
        <w:tc>
          <w:tcPr>
            <w:tcW w:w="851" w:type="dxa"/>
          </w:tcPr>
          <w:p w14:paraId="34B13749"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43</w:t>
            </w:r>
          </w:p>
        </w:tc>
        <w:tc>
          <w:tcPr>
            <w:tcW w:w="1140" w:type="dxa"/>
          </w:tcPr>
          <w:p w14:paraId="0DA2C1EA"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SLA</w:t>
            </w:r>
          </w:p>
        </w:tc>
        <w:tc>
          <w:tcPr>
            <w:tcW w:w="1843" w:type="dxa"/>
          </w:tcPr>
          <w:p w14:paraId="37F5F20B"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71536723"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sidRPr="008D3144">
              <w:rPr>
                <w:rFonts w:ascii="Calibri" w:hAnsi="Calibri"/>
                <w:sz w:val="18"/>
                <w:szCs w:val="18"/>
                <w:lang w:val="en-GB"/>
              </w:rPr>
              <w:t xml:space="preserve">Where does the responsibility of the supplier end, and where does the responsibility of development begin ? (e.g. relation between queries, indices and database performance).  </w:t>
            </w:r>
          </w:p>
        </w:tc>
        <w:tc>
          <w:tcPr>
            <w:tcW w:w="3118" w:type="dxa"/>
          </w:tcPr>
          <w:p w14:paraId="27A88D12" w14:textId="21B4999E" w:rsidR="002E5B77" w:rsidRPr="006B004E"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Because there can be different combinations of services provider by the supplier, and therefore different splits of responsibility across the software stack, there is no simple and direct way to draw the border between the respo</w:t>
            </w:r>
            <w:r>
              <w:rPr>
                <w:rFonts w:ascii="Calibri" w:hAnsi="Calibri"/>
                <w:sz w:val="18"/>
                <w:szCs w:val="18"/>
                <w:lang w:val="en-GB"/>
              </w:rPr>
              <w:t>n</w:t>
            </w:r>
            <w:r w:rsidRPr="00BF49A8">
              <w:rPr>
                <w:rFonts w:ascii="Calibri" w:hAnsi="Calibri"/>
                <w:sz w:val="18"/>
                <w:szCs w:val="18"/>
                <w:lang w:val="en-GB"/>
              </w:rPr>
              <w:t xml:space="preserve">sibilities. The general rule would be that the tenderer is responsible for the system provided as part of the service and Europeana is responsible for the rest. To draw this border even clearer we start with a POC to establish a baseline (for example, for performance purposes) for the future. During the POC Europeana will run a performance test that will determine the amount of resources needed by the system. That this amount of resources functions well will stay the responsibility </w:t>
            </w:r>
            <w:r>
              <w:rPr>
                <w:rFonts w:ascii="Calibri" w:hAnsi="Calibri"/>
                <w:sz w:val="18"/>
                <w:szCs w:val="18"/>
                <w:lang w:val="en-GB"/>
              </w:rPr>
              <w:t>of the provider. That Europeana</w:t>
            </w:r>
            <w:r w:rsidRPr="00BF49A8">
              <w:rPr>
                <w:rFonts w:ascii="Calibri" w:hAnsi="Calibri"/>
                <w:sz w:val="18"/>
                <w:szCs w:val="18"/>
                <w:lang w:val="en-GB"/>
              </w:rPr>
              <w:t>´s systems using these resources function well will be the responsibility of Europeana.</w:t>
            </w:r>
          </w:p>
        </w:tc>
      </w:tr>
      <w:tr w:rsidR="002E5B77" w:rsidRPr="00AA7D95" w14:paraId="534C1399" w14:textId="77777777" w:rsidTr="0033697A">
        <w:trPr>
          <w:cantSplit/>
        </w:trPr>
        <w:tc>
          <w:tcPr>
            <w:tcW w:w="851" w:type="dxa"/>
          </w:tcPr>
          <w:p w14:paraId="0429F53A"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44</w:t>
            </w:r>
          </w:p>
        </w:tc>
        <w:tc>
          <w:tcPr>
            <w:tcW w:w="1140" w:type="dxa"/>
          </w:tcPr>
          <w:p w14:paraId="58B15AE8" w14:textId="77777777" w:rsidR="002E5B77" w:rsidRPr="002E5B77" w:rsidRDefault="002E5B77" w:rsidP="00BF49A8">
            <w:pPr>
              <w:spacing w:line="240" w:lineRule="auto"/>
              <w:rPr>
                <w:sz w:val="18"/>
                <w:szCs w:val="18"/>
                <w:lang w:val="en-GB"/>
              </w:rPr>
            </w:pPr>
            <w:r w:rsidRPr="002E5B77">
              <w:rPr>
                <w:sz w:val="18"/>
                <w:szCs w:val="18"/>
                <w:lang w:val="en-GB"/>
              </w:rPr>
              <w:t>Technology Support - Virtual Machine Layer</w:t>
            </w:r>
          </w:p>
        </w:tc>
        <w:tc>
          <w:tcPr>
            <w:tcW w:w="1843" w:type="dxa"/>
          </w:tcPr>
          <w:p w14:paraId="26F94FE6" w14:textId="77777777" w:rsidR="002E5B77" w:rsidRPr="00F32668" w:rsidRDefault="002E5B77" w:rsidP="00BF49A8">
            <w:pPr>
              <w:spacing w:line="240" w:lineRule="auto"/>
              <w:rPr>
                <w:sz w:val="18"/>
                <w:szCs w:val="18"/>
              </w:rPr>
            </w:pPr>
            <w:r w:rsidRPr="00F32668">
              <w:rPr>
                <w:sz w:val="18"/>
                <w:szCs w:val="18"/>
              </w:rPr>
              <w:t>PS 4-4</w:t>
            </w:r>
          </w:p>
        </w:tc>
        <w:tc>
          <w:tcPr>
            <w:tcW w:w="3113" w:type="dxa"/>
          </w:tcPr>
          <w:p w14:paraId="457AE752"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Does Europeana wish to deploy systems and applications under the ruling SLA?</w:t>
            </w:r>
          </w:p>
        </w:tc>
        <w:tc>
          <w:tcPr>
            <w:tcW w:w="3118" w:type="dxa"/>
          </w:tcPr>
          <w:p w14:paraId="17091A8B" w14:textId="2E844B14" w:rsidR="002E5B77" w:rsidRPr="006B004E"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The question is not very clear. If it is about the possibility to agree about different SLAs for different parts of the system, than the answer is yes, various SLAs can be proposed.</w:t>
            </w:r>
          </w:p>
        </w:tc>
      </w:tr>
      <w:tr w:rsidR="002E5B77" w:rsidRPr="00AA7D95" w14:paraId="41715642" w14:textId="77777777" w:rsidTr="0033697A">
        <w:trPr>
          <w:cantSplit/>
        </w:trPr>
        <w:tc>
          <w:tcPr>
            <w:tcW w:w="851" w:type="dxa"/>
          </w:tcPr>
          <w:p w14:paraId="2898AAE7"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45</w:t>
            </w:r>
          </w:p>
        </w:tc>
        <w:tc>
          <w:tcPr>
            <w:tcW w:w="1140" w:type="dxa"/>
          </w:tcPr>
          <w:p w14:paraId="03E11CFD"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sidRPr="006C5300">
              <w:rPr>
                <w:rFonts w:ascii="Calibri" w:hAnsi="Calibri"/>
                <w:sz w:val="18"/>
                <w:szCs w:val="18"/>
                <w:lang w:val="en-GB"/>
              </w:rPr>
              <w:t>High availability and failover.</w:t>
            </w:r>
          </w:p>
        </w:tc>
        <w:tc>
          <w:tcPr>
            <w:tcW w:w="1843" w:type="dxa"/>
          </w:tcPr>
          <w:p w14:paraId="6E21CACF"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sidRPr="006C5300">
              <w:rPr>
                <w:rFonts w:ascii="Calibri" w:hAnsi="Calibri"/>
                <w:sz w:val="18"/>
                <w:szCs w:val="18"/>
                <w:lang w:val="en-GB"/>
              </w:rPr>
              <w:t>PR-3</w:t>
            </w:r>
            <w:r>
              <w:rPr>
                <w:rFonts w:ascii="Calibri" w:hAnsi="Calibri"/>
                <w:sz w:val="18"/>
                <w:szCs w:val="18"/>
                <w:lang w:val="en-GB"/>
              </w:rPr>
              <w:t xml:space="preserve"> </w:t>
            </w:r>
          </w:p>
        </w:tc>
        <w:tc>
          <w:tcPr>
            <w:tcW w:w="3113" w:type="dxa"/>
          </w:tcPr>
          <w:p w14:paraId="216E4A2F"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sidRPr="00C00BB9">
              <w:rPr>
                <w:rFonts w:ascii="Calibri" w:hAnsi="Calibri"/>
                <w:sz w:val="18"/>
                <w:szCs w:val="18"/>
                <w:lang w:val="en-GB"/>
              </w:rPr>
              <w:t xml:space="preserve">Are ‘nodes’ the </w:t>
            </w:r>
            <w:r>
              <w:rPr>
                <w:rFonts w:ascii="Calibri" w:hAnsi="Calibri"/>
                <w:sz w:val="18"/>
                <w:szCs w:val="18"/>
                <w:lang w:val="en-GB"/>
              </w:rPr>
              <w:t>logical systems or the physical systems</w:t>
            </w:r>
            <w:r w:rsidRPr="00C00BB9">
              <w:rPr>
                <w:rFonts w:ascii="Calibri" w:hAnsi="Calibri"/>
                <w:sz w:val="18"/>
                <w:szCs w:val="18"/>
                <w:lang w:val="en-GB"/>
              </w:rPr>
              <w:t>?</w:t>
            </w:r>
          </w:p>
        </w:tc>
        <w:tc>
          <w:tcPr>
            <w:tcW w:w="3118" w:type="dxa"/>
          </w:tcPr>
          <w:p w14:paraId="1F209E9B" w14:textId="1C527917" w:rsidR="002E5B77" w:rsidRPr="006B004E"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This is very much dependent on the software and hardware architecture proposed by the provider. The idea is that for the production system nodes in a multi-node setup have a failover option. Whether it is on the physical or logical level depends on the setup.</w:t>
            </w:r>
          </w:p>
        </w:tc>
      </w:tr>
      <w:tr w:rsidR="002E5B77" w:rsidRPr="00AA7D95" w14:paraId="35114BF9" w14:textId="77777777" w:rsidTr="0033697A">
        <w:trPr>
          <w:cantSplit/>
        </w:trPr>
        <w:tc>
          <w:tcPr>
            <w:tcW w:w="851" w:type="dxa"/>
          </w:tcPr>
          <w:p w14:paraId="3406F36D" w14:textId="77777777" w:rsidR="002E5B77" w:rsidRDefault="002E5B77"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46</w:t>
            </w:r>
          </w:p>
        </w:tc>
        <w:tc>
          <w:tcPr>
            <w:tcW w:w="1140" w:type="dxa"/>
          </w:tcPr>
          <w:p w14:paraId="09B56116"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Storage</w:t>
            </w:r>
          </w:p>
        </w:tc>
        <w:tc>
          <w:tcPr>
            <w:tcW w:w="1843" w:type="dxa"/>
          </w:tcPr>
          <w:p w14:paraId="0E5A3D38" w14:textId="77777777" w:rsidR="002E5B77" w:rsidRPr="006B004E" w:rsidRDefault="002E5B77" w:rsidP="00BF49A8">
            <w:pPr>
              <w:pStyle w:val="formulierstandaard"/>
              <w:spacing w:before="60" w:after="60" w:line="240" w:lineRule="auto"/>
              <w:ind w:left="0"/>
              <w:rPr>
                <w:rFonts w:ascii="Calibri" w:hAnsi="Calibri"/>
                <w:sz w:val="18"/>
                <w:szCs w:val="18"/>
                <w:lang w:val="en-GB"/>
              </w:rPr>
            </w:pPr>
            <w:proofErr w:type="spellStart"/>
            <w:r>
              <w:rPr>
                <w:rFonts w:ascii="Calibri" w:hAnsi="Calibri"/>
                <w:sz w:val="18"/>
                <w:szCs w:val="18"/>
                <w:lang w:val="en-GB"/>
              </w:rPr>
              <w:t>n.a</w:t>
            </w:r>
            <w:proofErr w:type="spellEnd"/>
            <w:r>
              <w:rPr>
                <w:rFonts w:ascii="Calibri" w:hAnsi="Calibri"/>
                <w:sz w:val="18"/>
                <w:szCs w:val="18"/>
                <w:lang w:val="en-GB"/>
              </w:rPr>
              <w:t>.</w:t>
            </w:r>
          </w:p>
        </w:tc>
        <w:tc>
          <w:tcPr>
            <w:tcW w:w="3113" w:type="dxa"/>
          </w:tcPr>
          <w:p w14:paraId="36EB57F9" w14:textId="77777777" w:rsidR="002E5B77" w:rsidRPr="006B004E" w:rsidRDefault="002E5B7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Could Europeana give insight in peak-performance requirements? </w:t>
            </w:r>
          </w:p>
        </w:tc>
        <w:tc>
          <w:tcPr>
            <w:tcW w:w="3118" w:type="dxa"/>
          </w:tcPr>
          <w:p w14:paraId="7D9AC1FF" w14:textId="3D749EDC" w:rsidR="002E5B77" w:rsidRPr="006B004E" w:rsidRDefault="00BF49A8" w:rsidP="00BF49A8">
            <w:pPr>
              <w:pStyle w:val="formulierstandaard"/>
              <w:spacing w:before="60" w:after="60" w:line="240" w:lineRule="auto"/>
              <w:ind w:left="0"/>
              <w:rPr>
                <w:rFonts w:ascii="Calibri" w:hAnsi="Calibri"/>
                <w:sz w:val="18"/>
                <w:szCs w:val="18"/>
                <w:lang w:val="en-GB"/>
              </w:rPr>
            </w:pPr>
            <w:r w:rsidRPr="00BF49A8">
              <w:rPr>
                <w:rFonts w:ascii="Calibri" w:hAnsi="Calibri"/>
                <w:sz w:val="18"/>
                <w:szCs w:val="18"/>
                <w:lang w:val="en-GB"/>
              </w:rPr>
              <w:t>We have provided some new IO metrics reflecting the peak performance in the previous set of answers. We usually do not have extraordinary performance peaks which differ significantly from the normal level of consumption but we would like to get prepared to such situations proactively in advance (see scaling up/down requirements).</w:t>
            </w:r>
          </w:p>
        </w:tc>
      </w:tr>
      <w:tr w:rsidR="00DD7F78" w:rsidRPr="00AA7D95" w14:paraId="072210E2" w14:textId="77777777" w:rsidTr="0033697A">
        <w:trPr>
          <w:cantSplit/>
        </w:trPr>
        <w:tc>
          <w:tcPr>
            <w:tcW w:w="851" w:type="dxa"/>
          </w:tcPr>
          <w:p w14:paraId="739C5E81"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47</w:t>
            </w:r>
          </w:p>
        </w:tc>
        <w:tc>
          <w:tcPr>
            <w:tcW w:w="1140" w:type="dxa"/>
          </w:tcPr>
          <w:p w14:paraId="50E26CE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Result or effort</w:t>
            </w:r>
          </w:p>
        </w:tc>
        <w:tc>
          <w:tcPr>
            <w:tcW w:w="1843" w:type="dxa"/>
          </w:tcPr>
          <w:p w14:paraId="1978C571"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493B4CA1"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1.2.b</w:t>
            </w:r>
          </w:p>
        </w:tc>
        <w:tc>
          <w:tcPr>
            <w:tcW w:w="3113" w:type="dxa"/>
          </w:tcPr>
          <w:p w14:paraId="02F78865"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Hosting is a mix of obligations, part of which will produce a result that can be measured and judged, another part can only be judged on the basis of the efforts invested to achieve a result and the results of the remaining obligations will have to be evaluated by comparing them with the service levels and key performance indicators as defined in the Service Level Agreement (SLA; Schedule 4). </w:t>
            </w:r>
          </w:p>
          <w:p w14:paraId="6D383E3D"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Given the use of the words “shall” and “must” in the text of this agreement, the outcome of clause 1.2.b is not useful.</w:t>
            </w:r>
          </w:p>
          <w:p w14:paraId="21B8A92B"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Is it possible to replace clause 1.2.b by a more accurate definition, making it clear when which kind of obligation is expected to be performed by Supplier? </w:t>
            </w:r>
          </w:p>
        </w:tc>
        <w:tc>
          <w:tcPr>
            <w:tcW w:w="3118" w:type="dxa"/>
          </w:tcPr>
          <w:p w14:paraId="443E9C87" w14:textId="77777777" w:rsidR="005423DE" w:rsidRDefault="005423DE"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Clause 1.2.b will not be amended. </w:t>
            </w:r>
          </w:p>
          <w:p w14:paraId="3107D2F1" w14:textId="77777777" w:rsidR="00DD4CE2" w:rsidRDefault="005423DE"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It is Europeana’s intention to mark all obligations as obligations of result, unless specifically agreed otherwise by Parties. Also see Clause 4.2.</w:t>
            </w:r>
          </w:p>
          <w:p w14:paraId="1434309C" w14:textId="77777777" w:rsidR="005423DE" w:rsidRDefault="00DD4CE2"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As service levels are pre-eminently fit to serve as obligations of result, Europeana does not see a reason to mark the service levels as best effort obligations.</w:t>
            </w:r>
          </w:p>
          <w:p w14:paraId="313987F8" w14:textId="77777777" w:rsidR="00B65C53" w:rsidRPr="006B004E" w:rsidRDefault="00B65C53" w:rsidP="00BF49A8">
            <w:pPr>
              <w:pStyle w:val="formulierstandaard"/>
              <w:spacing w:before="60" w:after="60" w:line="240" w:lineRule="auto"/>
              <w:ind w:left="0"/>
              <w:rPr>
                <w:rFonts w:ascii="Calibri" w:hAnsi="Calibri"/>
                <w:sz w:val="18"/>
                <w:szCs w:val="18"/>
                <w:lang w:val="en-GB"/>
              </w:rPr>
            </w:pPr>
          </w:p>
        </w:tc>
      </w:tr>
      <w:tr w:rsidR="00DD7F78" w:rsidRPr="00AA7D95" w14:paraId="1C16231B" w14:textId="77777777" w:rsidTr="0033697A">
        <w:trPr>
          <w:cantSplit/>
        </w:trPr>
        <w:tc>
          <w:tcPr>
            <w:tcW w:w="851" w:type="dxa"/>
          </w:tcPr>
          <w:p w14:paraId="40EE7522"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48</w:t>
            </w:r>
          </w:p>
        </w:tc>
        <w:tc>
          <w:tcPr>
            <w:tcW w:w="1140" w:type="dxa"/>
          </w:tcPr>
          <w:p w14:paraId="17107AB0"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General terms and conditions</w:t>
            </w:r>
          </w:p>
        </w:tc>
        <w:tc>
          <w:tcPr>
            <w:tcW w:w="1843" w:type="dxa"/>
          </w:tcPr>
          <w:p w14:paraId="6E3F638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10DA886A"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2.2</w:t>
            </w:r>
          </w:p>
        </w:tc>
        <w:tc>
          <w:tcPr>
            <w:tcW w:w="3113" w:type="dxa"/>
          </w:tcPr>
          <w:p w14:paraId="2AB017E9"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The general terms and conditions as used by Supplier are especially designed for IT-agreements, including hosting.</w:t>
            </w:r>
          </w:p>
          <w:p w14:paraId="40921179"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Given the fact that not all issues are dealt with in Appendix D, using Suppliers general terms and conditions would save a lot of work in making up a really complete agreement.</w:t>
            </w:r>
          </w:p>
          <w:p w14:paraId="3EB521E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Is Europeana willing to accept Suppliers general terms and conditions as Schedule 9 to this agreement with the lowest rank (n) in article 2.3?</w:t>
            </w:r>
          </w:p>
        </w:tc>
        <w:tc>
          <w:tcPr>
            <w:tcW w:w="3118" w:type="dxa"/>
          </w:tcPr>
          <w:p w14:paraId="45E277AE" w14:textId="77777777" w:rsidR="00887D5A" w:rsidRPr="006B004E" w:rsidRDefault="00D34DA9"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Europeana does not accept Supplier’s general terms and conditions.</w:t>
            </w:r>
          </w:p>
        </w:tc>
      </w:tr>
      <w:tr w:rsidR="00DD7F78" w:rsidRPr="00DD7F78" w14:paraId="68250757" w14:textId="77777777" w:rsidTr="0033697A">
        <w:trPr>
          <w:cantSplit/>
        </w:trPr>
        <w:tc>
          <w:tcPr>
            <w:tcW w:w="851" w:type="dxa"/>
          </w:tcPr>
          <w:p w14:paraId="184D94EF"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49</w:t>
            </w:r>
          </w:p>
        </w:tc>
        <w:tc>
          <w:tcPr>
            <w:tcW w:w="1140" w:type="dxa"/>
          </w:tcPr>
          <w:p w14:paraId="73574B4B"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Meaning of Services</w:t>
            </w:r>
          </w:p>
        </w:tc>
        <w:tc>
          <w:tcPr>
            <w:tcW w:w="1843" w:type="dxa"/>
          </w:tcPr>
          <w:p w14:paraId="76F07E78"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0330B61C"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3.3.b</w:t>
            </w:r>
          </w:p>
        </w:tc>
        <w:tc>
          <w:tcPr>
            <w:tcW w:w="3113" w:type="dxa"/>
          </w:tcPr>
          <w:p w14:paraId="7EC7150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There is a certain level of general uncertainty on how to interpret the text of clauses in this agreement concerning the provision of software. </w:t>
            </w:r>
          </w:p>
          <w:p w14:paraId="367EAAF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does not deliver any kind of application software; it is all about the system software needed to make the Services (hosting) work.</w:t>
            </w:r>
          </w:p>
          <w:p w14:paraId="347205E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So the Services do not include the production or transfer of software; unless expressly stated otherwise.</w:t>
            </w:r>
          </w:p>
          <w:p w14:paraId="155A050E"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The basics of hosting is rental of a complete platform including hardware and system software. The system-software needed to make the Services work is licensed to Supplier by the original producers/owners of this software and the rights granted to Supplier include all rights needed to use the software for cloud and/or hosting purposes. Transferring these rights, or the object-code or the source-code is however prohibited (and there is no need to do so).</w:t>
            </w:r>
          </w:p>
          <w:p w14:paraId="3980A72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Other rules may apply for additional software, but then this software and the applicable rules of the pertaining IPR rights should be specified in (an appendix to) the agreement.</w:t>
            </w:r>
          </w:p>
          <w:p w14:paraId="17995E6F"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Can the text of clause 3.3.b altered in such a way that it will be clear that there is no obligation for Supplier to supply Europeana with object- or source-codes of the system software licensed by Supplier?</w:t>
            </w:r>
          </w:p>
        </w:tc>
        <w:tc>
          <w:tcPr>
            <w:tcW w:w="3118" w:type="dxa"/>
          </w:tcPr>
          <w:p w14:paraId="71C884F0" w14:textId="77777777" w:rsidR="00FC784E" w:rsidRDefault="00FC784E"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3.3.b will not be amended.</w:t>
            </w:r>
          </w:p>
          <w:p w14:paraId="34A0E95E" w14:textId="77777777" w:rsidR="00887D5A" w:rsidRDefault="00D34DA9"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Europeana is aware of the fact that</w:t>
            </w:r>
            <w:r w:rsidR="006C0EED">
              <w:rPr>
                <w:rFonts w:ascii="Calibri" w:hAnsi="Calibri"/>
                <w:sz w:val="18"/>
                <w:szCs w:val="18"/>
                <w:lang w:val="en-GB"/>
              </w:rPr>
              <w:t xml:space="preserve"> the</w:t>
            </w:r>
            <w:r>
              <w:rPr>
                <w:rFonts w:ascii="Calibri" w:hAnsi="Calibri"/>
                <w:sz w:val="18"/>
                <w:szCs w:val="18"/>
                <w:lang w:val="en-GB"/>
              </w:rPr>
              <w:t xml:space="preserve"> hosting</w:t>
            </w:r>
            <w:r w:rsidR="006C0EED">
              <w:rPr>
                <w:rFonts w:ascii="Calibri" w:hAnsi="Calibri"/>
                <w:sz w:val="18"/>
                <w:szCs w:val="18"/>
                <w:lang w:val="en-GB"/>
              </w:rPr>
              <w:t xml:space="preserve"> services</w:t>
            </w:r>
            <w:r>
              <w:rPr>
                <w:rFonts w:ascii="Calibri" w:hAnsi="Calibri"/>
                <w:sz w:val="18"/>
                <w:szCs w:val="18"/>
                <w:lang w:val="en-GB"/>
              </w:rPr>
              <w:t xml:space="preserve"> </w:t>
            </w:r>
            <w:r w:rsidR="00FC784E">
              <w:rPr>
                <w:rFonts w:ascii="Calibri" w:hAnsi="Calibri"/>
                <w:sz w:val="18"/>
                <w:szCs w:val="18"/>
                <w:lang w:val="en-GB"/>
              </w:rPr>
              <w:t>do</w:t>
            </w:r>
            <w:r>
              <w:rPr>
                <w:rFonts w:ascii="Calibri" w:hAnsi="Calibri"/>
                <w:sz w:val="18"/>
                <w:szCs w:val="18"/>
                <w:lang w:val="en-GB"/>
              </w:rPr>
              <w:t xml:space="preserve"> not comprise the </w:t>
            </w:r>
            <w:r w:rsidR="006C0EED">
              <w:rPr>
                <w:rFonts w:ascii="Calibri" w:hAnsi="Calibri"/>
                <w:sz w:val="18"/>
                <w:szCs w:val="18"/>
                <w:lang w:val="en-GB"/>
              </w:rPr>
              <w:t>provision/delivery</w:t>
            </w:r>
            <w:r>
              <w:rPr>
                <w:rFonts w:ascii="Calibri" w:hAnsi="Calibri"/>
                <w:sz w:val="18"/>
                <w:szCs w:val="18"/>
                <w:lang w:val="en-GB"/>
              </w:rPr>
              <w:t xml:space="preserve"> of software</w:t>
            </w:r>
            <w:r w:rsidR="006C0EED">
              <w:rPr>
                <w:rFonts w:ascii="Calibri" w:hAnsi="Calibri"/>
                <w:sz w:val="18"/>
                <w:szCs w:val="18"/>
                <w:lang w:val="en-GB"/>
              </w:rPr>
              <w:t xml:space="preserve"> to Europeana</w:t>
            </w:r>
            <w:r>
              <w:rPr>
                <w:rFonts w:ascii="Calibri" w:hAnsi="Calibri"/>
                <w:sz w:val="18"/>
                <w:szCs w:val="18"/>
                <w:lang w:val="en-GB"/>
              </w:rPr>
              <w:t xml:space="preserve">. However, </w:t>
            </w:r>
            <w:r w:rsidR="00F1397B">
              <w:rPr>
                <w:rFonts w:ascii="Calibri" w:hAnsi="Calibri"/>
                <w:sz w:val="18"/>
                <w:szCs w:val="18"/>
                <w:lang w:val="en-GB"/>
              </w:rPr>
              <w:t xml:space="preserve">(i) </w:t>
            </w:r>
            <w:r w:rsidR="0070595C">
              <w:rPr>
                <w:rFonts w:ascii="Calibri" w:hAnsi="Calibri"/>
                <w:sz w:val="18"/>
                <w:szCs w:val="18"/>
                <w:lang w:val="en-GB"/>
              </w:rPr>
              <w:t>the term ‘</w:t>
            </w:r>
            <w:r w:rsidR="00F1397B">
              <w:rPr>
                <w:rFonts w:ascii="Calibri" w:hAnsi="Calibri"/>
                <w:sz w:val="18"/>
                <w:szCs w:val="18"/>
                <w:lang w:val="en-GB"/>
              </w:rPr>
              <w:t>materials</w:t>
            </w:r>
            <w:r w:rsidR="0070595C">
              <w:rPr>
                <w:rFonts w:ascii="Calibri" w:hAnsi="Calibri"/>
                <w:sz w:val="18"/>
                <w:szCs w:val="18"/>
                <w:lang w:val="en-GB"/>
              </w:rPr>
              <w:t>’</w:t>
            </w:r>
            <w:r w:rsidR="00F1397B">
              <w:rPr>
                <w:rFonts w:ascii="Calibri" w:hAnsi="Calibri"/>
                <w:sz w:val="18"/>
                <w:szCs w:val="18"/>
                <w:lang w:val="en-GB"/>
              </w:rPr>
              <w:t xml:space="preserve"> as </w:t>
            </w:r>
            <w:r w:rsidR="0070595C">
              <w:rPr>
                <w:rFonts w:ascii="Calibri" w:hAnsi="Calibri"/>
                <w:sz w:val="18"/>
                <w:szCs w:val="18"/>
                <w:lang w:val="en-GB"/>
              </w:rPr>
              <w:t>used</w:t>
            </w:r>
            <w:r w:rsidR="00F1397B">
              <w:rPr>
                <w:rFonts w:ascii="Calibri" w:hAnsi="Calibri"/>
                <w:sz w:val="18"/>
                <w:szCs w:val="18"/>
                <w:lang w:val="en-GB"/>
              </w:rPr>
              <w:t xml:space="preserve"> in Clause 3.3.b is not limited to software only (e.g. technical documentation, reports) and (ii) </w:t>
            </w:r>
            <w:r w:rsidR="006C0EED">
              <w:rPr>
                <w:rFonts w:ascii="Calibri" w:hAnsi="Calibri"/>
                <w:sz w:val="18"/>
                <w:szCs w:val="18"/>
                <w:lang w:val="en-GB"/>
              </w:rPr>
              <w:t xml:space="preserve">Europeana does not exclude the possibility that a Scope Change is agreed upon during the Term of the Agreement which concerns the development </w:t>
            </w:r>
            <w:r w:rsidR="00FC784E">
              <w:rPr>
                <w:rFonts w:ascii="Calibri" w:hAnsi="Calibri"/>
                <w:sz w:val="18"/>
                <w:szCs w:val="18"/>
                <w:lang w:val="en-GB"/>
              </w:rPr>
              <w:t>and/or provision/delivery of software.</w:t>
            </w:r>
          </w:p>
          <w:p w14:paraId="1C25907F" w14:textId="77777777" w:rsidR="00F1397B" w:rsidRPr="006B004E" w:rsidRDefault="0070595C"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The Agreement primarily states the main obligations of Parties. A more detailed description of the Services is to be laid down in the Schedules to the Agreement (e.g. the SLA for the cloud hosting services). See Clause 3.2.</w:t>
            </w:r>
          </w:p>
        </w:tc>
      </w:tr>
      <w:tr w:rsidR="00DD7F78" w:rsidRPr="00AA7D95" w14:paraId="16868A2A" w14:textId="77777777" w:rsidTr="0033697A">
        <w:trPr>
          <w:cantSplit/>
        </w:trPr>
        <w:tc>
          <w:tcPr>
            <w:tcW w:w="851" w:type="dxa"/>
          </w:tcPr>
          <w:p w14:paraId="6F977F13"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50</w:t>
            </w:r>
          </w:p>
        </w:tc>
        <w:tc>
          <w:tcPr>
            <w:tcW w:w="1140" w:type="dxa"/>
          </w:tcPr>
          <w:p w14:paraId="21F30061"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Result or effort</w:t>
            </w:r>
          </w:p>
        </w:tc>
        <w:tc>
          <w:tcPr>
            <w:tcW w:w="1843" w:type="dxa"/>
          </w:tcPr>
          <w:p w14:paraId="0262421D"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0E8F00D8"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4.2</w:t>
            </w:r>
          </w:p>
        </w:tc>
        <w:tc>
          <w:tcPr>
            <w:tcW w:w="3113" w:type="dxa"/>
          </w:tcPr>
          <w:p w14:paraId="1F201BB1"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Hosting is a mix of obligations, part of which will produce a result that can be measured and judged, another part can only be judged on the basis of the efforts invested to achieve a result and the results of the remaining obligations will have to be evaluated by comparing them with the service levels and key performance indicators as defined in the Service Level Agreement (SLA; Schedule 4). </w:t>
            </w:r>
          </w:p>
          <w:p w14:paraId="2DD308C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 clause like 4.2 is often seen in general conditions, giving the user of these conditions the benefit of the doubt in cases where the character of an obligation is not clear and that is exactly what is achieved by the last sentence of this clause 4.2. In an agreement however it should be clear what is expected from the Supplier, especially so in tendering, and it is just not correct that all obligations can constitute an obligation of result.</w:t>
            </w:r>
          </w:p>
          <w:p w14:paraId="14048BF8"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Is Europeana willing to delete the first sentence of article 4.2?</w:t>
            </w:r>
          </w:p>
        </w:tc>
        <w:tc>
          <w:tcPr>
            <w:tcW w:w="3118" w:type="dxa"/>
          </w:tcPr>
          <w:p w14:paraId="0D7A5C20" w14:textId="77777777" w:rsidR="0070595C" w:rsidRDefault="0070595C"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4.2 will not be amended.</w:t>
            </w:r>
          </w:p>
          <w:p w14:paraId="2A2CDF7D" w14:textId="77777777" w:rsidR="00887D5A" w:rsidRPr="006B004E" w:rsidRDefault="0070595C"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See the answer to question 47.</w:t>
            </w:r>
          </w:p>
        </w:tc>
      </w:tr>
      <w:tr w:rsidR="00DD7F78" w:rsidRPr="00DD7F78" w14:paraId="64C07CED" w14:textId="77777777" w:rsidTr="0033697A">
        <w:trPr>
          <w:cantSplit/>
        </w:trPr>
        <w:tc>
          <w:tcPr>
            <w:tcW w:w="851" w:type="dxa"/>
          </w:tcPr>
          <w:p w14:paraId="426F393C"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51</w:t>
            </w:r>
          </w:p>
        </w:tc>
        <w:tc>
          <w:tcPr>
            <w:tcW w:w="1140" w:type="dxa"/>
          </w:tcPr>
          <w:p w14:paraId="3FF393AE"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Additional work</w:t>
            </w:r>
          </w:p>
        </w:tc>
        <w:tc>
          <w:tcPr>
            <w:tcW w:w="1843" w:type="dxa"/>
          </w:tcPr>
          <w:p w14:paraId="7E754EB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755A3193"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4.5</w:t>
            </w:r>
          </w:p>
        </w:tc>
        <w:tc>
          <w:tcPr>
            <w:tcW w:w="3113" w:type="dxa"/>
          </w:tcPr>
          <w:p w14:paraId="202CC5E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The obligation of Supplier under clause 4.5 may well result in additional work. </w:t>
            </w:r>
          </w:p>
          <w:p w14:paraId="70B1A96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Has (an estimate of) the price for this additional work to be included in the monthly operational price (Appendix C), or can these costs be billed separately?</w:t>
            </w:r>
          </w:p>
        </w:tc>
        <w:tc>
          <w:tcPr>
            <w:tcW w:w="3118" w:type="dxa"/>
          </w:tcPr>
          <w:p w14:paraId="6ABCB6DF" w14:textId="77777777" w:rsidR="00FE183B" w:rsidRPr="006B004E" w:rsidRDefault="00E25A3E"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The Charges</w:t>
            </w:r>
            <w:r w:rsidR="00FE183B">
              <w:rPr>
                <w:rFonts w:ascii="Calibri" w:hAnsi="Calibri"/>
                <w:sz w:val="18"/>
                <w:szCs w:val="18"/>
                <w:lang w:val="en-GB"/>
              </w:rPr>
              <w:t xml:space="preserve"> stated in your </w:t>
            </w:r>
            <w:r w:rsidR="0070595C">
              <w:rPr>
                <w:rFonts w:ascii="Calibri" w:hAnsi="Calibri"/>
                <w:sz w:val="18"/>
                <w:szCs w:val="18"/>
                <w:lang w:val="en-GB"/>
              </w:rPr>
              <w:t>Proposal</w:t>
            </w:r>
            <w:r w:rsidR="00FE183B">
              <w:rPr>
                <w:rFonts w:ascii="Calibri" w:hAnsi="Calibri"/>
                <w:sz w:val="18"/>
                <w:szCs w:val="18"/>
                <w:lang w:val="en-GB"/>
              </w:rPr>
              <w:t xml:space="preserve"> must comprise all components necessary to deliver the </w:t>
            </w:r>
            <w:r>
              <w:rPr>
                <w:rFonts w:ascii="Calibri" w:hAnsi="Calibri"/>
                <w:sz w:val="18"/>
                <w:szCs w:val="18"/>
                <w:lang w:val="en-GB"/>
              </w:rPr>
              <w:t>S</w:t>
            </w:r>
            <w:r w:rsidR="00FE183B">
              <w:rPr>
                <w:rFonts w:ascii="Calibri" w:hAnsi="Calibri"/>
                <w:sz w:val="18"/>
                <w:szCs w:val="18"/>
                <w:lang w:val="en-GB"/>
              </w:rPr>
              <w:t>ervices. Additional fees will not be paid by Europeana, unless</w:t>
            </w:r>
            <w:r w:rsidR="00815E37">
              <w:rPr>
                <w:rFonts w:ascii="Calibri" w:hAnsi="Calibri"/>
                <w:sz w:val="18"/>
                <w:szCs w:val="18"/>
                <w:lang w:val="en-GB"/>
              </w:rPr>
              <w:t xml:space="preserve"> Parties</w:t>
            </w:r>
            <w:r w:rsidR="00FE183B">
              <w:rPr>
                <w:rFonts w:ascii="Calibri" w:hAnsi="Calibri"/>
                <w:sz w:val="18"/>
                <w:szCs w:val="18"/>
                <w:lang w:val="en-GB"/>
              </w:rPr>
              <w:t xml:space="preserve"> explicitly </w:t>
            </w:r>
            <w:r w:rsidR="00815E37">
              <w:rPr>
                <w:rFonts w:ascii="Calibri" w:hAnsi="Calibri"/>
                <w:sz w:val="18"/>
                <w:szCs w:val="18"/>
                <w:lang w:val="en-GB"/>
              </w:rPr>
              <w:t>agree on a Contract Change, Resource Variation or Scope Change</w:t>
            </w:r>
            <w:r w:rsidR="00FE183B">
              <w:rPr>
                <w:rFonts w:ascii="Calibri" w:hAnsi="Calibri"/>
                <w:sz w:val="18"/>
                <w:szCs w:val="18"/>
                <w:lang w:val="en-GB"/>
              </w:rPr>
              <w:t>.</w:t>
            </w:r>
            <w:r w:rsidR="00815E37">
              <w:rPr>
                <w:rFonts w:ascii="Calibri" w:hAnsi="Calibri"/>
                <w:sz w:val="18"/>
                <w:szCs w:val="18"/>
                <w:lang w:val="en-GB"/>
              </w:rPr>
              <w:t xml:space="preserve"> See Clauses 6 and 10.1.</w:t>
            </w:r>
          </w:p>
        </w:tc>
      </w:tr>
      <w:tr w:rsidR="00DD7F78" w:rsidRPr="00AA7D95" w14:paraId="4667FE90" w14:textId="77777777" w:rsidTr="0033697A">
        <w:trPr>
          <w:cantSplit/>
        </w:trPr>
        <w:tc>
          <w:tcPr>
            <w:tcW w:w="851" w:type="dxa"/>
          </w:tcPr>
          <w:p w14:paraId="478569DD"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52</w:t>
            </w:r>
          </w:p>
        </w:tc>
        <w:tc>
          <w:tcPr>
            <w:tcW w:w="1140" w:type="dxa"/>
          </w:tcPr>
          <w:p w14:paraId="643B0DFD"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Failure to comply by Europeana</w:t>
            </w:r>
          </w:p>
        </w:tc>
        <w:tc>
          <w:tcPr>
            <w:tcW w:w="1843" w:type="dxa"/>
          </w:tcPr>
          <w:p w14:paraId="4894806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040F7D1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5.3</w:t>
            </w:r>
          </w:p>
        </w:tc>
        <w:tc>
          <w:tcPr>
            <w:tcW w:w="3113" w:type="dxa"/>
          </w:tcPr>
          <w:p w14:paraId="613E8444"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Supplier has to comply with all applicable laws, regulations and so on (article 13.1.d) and so has Europeana </w:t>
            </w:r>
            <w:r w:rsidRPr="00A0680B">
              <w:rPr>
                <w:rFonts w:ascii="Calibri" w:hAnsi="Calibri"/>
                <w:sz w:val="18"/>
                <w:szCs w:val="18"/>
                <w:lang w:val="en-GB"/>
              </w:rPr>
              <w:t>to comp</w:t>
            </w:r>
            <w:r>
              <w:rPr>
                <w:rFonts w:ascii="Calibri" w:hAnsi="Calibri"/>
                <w:sz w:val="18"/>
                <w:szCs w:val="18"/>
                <w:lang w:val="en-GB"/>
              </w:rPr>
              <w:t>l</w:t>
            </w:r>
            <w:r w:rsidRPr="00A0680B">
              <w:rPr>
                <w:rFonts w:ascii="Calibri" w:hAnsi="Calibri"/>
                <w:sz w:val="18"/>
                <w:szCs w:val="18"/>
                <w:lang w:val="en-GB"/>
              </w:rPr>
              <w:t xml:space="preserve">y with the law et cetera </w:t>
            </w:r>
            <w:r>
              <w:rPr>
                <w:rFonts w:ascii="Calibri" w:hAnsi="Calibri"/>
                <w:sz w:val="18"/>
                <w:szCs w:val="18"/>
                <w:lang w:val="en-GB"/>
              </w:rPr>
              <w:t>with regard to the use of the Services. Supplier will try to avoid or mitigate the consequences of Europeana’s breaking of the law or other rules, but that may well be impossible; it may even be unavoidable to suspend the Services (court order, Notice and Take down policy, seizure).</w:t>
            </w:r>
          </w:p>
          <w:p w14:paraId="36650549"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Is it possible to add to clause 5.3 the rules that will apply if avoiding of consequences of an act of Europeana is not possible?</w:t>
            </w:r>
          </w:p>
        </w:tc>
        <w:tc>
          <w:tcPr>
            <w:tcW w:w="3118" w:type="dxa"/>
          </w:tcPr>
          <w:p w14:paraId="5C88A087" w14:textId="77777777" w:rsidR="00A83585" w:rsidRDefault="00815E3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5.3 will not be amended as it currently already only constitutes a best effort obligation</w:t>
            </w:r>
            <w:r w:rsidR="00A152E5">
              <w:rPr>
                <w:rFonts w:ascii="Calibri" w:hAnsi="Calibri"/>
                <w:sz w:val="18"/>
                <w:szCs w:val="18"/>
                <w:lang w:val="en-GB"/>
              </w:rPr>
              <w:t>. In other words, Supplier is only required to use reasonable efforts to avoid or mitigate the consequences.</w:t>
            </w:r>
          </w:p>
          <w:p w14:paraId="0083412D" w14:textId="77777777" w:rsidR="00A83585" w:rsidRPr="006B004E" w:rsidRDefault="00A83585" w:rsidP="00BF49A8">
            <w:pPr>
              <w:pStyle w:val="formulierstandaard"/>
              <w:spacing w:before="60" w:after="60" w:line="240" w:lineRule="auto"/>
              <w:ind w:left="0"/>
              <w:rPr>
                <w:rFonts w:ascii="Calibri" w:hAnsi="Calibri"/>
                <w:b/>
                <w:sz w:val="18"/>
                <w:szCs w:val="18"/>
                <w:lang w:val="en-GB"/>
              </w:rPr>
            </w:pPr>
          </w:p>
        </w:tc>
      </w:tr>
      <w:tr w:rsidR="00DD7F78" w:rsidRPr="00AA7D95" w14:paraId="7AAA8D1C" w14:textId="77777777" w:rsidTr="0033697A">
        <w:trPr>
          <w:cantSplit/>
        </w:trPr>
        <w:tc>
          <w:tcPr>
            <w:tcW w:w="851" w:type="dxa"/>
          </w:tcPr>
          <w:p w14:paraId="1E9DC264"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53</w:t>
            </w:r>
          </w:p>
        </w:tc>
        <w:tc>
          <w:tcPr>
            <w:tcW w:w="1140" w:type="dxa"/>
          </w:tcPr>
          <w:p w14:paraId="253740BC"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Costs of acceptance procedures</w:t>
            </w:r>
          </w:p>
        </w:tc>
        <w:tc>
          <w:tcPr>
            <w:tcW w:w="1843" w:type="dxa"/>
          </w:tcPr>
          <w:p w14:paraId="53BB2DEF"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4EDE0829"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8</w:t>
            </w:r>
          </w:p>
        </w:tc>
        <w:tc>
          <w:tcPr>
            <w:tcW w:w="3113" w:type="dxa"/>
          </w:tcPr>
          <w:p w14:paraId="36EBDAA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(Estimated) costs for acceptance procedures are not specified in Appendix C, which is particular important in case of changes to the Services.</w:t>
            </w:r>
          </w:p>
          <w:p w14:paraId="1130C0CB"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Has (an estimate of) the costs of acceptance procedures to be included in the (monthly operational and other) prices (Appendix C), or can these costs be invoiced separately?</w:t>
            </w:r>
          </w:p>
        </w:tc>
        <w:tc>
          <w:tcPr>
            <w:tcW w:w="3118" w:type="dxa"/>
          </w:tcPr>
          <w:p w14:paraId="1660EA17" w14:textId="77777777" w:rsidR="005A7FF3" w:rsidRDefault="005A7FF3"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The costs of </w:t>
            </w:r>
            <w:r w:rsidR="003E2B0F">
              <w:rPr>
                <w:rFonts w:ascii="Calibri" w:hAnsi="Calibri"/>
                <w:sz w:val="18"/>
                <w:szCs w:val="18"/>
                <w:lang w:val="en-GB"/>
              </w:rPr>
              <w:t>the</w:t>
            </w:r>
            <w:r>
              <w:rPr>
                <w:rFonts w:ascii="Calibri" w:hAnsi="Calibri"/>
                <w:sz w:val="18"/>
                <w:szCs w:val="18"/>
                <w:lang w:val="en-GB"/>
              </w:rPr>
              <w:t xml:space="preserve"> Acceptance Procedures which apply to (the results of) the Migration Services must be included in the Charges of Schedule 6 (Financial Details).</w:t>
            </w:r>
          </w:p>
          <w:p w14:paraId="1F012CA1" w14:textId="77777777" w:rsidR="005A7FF3" w:rsidRDefault="00A152E5"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The costs of </w:t>
            </w:r>
            <w:r w:rsidR="003E2B0F">
              <w:rPr>
                <w:rFonts w:ascii="Calibri" w:hAnsi="Calibri"/>
                <w:sz w:val="18"/>
                <w:szCs w:val="18"/>
                <w:lang w:val="en-GB"/>
              </w:rPr>
              <w:t>an</w:t>
            </w:r>
            <w:r>
              <w:rPr>
                <w:rFonts w:ascii="Calibri" w:hAnsi="Calibri"/>
                <w:sz w:val="18"/>
                <w:szCs w:val="18"/>
                <w:lang w:val="en-GB"/>
              </w:rPr>
              <w:t xml:space="preserve"> Acceptance Procedure in case of a Resource Variation must be included in the Charges </w:t>
            </w:r>
            <w:r w:rsidR="005A7FF3">
              <w:rPr>
                <w:rFonts w:ascii="Calibri" w:hAnsi="Calibri"/>
                <w:sz w:val="18"/>
                <w:szCs w:val="18"/>
                <w:lang w:val="en-GB"/>
              </w:rPr>
              <w:t xml:space="preserve">in Schedule 6 (Financial Details). </w:t>
            </w:r>
          </w:p>
          <w:p w14:paraId="0B19DFC7" w14:textId="77777777" w:rsidR="001E6DA5" w:rsidRPr="006B004E" w:rsidRDefault="005A7FF3"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The costs of </w:t>
            </w:r>
            <w:r w:rsidR="003E2B0F">
              <w:rPr>
                <w:rFonts w:ascii="Calibri" w:hAnsi="Calibri"/>
                <w:sz w:val="18"/>
                <w:szCs w:val="18"/>
                <w:lang w:val="en-GB"/>
              </w:rPr>
              <w:t>an</w:t>
            </w:r>
            <w:r>
              <w:rPr>
                <w:rFonts w:ascii="Calibri" w:hAnsi="Calibri"/>
                <w:sz w:val="18"/>
                <w:szCs w:val="18"/>
                <w:lang w:val="en-GB"/>
              </w:rPr>
              <w:t xml:space="preserve"> Acceptance Procedure in case of a Contract Change or Scope Change must be included in the</w:t>
            </w:r>
            <w:r w:rsidR="003E2B0F">
              <w:rPr>
                <w:rFonts w:ascii="Calibri" w:hAnsi="Calibri"/>
                <w:sz w:val="18"/>
                <w:szCs w:val="18"/>
                <w:lang w:val="en-GB"/>
              </w:rPr>
              <w:t xml:space="preserve"> charges mentioned in the</w:t>
            </w:r>
            <w:r>
              <w:rPr>
                <w:rFonts w:ascii="Calibri" w:hAnsi="Calibri"/>
                <w:sz w:val="18"/>
                <w:szCs w:val="18"/>
                <w:lang w:val="en-GB"/>
              </w:rPr>
              <w:t xml:space="preserve"> Proposal which Supplier</w:t>
            </w:r>
            <w:r w:rsidR="003E2B0F">
              <w:rPr>
                <w:rFonts w:ascii="Calibri" w:hAnsi="Calibri"/>
                <w:sz w:val="18"/>
                <w:szCs w:val="18"/>
                <w:lang w:val="en-GB"/>
              </w:rPr>
              <w:t xml:space="preserve"> makes as part of the Work Order Procedure (see Clause 6).</w:t>
            </w:r>
          </w:p>
        </w:tc>
      </w:tr>
      <w:tr w:rsidR="00DD7F78" w:rsidRPr="00AA7D95" w14:paraId="3F734A46" w14:textId="77777777" w:rsidTr="0033697A">
        <w:trPr>
          <w:cantSplit/>
        </w:trPr>
        <w:tc>
          <w:tcPr>
            <w:tcW w:w="851" w:type="dxa"/>
          </w:tcPr>
          <w:p w14:paraId="7BF477BC"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54</w:t>
            </w:r>
          </w:p>
        </w:tc>
        <w:tc>
          <w:tcPr>
            <w:tcW w:w="1140" w:type="dxa"/>
          </w:tcPr>
          <w:p w14:paraId="6CA25E35"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Operational Services; Warranty</w:t>
            </w:r>
          </w:p>
        </w:tc>
        <w:tc>
          <w:tcPr>
            <w:tcW w:w="1843" w:type="dxa"/>
          </w:tcPr>
          <w:p w14:paraId="2C04FB49"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5628E5E0"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9.2</w:t>
            </w:r>
          </w:p>
        </w:tc>
        <w:tc>
          <w:tcPr>
            <w:tcW w:w="3113" w:type="dxa"/>
          </w:tcPr>
          <w:p w14:paraId="7A07B1B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is always obliged to provide the Services in accordance with the applicable specifications (article 13.1.e) and Europeana always is entitled to terminate the agreement in case of a material breach, in accordance with the law, meaning in most situations only after the reasonable term granted in a notice of default has passed without effect.</w:t>
            </w:r>
          </w:p>
          <w:p w14:paraId="1439B68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If Migration is not performed successful or in time, then there might be a good cause for immediate termination. In all other situations – in particular after acceptance of a change – applying a 1 month warranty period in which period neither Force Majeure (article 19) nor a notice of default procedure (article 17.1) will be applicable, is unnecessary and unreasonable.</w:t>
            </w:r>
          </w:p>
          <w:p w14:paraId="051C85C2"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Can clause 9.2 be changed in such a way that it only applies on the Migration phase?</w:t>
            </w:r>
          </w:p>
        </w:tc>
        <w:tc>
          <w:tcPr>
            <w:tcW w:w="3118" w:type="dxa"/>
          </w:tcPr>
          <w:p w14:paraId="32440ABD" w14:textId="7ED4C176" w:rsidR="0098184C" w:rsidRDefault="003F54B5"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The definition of ‘Warranty Period’ </w:t>
            </w:r>
            <w:r w:rsidR="00F24B7D">
              <w:rPr>
                <w:rFonts w:ascii="Calibri" w:hAnsi="Calibri"/>
                <w:sz w:val="18"/>
                <w:szCs w:val="18"/>
                <w:lang w:val="en-GB"/>
              </w:rPr>
              <w:t>will be amended as follows:</w:t>
            </w:r>
          </w:p>
          <w:p w14:paraId="775CD564" w14:textId="3ADC3D61" w:rsidR="00F24B7D" w:rsidRPr="00B86B87" w:rsidRDefault="003F54B5" w:rsidP="00BF49A8">
            <w:pPr>
              <w:pStyle w:val="formulierstandaard"/>
              <w:spacing w:before="60" w:after="60" w:line="240" w:lineRule="auto"/>
              <w:ind w:left="0"/>
              <w:rPr>
                <w:rFonts w:ascii="Calibri" w:hAnsi="Calibri"/>
                <w:i/>
                <w:sz w:val="18"/>
                <w:szCs w:val="18"/>
                <w:lang w:val="en-GB"/>
              </w:rPr>
            </w:pPr>
            <w:r w:rsidRPr="003F54B5">
              <w:rPr>
                <w:rFonts w:ascii="Calibri" w:hAnsi="Calibri"/>
                <w:i/>
                <w:sz w:val="18"/>
                <w:szCs w:val="18"/>
                <w:lang w:val="en-GB"/>
              </w:rPr>
              <w:t>"</w:t>
            </w:r>
            <w:r w:rsidRPr="003F54B5">
              <w:rPr>
                <w:rFonts w:ascii="Calibri" w:hAnsi="Calibri"/>
                <w:b/>
                <w:i/>
                <w:sz w:val="18"/>
                <w:szCs w:val="18"/>
                <w:lang w:val="en-GB"/>
              </w:rPr>
              <w:t>Warranty Period</w:t>
            </w:r>
            <w:r w:rsidRPr="003F54B5">
              <w:rPr>
                <w:rFonts w:ascii="Calibri" w:hAnsi="Calibri"/>
                <w:i/>
                <w:sz w:val="18"/>
                <w:szCs w:val="18"/>
                <w:lang w:val="en-GB"/>
              </w:rPr>
              <w:t xml:space="preserve">" means, in respect of (the results of) </w:t>
            </w:r>
            <w:r>
              <w:rPr>
                <w:rFonts w:ascii="Calibri" w:hAnsi="Calibri"/>
                <w:i/>
                <w:sz w:val="18"/>
                <w:szCs w:val="18"/>
                <w:lang w:val="en-GB"/>
              </w:rPr>
              <w:t>the Migration</w:t>
            </w:r>
            <w:r w:rsidRPr="003F54B5">
              <w:rPr>
                <w:rFonts w:ascii="Calibri" w:hAnsi="Calibri"/>
                <w:i/>
                <w:sz w:val="18"/>
                <w:szCs w:val="18"/>
                <w:lang w:val="en-GB"/>
              </w:rPr>
              <w:t xml:space="preserve"> Service</w:t>
            </w:r>
            <w:r>
              <w:rPr>
                <w:rFonts w:ascii="Calibri" w:hAnsi="Calibri"/>
                <w:i/>
                <w:sz w:val="18"/>
                <w:szCs w:val="18"/>
                <w:lang w:val="en-GB"/>
              </w:rPr>
              <w:t>s</w:t>
            </w:r>
            <w:r w:rsidRPr="003F54B5">
              <w:rPr>
                <w:rFonts w:ascii="Calibri" w:hAnsi="Calibri"/>
                <w:i/>
                <w:sz w:val="18"/>
                <w:szCs w:val="18"/>
                <w:lang w:val="en-GB"/>
              </w:rPr>
              <w:t>, a period of one (1) month commencing on the date of Acceptance of (</w:t>
            </w:r>
            <w:r>
              <w:rPr>
                <w:rFonts w:ascii="Calibri" w:hAnsi="Calibri"/>
                <w:i/>
                <w:sz w:val="18"/>
                <w:szCs w:val="18"/>
                <w:lang w:val="en-GB"/>
              </w:rPr>
              <w:t>the</w:t>
            </w:r>
            <w:r w:rsidRPr="003F54B5">
              <w:rPr>
                <w:rFonts w:ascii="Calibri" w:hAnsi="Calibri"/>
                <w:i/>
                <w:sz w:val="18"/>
                <w:szCs w:val="18"/>
                <w:lang w:val="en-GB"/>
              </w:rPr>
              <w:t xml:space="preserve"> results of) </w:t>
            </w:r>
            <w:r>
              <w:rPr>
                <w:rFonts w:ascii="Calibri" w:hAnsi="Calibri"/>
                <w:i/>
                <w:sz w:val="18"/>
                <w:szCs w:val="18"/>
                <w:lang w:val="en-GB"/>
              </w:rPr>
              <w:t>the Migration</w:t>
            </w:r>
            <w:r w:rsidRPr="003F54B5">
              <w:rPr>
                <w:rFonts w:ascii="Calibri" w:hAnsi="Calibri"/>
                <w:i/>
                <w:sz w:val="18"/>
                <w:szCs w:val="18"/>
                <w:lang w:val="en-GB"/>
              </w:rPr>
              <w:t xml:space="preserve"> Service</w:t>
            </w:r>
            <w:r>
              <w:rPr>
                <w:rFonts w:ascii="Calibri" w:hAnsi="Calibri"/>
                <w:i/>
                <w:sz w:val="18"/>
                <w:szCs w:val="18"/>
                <w:lang w:val="en-GB"/>
              </w:rPr>
              <w:t>s</w:t>
            </w:r>
            <w:r w:rsidR="009921C6">
              <w:rPr>
                <w:rFonts w:ascii="Calibri" w:hAnsi="Calibri"/>
                <w:i/>
                <w:sz w:val="18"/>
                <w:szCs w:val="18"/>
                <w:lang w:val="en-GB"/>
              </w:rPr>
              <w:t>, as well as any other period which Parties agree to be a ‘Warranty Period’</w:t>
            </w:r>
            <w:r w:rsidRPr="003F54B5">
              <w:rPr>
                <w:rFonts w:ascii="Calibri" w:hAnsi="Calibri"/>
                <w:i/>
                <w:sz w:val="18"/>
                <w:szCs w:val="18"/>
                <w:lang w:val="en-GB"/>
              </w:rPr>
              <w:t>.</w:t>
            </w:r>
          </w:p>
        </w:tc>
      </w:tr>
      <w:tr w:rsidR="00DD7F78" w:rsidRPr="00AA7D95" w14:paraId="1948D55D" w14:textId="77777777" w:rsidTr="0033697A">
        <w:trPr>
          <w:cantSplit/>
        </w:trPr>
        <w:tc>
          <w:tcPr>
            <w:tcW w:w="851" w:type="dxa"/>
          </w:tcPr>
          <w:p w14:paraId="44F53D77"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55</w:t>
            </w:r>
          </w:p>
        </w:tc>
        <w:tc>
          <w:tcPr>
            <w:tcW w:w="1140" w:type="dxa"/>
          </w:tcPr>
          <w:p w14:paraId="0F43D680"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Charges</w:t>
            </w:r>
          </w:p>
        </w:tc>
        <w:tc>
          <w:tcPr>
            <w:tcW w:w="1843" w:type="dxa"/>
          </w:tcPr>
          <w:p w14:paraId="38889EED"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6C45CD4D"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10.1</w:t>
            </w:r>
          </w:p>
        </w:tc>
        <w:tc>
          <w:tcPr>
            <w:tcW w:w="3113" w:type="dxa"/>
          </w:tcPr>
          <w:p w14:paraId="4CE1EFB1"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The phrase “charges are payable” is not exactly the same as an obligation to pay the sum(s) as agreed upon.</w:t>
            </w:r>
          </w:p>
          <w:p w14:paraId="12B548B9"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Can this clause be rephrased, including a clear obligation for Europeana to pay all sums due – including additional costs - within 30 days from the date of the invoice?</w:t>
            </w:r>
          </w:p>
        </w:tc>
        <w:tc>
          <w:tcPr>
            <w:tcW w:w="3118" w:type="dxa"/>
          </w:tcPr>
          <w:p w14:paraId="37EE68A7" w14:textId="55314963" w:rsidR="0098184C" w:rsidRDefault="0098184C"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See Clause 5.1</w:t>
            </w:r>
            <w:r w:rsidR="009921C6">
              <w:rPr>
                <w:rFonts w:ascii="Calibri" w:hAnsi="Calibri"/>
                <w:sz w:val="18"/>
                <w:szCs w:val="18"/>
                <w:lang w:val="en-GB"/>
              </w:rPr>
              <w:t>.</w:t>
            </w:r>
            <w:r>
              <w:rPr>
                <w:rFonts w:ascii="Calibri" w:hAnsi="Calibri"/>
                <w:sz w:val="18"/>
                <w:szCs w:val="18"/>
                <w:lang w:val="en-GB"/>
              </w:rPr>
              <w:t>b and Schedule 6 (Financial Details).</w:t>
            </w:r>
          </w:p>
          <w:p w14:paraId="503195B3" w14:textId="77777777" w:rsidR="00193400" w:rsidRPr="006B004E" w:rsidRDefault="00193400" w:rsidP="00BF49A8">
            <w:pPr>
              <w:pStyle w:val="formulierstandaard"/>
              <w:spacing w:before="60" w:after="60" w:line="240" w:lineRule="auto"/>
              <w:ind w:left="0"/>
              <w:rPr>
                <w:rFonts w:ascii="Calibri" w:hAnsi="Calibri"/>
                <w:sz w:val="18"/>
                <w:szCs w:val="18"/>
                <w:lang w:val="en-GB"/>
              </w:rPr>
            </w:pPr>
          </w:p>
        </w:tc>
      </w:tr>
      <w:tr w:rsidR="00DD7F78" w:rsidRPr="00AA7D95" w14:paraId="6FCC899D" w14:textId="77777777" w:rsidTr="0033697A">
        <w:trPr>
          <w:cantSplit/>
        </w:trPr>
        <w:tc>
          <w:tcPr>
            <w:tcW w:w="851" w:type="dxa"/>
          </w:tcPr>
          <w:p w14:paraId="1A2E0264"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56</w:t>
            </w:r>
          </w:p>
        </w:tc>
        <w:tc>
          <w:tcPr>
            <w:tcW w:w="1140" w:type="dxa"/>
          </w:tcPr>
          <w:p w14:paraId="721E733E"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Charges and interest</w:t>
            </w:r>
          </w:p>
        </w:tc>
        <w:tc>
          <w:tcPr>
            <w:tcW w:w="1843" w:type="dxa"/>
          </w:tcPr>
          <w:p w14:paraId="1538053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212CD3D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10.6 (new)</w:t>
            </w:r>
          </w:p>
        </w:tc>
        <w:tc>
          <w:tcPr>
            <w:tcW w:w="3113" w:type="dxa"/>
          </w:tcPr>
          <w:p w14:paraId="4FC7B62C" w14:textId="77777777" w:rsidR="00DD7F78" w:rsidRDefault="00DD7F78" w:rsidP="00BF49A8">
            <w:pPr>
              <w:pStyle w:val="formulierstandaard"/>
              <w:spacing w:before="60" w:after="60" w:line="240" w:lineRule="auto"/>
              <w:ind w:left="0"/>
              <w:rPr>
                <w:rFonts w:ascii="Calibri" w:hAnsi="Calibri"/>
                <w:sz w:val="18"/>
                <w:szCs w:val="18"/>
                <w:lang w:val="en"/>
              </w:rPr>
            </w:pPr>
            <w:r>
              <w:rPr>
                <w:rFonts w:ascii="Calibri" w:hAnsi="Calibri"/>
                <w:sz w:val="18"/>
                <w:szCs w:val="18"/>
                <w:lang w:val="en-GB"/>
              </w:rPr>
              <w:t>If payment of invoices is overdue, Supplier will charge Europeana for legal interest and – if necessary – for the costs of debt collection. (</w:t>
            </w:r>
            <w:r w:rsidRPr="005E2BBE">
              <w:rPr>
                <w:rFonts w:ascii="Calibri" w:hAnsi="Calibri"/>
                <w:sz w:val="18"/>
                <w:szCs w:val="18"/>
                <w:lang w:val="en"/>
              </w:rPr>
              <w:t xml:space="preserve">The interest charged for late payment is defined in </w:t>
            </w:r>
            <w:r>
              <w:rPr>
                <w:rFonts w:ascii="Calibri" w:hAnsi="Calibri"/>
                <w:sz w:val="18"/>
                <w:szCs w:val="18"/>
                <w:lang w:val="en"/>
              </w:rPr>
              <w:t>the a</w:t>
            </w:r>
            <w:r w:rsidRPr="005E2BBE">
              <w:rPr>
                <w:rFonts w:ascii="Calibri" w:hAnsi="Calibri"/>
                <w:sz w:val="18"/>
                <w:szCs w:val="18"/>
                <w:lang w:val="en"/>
              </w:rPr>
              <w:t>rticles 119a, 119b and 120</w:t>
            </w:r>
            <w:r>
              <w:rPr>
                <w:rFonts w:ascii="Calibri" w:hAnsi="Calibri"/>
                <w:sz w:val="18"/>
                <w:szCs w:val="18"/>
                <w:lang w:val="en"/>
              </w:rPr>
              <w:t>,</w:t>
            </w:r>
            <w:r w:rsidRPr="005E2BBE">
              <w:rPr>
                <w:rFonts w:ascii="Calibri" w:hAnsi="Calibri"/>
                <w:sz w:val="18"/>
                <w:szCs w:val="18"/>
                <w:lang w:val="en"/>
              </w:rPr>
              <w:t xml:space="preserve"> paragraph 2 of Book 6 Dutch Civil Code</w:t>
            </w:r>
            <w:r>
              <w:rPr>
                <w:rFonts w:ascii="Calibri" w:hAnsi="Calibri"/>
                <w:sz w:val="18"/>
                <w:szCs w:val="18"/>
                <w:lang w:val="en"/>
              </w:rPr>
              <w:t>.)</w:t>
            </w:r>
          </w:p>
          <w:p w14:paraId="3BA4925F"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
              </w:rPr>
              <w:t>Does Europeana agree; and if so, can this be stated in chapter 10 of the agreement?</w:t>
            </w:r>
          </w:p>
        </w:tc>
        <w:tc>
          <w:tcPr>
            <w:tcW w:w="3118" w:type="dxa"/>
          </w:tcPr>
          <w:p w14:paraId="3AFF50D3" w14:textId="515DAB62" w:rsidR="006A5B7A" w:rsidRPr="006B004E" w:rsidRDefault="0098184C"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See Paragraph 2.5 of Schedule 6 (Financial Details).</w:t>
            </w:r>
            <w:r w:rsidR="006A5B7A">
              <w:rPr>
                <w:rFonts w:ascii="Calibri" w:hAnsi="Calibri"/>
                <w:sz w:val="18"/>
                <w:szCs w:val="18"/>
                <w:lang w:val="en-GB"/>
              </w:rPr>
              <w:t xml:space="preserve"> </w:t>
            </w:r>
          </w:p>
        </w:tc>
      </w:tr>
      <w:tr w:rsidR="00DD7F78" w:rsidRPr="00AA7D95" w14:paraId="6F2B22C9" w14:textId="77777777" w:rsidTr="0033697A">
        <w:trPr>
          <w:cantSplit/>
        </w:trPr>
        <w:tc>
          <w:tcPr>
            <w:tcW w:w="851" w:type="dxa"/>
          </w:tcPr>
          <w:p w14:paraId="14C83982"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57</w:t>
            </w:r>
          </w:p>
        </w:tc>
        <w:tc>
          <w:tcPr>
            <w:tcW w:w="1140" w:type="dxa"/>
          </w:tcPr>
          <w:p w14:paraId="6052F23D"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Indexation</w:t>
            </w:r>
          </w:p>
        </w:tc>
        <w:tc>
          <w:tcPr>
            <w:tcW w:w="1843" w:type="dxa"/>
          </w:tcPr>
          <w:p w14:paraId="6923E8F9"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21AD77FE"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10.7 (new)</w:t>
            </w:r>
          </w:p>
        </w:tc>
        <w:tc>
          <w:tcPr>
            <w:tcW w:w="3113" w:type="dxa"/>
          </w:tcPr>
          <w:p w14:paraId="16E11575"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If the agreement is prolonged after the initial term (article 20.2; Renewal Period), prices should be adapted (for each Renewal period).</w:t>
            </w:r>
          </w:p>
          <w:p w14:paraId="5400D63C"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Can an indexation clause (CPI) be added to this chapter 10?</w:t>
            </w:r>
          </w:p>
        </w:tc>
        <w:tc>
          <w:tcPr>
            <w:tcW w:w="3118" w:type="dxa"/>
          </w:tcPr>
          <w:p w14:paraId="16F294BE" w14:textId="77777777" w:rsidR="006A5B7A" w:rsidRDefault="002055E5"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Paragraph 2.9 (Indexation) will be added to Schedule 6:</w:t>
            </w:r>
          </w:p>
          <w:p w14:paraId="3F27A67F" w14:textId="4FFBC6FE" w:rsidR="00595B6A" w:rsidRPr="002055E5" w:rsidRDefault="00595B6A" w:rsidP="00BF49A8">
            <w:pPr>
              <w:pStyle w:val="formulierstandaard"/>
              <w:spacing w:before="60" w:after="60" w:line="240" w:lineRule="auto"/>
              <w:ind w:left="0"/>
              <w:rPr>
                <w:rFonts w:ascii="Calibri" w:hAnsi="Calibri"/>
                <w:sz w:val="18"/>
                <w:szCs w:val="18"/>
                <w:lang w:val="en-GB"/>
              </w:rPr>
            </w:pPr>
            <w:r>
              <w:rPr>
                <w:rFonts w:ascii="Calibri" w:hAnsi="Calibri"/>
                <w:i/>
                <w:sz w:val="18"/>
                <w:szCs w:val="18"/>
                <w:lang w:val="en-GB"/>
              </w:rPr>
              <w:t>The Charges and hourly/daily rates mentioned in Paragraph 3.1 are valid</w:t>
            </w:r>
            <w:r w:rsidR="002055E5" w:rsidRPr="002055E5">
              <w:rPr>
                <w:rFonts w:ascii="Calibri" w:hAnsi="Calibri"/>
                <w:i/>
                <w:sz w:val="18"/>
                <w:szCs w:val="18"/>
                <w:lang w:val="en-GB"/>
              </w:rPr>
              <w:t xml:space="preserve"> </w:t>
            </w:r>
            <w:r>
              <w:rPr>
                <w:rFonts w:ascii="Calibri" w:hAnsi="Calibri"/>
                <w:i/>
                <w:sz w:val="18"/>
                <w:szCs w:val="18"/>
                <w:lang w:val="en-GB"/>
              </w:rPr>
              <w:t>during the Initial Term</w:t>
            </w:r>
            <w:r w:rsidR="002055E5" w:rsidRPr="002055E5">
              <w:rPr>
                <w:rFonts w:ascii="Calibri" w:hAnsi="Calibri"/>
                <w:i/>
                <w:sz w:val="18"/>
                <w:szCs w:val="18"/>
                <w:lang w:val="en-GB"/>
              </w:rPr>
              <w:t xml:space="preserve">. Thereafter, for each </w:t>
            </w:r>
            <w:r>
              <w:rPr>
                <w:rFonts w:ascii="Calibri" w:hAnsi="Calibri"/>
                <w:i/>
                <w:sz w:val="18"/>
                <w:szCs w:val="18"/>
                <w:lang w:val="en-GB"/>
              </w:rPr>
              <w:t>Renewal Period</w:t>
            </w:r>
            <w:r w:rsidR="00AE1A0A">
              <w:rPr>
                <w:rFonts w:ascii="Calibri" w:hAnsi="Calibri"/>
                <w:i/>
                <w:sz w:val="18"/>
                <w:szCs w:val="18"/>
                <w:lang w:val="en-GB"/>
              </w:rPr>
              <w:t xml:space="preserve"> of one (1) year</w:t>
            </w:r>
            <w:r w:rsidR="002055E5" w:rsidRPr="002055E5">
              <w:rPr>
                <w:rFonts w:ascii="Calibri" w:hAnsi="Calibri"/>
                <w:i/>
                <w:sz w:val="18"/>
                <w:szCs w:val="18"/>
                <w:lang w:val="en-GB"/>
              </w:rPr>
              <w:t>,</w:t>
            </w:r>
            <w:r>
              <w:rPr>
                <w:rFonts w:ascii="Calibri" w:hAnsi="Calibri"/>
                <w:i/>
                <w:sz w:val="18"/>
                <w:szCs w:val="18"/>
                <w:lang w:val="en-GB"/>
              </w:rPr>
              <w:t xml:space="preserve"> Supplier is entitled to amend the Charges and hourly/daily rates </w:t>
            </w:r>
            <w:r w:rsidR="00AE1A0A">
              <w:rPr>
                <w:rFonts w:ascii="Calibri" w:hAnsi="Calibri"/>
                <w:i/>
                <w:sz w:val="18"/>
                <w:szCs w:val="18"/>
                <w:lang w:val="en-GB"/>
              </w:rPr>
              <w:t xml:space="preserve">for the duration of the Renewal Period </w:t>
            </w:r>
            <w:r w:rsidR="002055E5" w:rsidRPr="002055E5">
              <w:rPr>
                <w:rFonts w:ascii="Calibri" w:hAnsi="Calibri"/>
                <w:i/>
                <w:sz w:val="18"/>
                <w:szCs w:val="18"/>
                <w:lang w:val="en-GB"/>
              </w:rPr>
              <w:t>as follows:</w:t>
            </w:r>
            <w:r w:rsidR="00AE1A0A">
              <w:rPr>
                <w:rFonts w:ascii="Calibri" w:hAnsi="Calibri"/>
                <w:i/>
                <w:sz w:val="18"/>
                <w:szCs w:val="18"/>
                <w:lang w:val="en-GB"/>
              </w:rPr>
              <w:t xml:space="preserve"> </w:t>
            </w:r>
            <w:r>
              <w:rPr>
                <w:rFonts w:ascii="Calibri" w:hAnsi="Calibri"/>
                <w:i/>
                <w:sz w:val="18"/>
                <w:szCs w:val="18"/>
                <w:lang w:val="en-GB"/>
              </w:rPr>
              <w:t>the Charges and hourly/daily rates</w:t>
            </w:r>
            <w:r w:rsidR="002055E5" w:rsidRPr="002055E5">
              <w:rPr>
                <w:rFonts w:ascii="Calibri" w:hAnsi="Calibri"/>
                <w:i/>
                <w:sz w:val="18"/>
                <w:szCs w:val="18"/>
                <w:lang w:val="en-GB"/>
              </w:rPr>
              <w:t xml:space="preserve"> shall be amended to reflect the changes in the index for </w:t>
            </w:r>
            <w:r>
              <w:rPr>
                <w:rFonts w:ascii="Calibri" w:hAnsi="Calibri"/>
                <w:i/>
                <w:sz w:val="18"/>
                <w:szCs w:val="18"/>
                <w:lang w:val="en-GB"/>
              </w:rPr>
              <w:t>consumer prices</w:t>
            </w:r>
            <w:r w:rsidR="002055E5" w:rsidRPr="002055E5">
              <w:rPr>
                <w:rFonts w:ascii="Calibri" w:hAnsi="Calibri"/>
                <w:i/>
                <w:sz w:val="18"/>
                <w:szCs w:val="18"/>
                <w:lang w:val="en-GB"/>
              </w:rPr>
              <w:t xml:space="preserve"> (</w:t>
            </w:r>
            <w:r>
              <w:rPr>
                <w:rFonts w:ascii="Calibri" w:hAnsi="Calibri"/>
                <w:i/>
                <w:sz w:val="18"/>
                <w:szCs w:val="18"/>
                <w:lang w:val="en-GB"/>
              </w:rPr>
              <w:t>‘</w:t>
            </w:r>
            <w:proofErr w:type="spellStart"/>
            <w:r>
              <w:rPr>
                <w:rFonts w:ascii="Calibri" w:hAnsi="Calibri"/>
                <w:i/>
                <w:sz w:val="18"/>
                <w:szCs w:val="18"/>
                <w:lang w:val="en-GB"/>
              </w:rPr>
              <w:t>consumentenprijsindex</w:t>
            </w:r>
            <w:proofErr w:type="spellEnd"/>
            <w:r>
              <w:rPr>
                <w:rFonts w:ascii="Calibri" w:hAnsi="Calibri"/>
                <w:i/>
                <w:sz w:val="18"/>
                <w:szCs w:val="18"/>
                <w:lang w:val="en-GB"/>
              </w:rPr>
              <w:t>’</w:t>
            </w:r>
            <w:r w:rsidR="002055E5" w:rsidRPr="002055E5">
              <w:rPr>
                <w:rFonts w:ascii="Calibri" w:hAnsi="Calibri"/>
                <w:i/>
                <w:sz w:val="18"/>
                <w:szCs w:val="18"/>
                <w:lang w:val="en-GB"/>
              </w:rPr>
              <w:t>) as published by the Dutch Central Bureau of Statistics (</w:t>
            </w:r>
            <w:r>
              <w:rPr>
                <w:rFonts w:ascii="Calibri" w:hAnsi="Calibri"/>
                <w:i/>
                <w:sz w:val="18"/>
                <w:szCs w:val="18"/>
                <w:lang w:val="en-GB"/>
              </w:rPr>
              <w:t>‘</w:t>
            </w:r>
            <w:proofErr w:type="spellStart"/>
            <w:r w:rsidR="002055E5" w:rsidRPr="002055E5">
              <w:rPr>
                <w:rFonts w:ascii="Calibri" w:hAnsi="Calibri"/>
                <w:i/>
                <w:sz w:val="18"/>
                <w:szCs w:val="18"/>
                <w:lang w:val="en-GB"/>
              </w:rPr>
              <w:t>Centraal</w:t>
            </w:r>
            <w:proofErr w:type="spellEnd"/>
            <w:r w:rsidR="002055E5" w:rsidRPr="002055E5">
              <w:rPr>
                <w:rFonts w:ascii="Calibri" w:hAnsi="Calibri"/>
                <w:i/>
                <w:sz w:val="18"/>
                <w:szCs w:val="18"/>
                <w:lang w:val="en-GB"/>
              </w:rPr>
              <w:t xml:space="preserve"> Bureau </w:t>
            </w:r>
            <w:proofErr w:type="spellStart"/>
            <w:r w:rsidR="002055E5" w:rsidRPr="002055E5">
              <w:rPr>
                <w:rFonts w:ascii="Calibri" w:hAnsi="Calibri"/>
                <w:i/>
                <w:sz w:val="18"/>
                <w:szCs w:val="18"/>
                <w:lang w:val="en-GB"/>
              </w:rPr>
              <w:t>voor</w:t>
            </w:r>
            <w:proofErr w:type="spellEnd"/>
            <w:r w:rsidR="002055E5" w:rsidRPr="002055E5">
              <w:rPr>
                <w:rFonts w:ascii="Calibri" w:hAnsi="Calibri"/>
                <w:i/>
                <w:sz w:val="18"/>
                <w:szCs w:val="18"/>
                <w:lang w:val="en-GB"/>
              </w:rPr>
              <w:t xml:space="preserve"> de </w:t>
            </w:r>
            <w:proofErr w:type="spellStart"/>
            <w:r w:rsidR="002055E5" w:rsidRPr="002055E5">
              <w:rPr>
                <w:rFonts w:ascii="Calibri" w:hAnsi="Calibri"/>
                <w:i/>
                <w:sz w:val="18"/>
                <w:szCs w:val="18"/>
                <w:lang w:val="en-GB"/>
              </w:rPr>
              <w:t>Statistiek</w:t>
            </w:r>
            <w:proofErr w:type="spellEnd"/>
            <w:r>
              <w:rPr>
                <w:rFonts w:ascii="Calibri" w:hAnsi="Calibri"/>
                <w:i/>
                <w:sz w:val="18"/>
                <w:szCs w:val="18"/>
                <w:lang w:val="en-GB"/>
              </w:rPr>
              <w:t>’</w:t>
            </w:r>
            <w:r w:rsidR="002055E5" w:rsidRPr="002055E5">
              <w:rPr>
                <w:rFonts w:ascii="Calibri" w:hAnsi="Calibri"/>
                <w:i/>
                <w:sz w:val="18"/>
                <w:szCs w:val="18"/>
                <w:lang w:val="en-GB"/>
              </w:rPr>
              <w:t>) for the most recent published index compared to the preceding  published index</w:t>
            </w:r>
            <w:r w:rsidR="00AE1A0A">
              <w:rPr>
                <w:rFonts w:ascii="Calibri" w:hAnsi="Calibri"/>
                <w:i/>
                <w:sz w:val="18"/>
                <w:szCs w:val="18"/>
                <w:lang w:val="en-GB"/>
              </w:rPr>
              <w:t>.</w:t>
            </w:r>
          </w:p>
        </w:tc>
      </w:tr>
      <w:tr w:rsidR="00DD7F78" w:rsidRPr="00AA7D95" w14:paraId="5A332F62" w14:textId="77777777" w:rsidTr="0033697A">
        <w:trPr>
          <w:cantSplit/>
        </w:trPr>
        <w:tc>
          <w:tcPr>
            <w:tcW w:w="851" w:type="dxa"/>
          </w:tcPr>
          <w:p w14:paraId="64E27240" w14:textId="73410421"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58</w:t>
            </w:r>
          </w:p>
        </w:tc>
        <w:tc>
          <w:tcPr>
            <w:tcW w:w="1140" w:type="dxa"/>
          </w:tcPr>
          <w:p w14:paraId="5E45FD8E"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Audit</w:t>
            </w:r>
          </w:p>
        </w:tc>
        <w:tc>
          <w:tcPr>
            <w:tcW w:w="1843" w:type="dxa"/>
          </w:tcPr>
          <w:p w14:paraId="3E1D178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7D1CD2A2"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12.1</w:t>
            </w:r>
          </w:p>
        </w:tc>
        <w:tc>
          <w:tcPr>
            <w:tcW w:w="3113" w:type="dxa"/>
          </w:tcPr>
          <w:p w14:paraId="55C99852"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agrees to any audit, but has to take the interests of other users of its data centres into account, including the existing procedures to ensure confidentiality and security.</w:t>
            </w:r>
          </w:p>
          <w:p w14:paraId="31E56B37" w14:textId="77777777" w:rsidR="00DD7F78" w:rsidRPr="0098184C" w:rsidRDefault="00DD7F78" w:rsidP="00BF49A8">
            <w:pPr>
              <w:pStyle w:val="formulierstandaard"/>
              <w:spacing w:before="60" w:after="60" w:line="240" w:lineRule="auto"/>
              <w:ind w:left="0"/>
              <w:rPr>
                <w:rFonts w:ascii="Calibri" w:hAnsi="Calibri"/>
                <w:sz w:val="18"/>
                <w:szCs w:val="18"/>
                <w:lang w:val="en-GB"/>
              </w:rPr>
            </w:pPr>
            <w:r w:rsidRPr="0098184C">
              <w:rPr>
                <w:rFonts w:ascii="Calibri" w:hAnsi="Calibri"/>
                <w:sz w:val="18"/>
                <w:szCs w:val="18"/>
                <w:lang w:val="en-GB"/>
              </w:rPr>
              <w:t>Conditions for an audit are:</w:t>
            </w:r>
          </w:p>
          <w:p w14:paraId="494EE643" w14:textId="77777777" w:rsidR="00DD7F78" w:rsidRPr="0098184C" w:rsidRDefault="00DD7F78" w:rsidP="00BF49A8">
            <w:pPr>
              <w:pStyle w:val="formulierstandaard"/>
              <w:spacing w:before="60" w:after="60" w:line="240" w:lineRule="auto"/>
              <w:rPr>
                <w:rFonts w:ascii="Calibri" w:hAnsi="Calibri"/>
                <w:sz w:val="18"/>
                <w:szCs w:val="18"/>
                <w:lang w:val="en-GB"/>
              </w:rPr>
            </w:pPr>
            <w:r w:rsidRPr="0098184C">
              <w:rPr>
                <w:rFonts w:ascii="Calibri" w:hAnsi="Calibri"/>
                <w:sz w:val="18"/>
                <w:szCs w:val="18"/>
                <w:lang w:val="en-GB"/>
              </w:rPr>
              <w:t>- The audit must be announced (well) in advance;</w:t>
            </w:r>
          </w:p>
          <w:p w14:paraId="72E4648A" w14:textId="77777777" w:rsidR="00DD7F78" w:rsidRPr="0098184C" w:rsidRDefault="00DD7F78" w:rsidP="00BF49A8">
            <w:pPr>
              <w:pStyle w:val="formulierstandaard"/>
              <w:spacing w:before="60" w:after="60" w:line="240" w:lineRule="auto"/>
              <w:rPr>
                <w:rFonts w:ascii="Calibri" w:hAnsi="Calibri"/>
                <w:sz w:val="18"/>
                <w:szCs w:val="18"/>
                <w:lang w:val="en-GB"/>
              </w:rPr>
            </w:pPr>
            <w:r w:rsidRPr="0098184C">
              <w:rPr>
                <w:rFonts w:ascii="Calibri" w:hAnsi="Calibri"/>
                <w:sz w:val="18"/>
                <w:szCs w:val="18"/>
                <w:lang w:val="en-GB"/>
              </w:rPr>
              <w:t>- The IT auditor has to be independent registry EDP auditor;</w:t>
            </w:r>
          </w:p>
          <w:p w14:paraId="3EF1F7EC" w14:textId="77777777" w:rsidR="00DD7F78" w:rsidRPr="0098184C" w:rsidRDefault="00DD7F78" w:rsidP="00BF49A8">
            <w:pPr>
              <w:pStyle w:val="formulierstandaard"/>
              <w:spacing w:before="60" w:after="60" w:line="240" w:lineRule="auto"/>
              <w:rPr>
                <w:rFonts w:ascii="Calibri" w:hAnsi="Calibri"/>
                <w:sz w:val="18"/>
                <w:szCs w:val="18"/>
                <w:lang w:val="en-GB"/>
              </w:rPr>
            </w:pPr>
            <w:r w:rsidRPr="0098184C">
              <w:rPr>
                <w:rFonts w:ascii="Calibri" w:hAnsi="Calibri"/>
                <w:sz w:val="18"/>
                <w:szCs w:val="18"/>
                <w:lang w:val="en-GB"/>
              </w:rPr>
              <w:t>- The financial auditor has to be an independent registry accountant;</w:t>
            </w:r>
          </w:p>
          <w:p w14:paraId="63C0E0E3" w14:textId="77777777" w:rsidR="00DD7F78" w:rsidRPr="0098184C" w:rsidRDefault="00DD7F78" w:rsidP="00BF49A8">
            <w:pPr>
              <w:pStyle w:val="formulierstandaard"/>
              <w:spacing w:before="60" w:after="60" w:line="240" w:lineRule="auto"/>
              <w:rPr>
                <w:rFonts w:ascii="Calibri" w:hAnsi="Calibri"/>
                <w:sz w:val="18"/>
                <w:szCs w:val="18"/>
                <w:lang w:val="en-GB"/>
              </w:rPr>
            </w:pPr>
            <w:r w:rsidRPr="0098184C">
              <w:rPr>
                <w:rFonts w:ascii="Calibri" w:hAnsi="Calibri"/>
                <w:sz w:val="18"/>
                <w:szCs w:val="18"/>
                <w:lang w:val="en-GB"/>
              </w:rPr>
              <w:t>- The auditor must adhere to the house-, behavioural-, and access- rules of Supplier;</w:t>
            </w:r>
          </w:p>
          <w:p w14:paraId="79806198" w14:textId="77777777" w:rsidR="00DD7F78" w:rsidRPr="0098184C" w:rsidRDefault="00DD7F78" w:rsidP="00BF49A8">
            <w:pPr>
              <w:pStyle w:val="formulierstandaard"/>
              <w:spacing w:before="60" w:after="60" w:line="240" w:lineRule="auto"/>
              <w:rPr>
                <w:rFonts w:ascii="Calibri" w:hAnsi="Calibri"/>
                <w:sz w:val="18"/>
                <w:szCs w:val="18"/>
                <w:lang w:val="en-GB"/>
              </w:rPr>
            </w:pPr>
            <w:r w:rsidRPr="0098184C">
              <w:rPr>
                <w:rFonts w:ascii="Calibri" w:hAnsi="Calibri"/>
                <w:sz w:val="18"/>
                <w:szCs w:val="18"/>
                <w:lang w:val="en-GB"/>
              </w:rPr>
              <w:t>- The auditor will be under an obligation not to disclose confidential information;</w:t>
            </w:r>
          </w:p>
          <w:p w14:paraId="4D2CEB18" w14:textId="77777777" w:rsidR="00DD7F78" w:rsidRPr="0098184C" w:rsidRDefault="00DD7F78" w:rsidP="00BF49A8">
            <w:pPr>
              <w:pStyle w:val="formulierstandaard"/>
              <w:spacing w:before="60" w:after="60" w:line="240" w:lineRule="auto"/>
              <w:ind w:left="0"/>
              <w:rPr>
                <w:rFonts w:ascii="Calibri" w:hAnsi="Calibri"/>
                <w:sz w:val="18"/>
                <w:szCs w:val="18"/>
                <w:lang w:val="en-GB"/>
              </w:rPr>
            </w:pPr>
            <w:r w:rsidRPr="0098184C">
              <w:rPr>
                <w:rFonts w:ascii="Calibri" w:hAnsi="Calibri"/>
                <w:sz w:val="18"/>
                <w:szCs w:val="18"/>
                <w:lang w:val="en-GB"/>
              </w:rPr>
              <w:t>- The auditor may only report on security aspects in broad terms and may not disclose any details on security.</w:t>
            </w:r>
          </w:p>
          <w:p w14:paraId="4F43E0B1" w14:textId="77777777" w:rsidR="00DD7F78" w:rsidRDefault="00DD7F78" w:rsidP="00BF49A8">
            <w:pPr>
              <w:pStyle w:val="formulierstandaard"/>
              <w:spacing w:before="60" w:after="60" w:line="240" w:lineRule="auto"/>
              <w:ind w:left="0"/>
              <w:rPr>
                <w:rFonts w:ascii="Calibri" w:hAnsi="Calibri"/>
                <w:sz w:val="18"/>
                <w:szCs w:val="18"/>
                <w:lang w:val="en-GB"/>
              </w:rPr>
            </w:pPr>
          </w:p>
          <w:p w14:paraId="7A0FD27E"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Does Europeana accept these conditions?</w:t>
            </w:r>
          </w:p>
        </w:tc>
        <w:tc>
          <w:tcPr>
            <w:tcW w:w="3118" w:type="dxa"/>
          </w:tcPr>
          <w:p w14:paraId="654C546D" w14:textId="4B85ED51" w:rsidR="006A5B7A" w:rsidRDefault="009921C6"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Europeana agrees to the following conditions:</w:t>
            </w:r>
          </w:p>
          <w:p w14:paraId="1AA88B53" w14:textId="28D2A27E" w:rsidR="009921C6" w:rsidRPr="009921C6" w:rsidRDefault="009921C6" w:rsidP="00BF49A8">
            <w:pPr>
              <w:pStyle w:val="formulierstandaard"/>
              <w:spacing w:before="60" w:after="60" w:line="240" w:lineRule="auto"/>
              <w:ind w:left="0"/>
              <w:rPr>
                <w:rFonts w:ascii="Calibri" w:hAnsi="Calibri"/>
                <w:sz w:val="18"/>
                <w:szCs w:val="18"/>
                <w:lang w:val="en-GB"/>
              </w:rPr>
            </w:pPr>
            <w:r w:rsidRPr="009921C6">
              <w:rPr>
                <w:rFonts w:ascii="Calibri" w:hAnsi="Calibri"/>
                <w:sz w:val="18"/>
                <w:szCs w:val="18"/>
                <w:lang w:val="en-GB"/>
              </w:rPr>
              <w:t xml:space="preserve">- The audit must be announced </w:t>
            </w:r>
            <w:r w:rsidR="00C93D58">
              <w:rPr>
                <w:rFonts w:ascii="Calibri" w:hAnsi="Calibri"/>
                <w:sz w:val="18"/>
                <w:szCs w:val="18"/>
                <w:lang w:val="en-GB"/>
              </w:rPr>
              <w:t>a reasonable period</w:t>
            </w:r>
            <w:r w:rsidRPr="009921C6">
              <w:rPr>
                <w:rFonts w:ascii="Calibri" w:hAnsi="Calibri"/>
                <w:sz w:val="18"/>
                <w:szCs w:val="18"/>
                <w:lang w:val="en-GB"/>
              </w:rPr>
              <w:t xml:space="preserve"> in advance;</w:t>
            </w:r>
          </w:p>
          <w:p w14:paraId="4EF59C7C" w14:textId="56A69E61" w:rsidR="009921C6" w:rsidRPr="009921C6" w:rsidRDefault="009921C6" w:rsidP="00BF49A8">
            <w:pPr>
              <w:pStyle w:val="formulierstandaard"/>
              <w:spacing w:before="60" w:after="60" w:line="240" w:lineRule="auto"/>
              <w:ind w:left="0"/>
              <w:rPr>
                <w:rFonts w:ascii="Calibri" w:hAnsi="Calibri"/>
                <w:sz w:val="18"/>
                <w:szCs w:val="18"/>
                <w:lang w:val="en-GB"/>
              </w:rPr>
            </w:pPr>
            <w:r w:rsidRPr="009921C6">
              <w:rPr>
                <w:rFonts w:ascii="Calibri" w:hAnsi="Calibri"/>
                <w:sz w:val="18"/>
                <w:szCs w:val="18"/>
                <w:lang w:val="en-GB"/>
              </w:rPr>
              <w:t xml:space="preserve">- </w:t>
            </w:r>
            <w:r w:rsidR="00C93D58">
              <w:rPr>
                <w:rFonts w:ascii="Calibri" w:hAnsi="Calibri"/>
                <w:sz w:val="18"/>
                <w:szCs w:val="18"/>
                <w:lang w:val="en-GB"/>
              </w:rPr>
              <w:t>Any</w:t>
            </w:r>
            <w:r w:rsidRPr="009921C6">
              <w:rPr>
                <w:rFonts w:ascii="Calibri" w:hAnsi="Calibri"/>
                <w:sz w:val="18"/>
                <w:szCs w:val="18"/>
                <w:lang w:val="en-GB"/>
              </w:rPr>
              <w:t xml:space="preserve"> IT auditor </w:t>
            </w:r>
            <w:r w:rsidR="00C93D58">
              <w:rPr>
                <w:rFonts w:ascii="Calibri" w:hAnsi="Calibri"/>
                <w:sz w:val="18"/>
                <w:szCs w:val="18"/>
                <w:lang w:val="en-GB"/>
              </w:rPr>
              <w:t xml:space="preserve">is required </w:t>
            </w:r>
            <w:r w:rsidRPr="009921C6">
              <w:rPr>
                <w:rFonts w:ascii="Calibri" w:hAnsi="Calibri"/>
                <w:sz w:val="18"/>
                <w:szCs w:val="18"/>
                <w:lang w:val="en-GB"/>
              </w:rPr>
              <w:t xml:space="preserve">to be </w:t>
            </w:r>
            <w:r w:rsidR="00C93D58">
              <w:rPr>
                <w:rFonts w:ascii="Calibri" w:hAnsi="Calibri"/>
                <w:sz w:val="18"/>
                <w:szCs w:val="18"/>
                <w:lang w:val="en-GB"/>
              </w:rPr>
              <w:t xml:space="preserve">an </w:t>
            </w:r>
            <w:r w:rsidRPr="009921C6">
              <w:rPr>
                <w:rFonts w:ascii="Calibri" w:hAnsi="Calibri"/>
                <w:sz w:val="18"/>
                <w:szCs w:val="18"/>
                <w:lang w:val="en-GB"/>
              </w:rPr>
              <w:t>independent registry EDP auditor;</w:t>
            </w:r>
          </w:p>
          <w:p w14:paraId="3F8116C4" w14:textId="773139C8" w:rsidR="009921C6" w:rsidRPr="009921C6" w:rsidRDefault="009921C6" w:rsidP="00BF49A8">
            <w:pPr>
              <w:pStyle w:val="formulierstandaard"/>
              <w:spacing w:before="60" w:after="60" w:line="240" w:lineRule="auto"/>
              <w:ind w:left="0"/>
              <w:rPr>
                <w:rFonts w:ascii="Calibri" w:hAnsi="Calibri"/>
                <w:sz w:val="18"/>
                <w:szCs w:val="18"/>
                <w:lang w:val="en-GB"/>
              </w:rPr>
            </w:pPr>
            <w:r w:rsidRPr="009921C6">
              <w:rPr>
                <w:rFonts w:ascii="Calibri" w:hAnsi="Calibri"/>
                <w:sz w:val="18"/>
                <w:szCs w:val="18"/>
                <w:lang w:val="en-GB"/>
              </w:rPr>
              <w:t xml:space="preserve">- </w:t>
            </w:r>
            <w:r w:rsidR="00C93D58">
              <w:rPr>
                <w:rFonts w:ascii="Calibri" w:hAnsi="Calibri"/>
                <w:sz w:val="18"/>
                <w:szCs w:val="18"/>
                <w:lang w:val="en-GB"/>
              </w:rPr>
              <w:t>Any</w:t>
            </w:r>
            <w:r w:rsidRPr="009921C6">
              <w:rPr>
                <w:rFonts w:ascii="Calibri" w:hAnsi="Calibri"/>
                <w:sz w:val="18"/>
                <w:szCs w:val="18"/>
                <w:lang w:val="en-GB"/>
              </w:rPr>
              <w:t xml:space="preserve"> financial auditor </w:t>
            </w:r>
            <w:r w:rsidR="00C93D58">
              <w:rPr>
                <w:rFonts w:ascii="Calibri" w:hAnsi="Calibri"/>
                <w:sz w:val="18"/>
                <w:szCs w:val="18"/>
                <w:lang w:val="en-GB"/>
              </w:rPr>
              <w:t>is required</w:t>
            </w:r>
            <w:r w:rsidRPr="009921C6">
              <w:rPr>
                <w:rFonts w:ascii="Calibri" w:hAnsi="Calibri"/>
                <w:sz w:val="18"/>
                <w:szCs w:val="18"/>
                <w:lang w:val="en-GB"/>
              </w:rPr>
              <w:t xml:space="preserve"> to be an independent registry accountant;</w:t>
            </w:r>
          </w:p>
          <w:p w14:paraId="56532F40" w14:textId="3682B62D" w:rsidR="009921C6" w:rsidRPr="009921C6" w:rsidRDefault="009921C6" w:rsidP="00BF49A8">
            <w:pPr>
              <w:pStyle w:val="formulierstandaard"/>
              <w:spacing w:before="60" w:after="60" w:line="240" w:lineRule="auto"/>
              <w:ind w:left="0"/>
              <w:rPr>
                <w:rFonts w:ascii="Calibri" w:hAnsi="Calibri"/>
                <w:sz w:val="18"/>
                <w:szCs w:val="18"/>
                <w:lang w:val="en-GB"/>
              </w:rPr>
            </w:pPr>
            <w:r w:rsidRPr="009921C6">
              <w:rPr>
                <w:rFonts w:ascii="Calibri" w:hAnsi="Calibri"/>
                <w:sz w:val="18"/>
                <w:szCs w:val="18"/>
                <w:lang w:val="en-GB"/>
              </w:rPr>
              <w:t>- The auditor must adhere to the</w:t>
            </w:r>
            <w:r w:rsidR="00C93D58">
              <w:rPr>
                <w:rFonts w:ascii="Calibri" w:hAnsi="Calibri"/>
                <w:sz w:val="18"/>
                <w:szCs w:val="18"/>
                <w:lang w:val="en-GB"/>
              </w:rPr>
              <w:t xml:space="preserve"> reasonable</w:t>
            </w:r>
            <w:r w:rsidRPr="009921C6">
              <w:rPr>
                <w:rFonts w:ascii="Calibri" w:hAnsi="Calibri"/>
                <w:sz w:val="18"/>
                <w:szCs w:val="18"/>
                <w:lang w:val="en-GB"/>
              </w:rPr>
              <w:t xml:space="preserve"> house-, behavioural-, and access- rules of Supplier;</w:t>
            </w:r>
          </w:p>
          <w:p w14:paraId="5048801E" w14:textId="65861B2F" w:rsidR="009921C6" w:rsidRPr="009921C6" w:rsidRDefault="009921C6" w:rsidP="00BF49A8">
            <w:pPr>
              <w:pStyle w:val="formulierstandaard"/>
              <w:spacing w:before="60" w:after="60" w:line="240" w:lineRule="auto"/>
              <w:ind w:left="0"/>
              <w:rPr>
                <w:rFonts w:ascii="Calibri" w:hAnsi="Calibri"/>
                <w:sz w:val="18"/>
                <w:szCs w:val="18"/>
                <w:lang w:val="en-GB"/>
              </w:rPr>
            </w:pPr>
            <w:r w:rsidRPr="009921C6">
              <w:rPr>
                <w:rFonts w:ascii="Calibri" w:hAnsi="Calibri"/>
                <w:sz w:val="18"/>
                <w:szCs w:val="18"/>
                <w:lang w:val="en-GB"/>
              </w:rPr>
              <w:t>- The auditor will be under a</w:t>
            </w:r>
            <w:r w:rsidR="00C93D58">
              <w:rPr>
                <w:rFonts w:ascii="Calibri" w:hAnsi="Calibri"/>
                <w:sz w:val="18"/>
                <w:szCs w:val="18"/>
                <w:lang w:val="en-GB"/>
              </w:rPr>
              <w:t xml:space="preserve"> similar</w:t>
            </w:r>
            <w:r w:rsidRPr="009921C6">
              <w:rPr>
                <w:rFonts w:ascii="Calibri" w:hAnsi="Calibri"/>
                <w:sz w:val="18"/>
                <w:szCs w:val="18"/>
                <w:lang w:val="en-GB"/>
              </w:rPr>
              <w:t xml:space="preserve"> obligation not to disclose confidential information</w:t>
            </w:r>
            <w:r w:rsidR="00C93D58">
              <w:rPr>
                <w:rFonts w:ascii="Calibri" w:hAnsi="Calibri"/>
                <w:sz w:val="18"/>
                <w:szCs w:val="18"/>
                <w:lang w:val="en-GB"/>
              </w:rPr>
              <w:t xml:space="preserve"> as provided in Clause 23.1</w:t>
            </w:r>
            <w:r w:rsidRPr="009921C6">
              <w:rPr>
                <w:rFonts w:ascii="Calibri" w:hAnsi="Calibri"/>
                <w:sz w:val="18"/>
                <w:szCs w:val="18"/>
                <w:lang w:val="en-GB"/>
              </w:rPr>
              <w:t>;</w:t>
            </w:r>
          </w:p>
          <w:p w14:paraId="0867DEE3" w14:textId="77777777" w:rsidR="009921C6" w:rsidRPr="009921C6" w:rsidRDefault="009921C6" w:rsidP="00BF49A8">
            <w:pPr>
              <w:pStyle w:val="formulierstandaard"/>
              <w:spacing w:before="60" w:after="60" w:line="240" w:lineRule="auto"/>
              <w:ind w:left="0"/>
              <w:rPr>
                <w:rFonts w:ascii="Calibri" w:hAnsi="Calibri"/>
                <w:sz w:val="18"/>
                <w:szCs w:val="18"/>
                <w:lang w:val="en-GB"/>
              </w:rPr>
            </w:pPr>
            <w:r w:rsidRPr="009921C6">
              <w:rPr>
                <w:rFonts w:ascii="Calibri" w:hAnsi="Calibri"/>
                <w:sz w:val="18"/>
                <w:szCs w:val="18"/>
                <w:lang w:val="en-GB"/>
              </w:rPr>
              <w:t>- The auditor may only report on security aspects in broad terms and may not disclose any details on security.</w:t>
            </w:r>
          </w:p>
          <w:p w14:paraId="3C4FBDDA" w14:textId="77777777" w:rsidR="006A5B7A" w:rsidRPr="006B004E" w:rsidRDefault="006A5B7A" w:rsidP="00BF49A8">
            <w:pPr>
              <w:pStyle w:val="formulierstandaard"/>
              <w:spacing w:before="60" w:after="60" w:line="240" w:lineRule="auto"/>
              <w:ind w:left="0"/>
              <w:rPr>
                <w:rFonts w:ascii="Calibri" w:hAnsi="Calibri"/>
                <w:sz w:val="18"/>
                <w:szCs w:val="18"/>
                <w:lang w:val="en-GB"/>
              </w:rPr>
            </w:pPr>
          </w:p>
        </w:tc>
      </w:tr>
      <w:tr w:rsidR="00DD7F78" w:rsidRPr="00AA7D95" w14:paraId="2303F612" w14:textId="77777777" w:rsidTr="0033697A">
        <w:trPr>
          <w:cantSplit/>
        </w:trPr>
        <w:tc>
          <w:tcPr>
            <w:tcW w:w="851" w:type="dxa"/>
          </w:tcPr>
          <w:p w14:paraId="78AD9E9C"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59</w:t>
            </w:r>
          </w:p>
        </w:tc>
        <w:tc>
          <w:tcPr>
            <w:tcW w:w="1140" w:type="dxa"/>
          </w:tcPr>
          <w:p w14:paraId="37AAC8F9"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Infringement by incorporation</w:t>
            </w:r>
          </w:p>
        </w:tc>
        <w:tc>
          <w:tcPr>
            <w:tcW w:w="1843" w:type="dxa"/>
          </w:tcPr>
          <w:p w14:paraId="2DECCD81"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7094878E"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13.1.b</w:t>
            </w:r>
          </w:p>
        </w:tc>
        <w:tc>
          <w:tcPr>
            <w:tcW w:w="3113" w:type="dxa"/>
          </w:tcPr>
          <w:p w14:paraId="0D214D8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does not deliver any kind of application software. Supplier uses system software needed to make the Services (hosting) work.</w:t>
            </w:r>
          </w:p>
          <w:p w14:paraId="51A8AA2E"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The system-software is licensed to Supplier by the original producers/owners of this software and the rights granted to Supplier include all rights needed to use the software for cloud and/or hosting purposes. Supplier is not aware of how Europeana intends to incorporate the Services within – or combine with – other Services or products in such a way that IPR rights of third parties could possibly be infringed.</w:t>
            </w:r>
          </w:p>
          <w:p w14:paraId="4E959B00"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Can Europeana explain the meaning and purpose of this warranty? </w:t>
            </w:r>
          </w:p>
        </w:tc>
        <w:tc>
          <w:tcPr>
            <w:tcW w:w="3118" w:type="dxa"/>
          </w:tcPr>
          <w:p w14:paraId="6E54045E" w14:textId="28388E40" w:rsidR="00A67645" w:rsidRDefault="00A67645"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Europeana is aware of the fact that the hosting services do not comprise the provision/delivery of software to Europeana.</w:t>
            </w:r>
          </w:p>
          <w:p w14:paraId="47F87DEE" w14:textId="2A7C7A3B" w:rsidR="006A5B7A" w:rsidRPr="006B004E" w:rsidRDefault="00E76BED"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Using Europeana’s application software on Supplier’s </w:t>
            </w:r>
            <w:r w:rsidR="00A67645">
              <w:rPr>
                <w:rFonts w:ascii="Calibri" w:hAnsi="Calibri"/>
                <w:sz w:val="18"/>
                <w:szCs w:val="18"/>
                <w:lang w:val="en-GB"/>
              </w:rPr>
              <w:t>platform</w:t>
            </w:r>
            <w:r>
              <w:rPr>
                <w:rFonts w:ascii="Calibri" w:hAnsi="Calibri"/>
                <w:sz w:val="18"/>
                <w:szCs w:val="18"/>
                <w:lang w:val="en-GB"/>
              </w:rPr>
              <w:t xml:space="preserve"> already constitutes a “combination of the Services with other products”. The purpose of this warranty is to prevent Europeana to be liable for IPR infringements caused by using (the results of) the Services in a normal manner</w:t>
            </w:r>
            <w:r w:rsidR="00A67645">
              <w:rPr>
                <w:rFonts w:ascii="Calibri" w:hAnsi="Calibri"/>
                <w:sz w:val="18"/>
                <w:szCs w:val="18"/>
                <w:lang w:val="en-GB"/>
              </w:rPr>
              <w:t xml:space="preserve"> (i.e. not infringing any limitations of use which Supplier has explicitly stated to Europeana).</w:t>
            </w:r>
          </w:p>
        </w:tc>
      </w:tr>
      <w:tr w:rsidR="00DD7F78" w:rsidRPr="00AA7D95" w14:paraId="4EAF6423" w14:textId="77777777" w:rsidTr="0033697A">
        <w:trPr>
          <w:cantSplit/>
        </w:trPr>
        <w:tc>
          <w:tcPr>
            <w:tcW w:w="851" w:type="dxa"/>
          </w:tcPr>
          <w:p w14:paraId="6A03C583"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60</w:t>
            </w:r>
          </w:p>
        </w:tc>
        <w:tc>
          <w:tcPr>
            <w:tcW w:w="1140" w:type="dxa"/>
          </w:tcPr>
          <w:p w14:paraId="2DBD1C8A"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Future guarantees</w:t>
            </w:r>
          </w:p>
        </w:tc>
        <w:tc>
          <w:tcPr>
            <w:tcW w:w="1843" w:type="dxa"/>
          </w:tcPr>
          <w:p w14:paraId="4AFCADD4"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5AA573BB"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13.1.h</w:t>
            </w:r>
          </w:p>
        </w:tc>
        <w:tc>
          <w:tcPr>
            <w:tcW w:w="3113" w:type="dxa"/>
          </w:tcPr>
          <w:p w14:paraId="1855C559"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If “ … at any time … “ means “in the future”, then what are the future policies of Europeana </w:t>
            </w:r>
            <w:r w:rsidRPr="00F837F8">
              <w:rPr>
                <w:rFonts w:ascii="Calibri" w:hAnsi="Calibri"/>
                <w:sz w:val="18"/>
                <w:szCs w:val="18"/>
                <w:lang w:val="en-GB"/>
              </w:rPr>
              <w:t>which Supplier has to take into account</w:t>
            </w:r>
            <w:r>
              <w:rPr>
                <w:rFonts w:ascii="Calibri" w:hAnsi="Calibri"/>
                <w:sz w:val="18"/>
                <w:szCs w:val="18"/>
                <w:lang w:val="en-GB"/>
              </w:rPr>
              <w:t>?</w:t>
            </w:r>
          </w:p>
        </w:tc>
        <w:tc>
          <w:tcPr>
            <w:tcW w:w="3118" w:type="dxa"/>
          </w:tcPr>
          <w:p w14:paraId="38F60032" w14:textId="1192ECB5" w:rsidR="006A5B7A" w:rsidRDefault="006E3246"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The introduction of future policies constitutes a change and will be </w:t>
            </w:r>
            <w:r w:rsidR="00F613C1">
              <w:rPr>
                <w:rFonts w:ascii="Calibri" w:hAnsi="Calibri"/>
                <w:sz w:val="18"/>
                <w:szCs w:val="18"/>
                <w:lang w:val="en-GB"/>
              </w:rPr>
              <w:t>processed</w:t>
            </w:r>
            <w:r>
              <w:rPr>
                <w:rFonts w:ascii="Calibri" w:hAnsi="Calibri"/>
                <w:sz w:val="18"/>
                <w:szCs w:val="18"/>
                <w:lang w:val="en-GB"/>
              </w:rPr>
              <w:t xml:space="preserve"> via the Work Order Procedure of Clause 6.</w:t>
            </w:r>
          </w:p>
          <w:p w14:paraId="50725EE5" w14:textId="77777777" w:rsidR="006A5B7A" w:rsidRPr="006B004E" w:rsidRDefault="006A5B7A" w:rsidP="00BF49A8">
            <w:pPr>
              <w:pStyle w:val="formulierstandaard"/>
              <w:spacing w:before="60" w:after="60" w:line="240" w:lineRule="auto"/>
              <w:ind w:left="0"/>
              <w:rPr>
                <w:rFonts w:ascii="Calibri" w:hAnsi="Calibri"/>
                <w:b/>
                <w:sz w:val="18"/>
                <w:szCs w:val="18"/>
                <w:lang w:val="en-GB"/>
              </w:rPr>
            </w:pPr>
          </w:p>
        </w:tc>
      </w:tr>
      <w:tr w:rsidR="00DD7F78" w:rsidRPr="00AA7D95" w14:paraId="3279C45F" w14:textId="77777777" w:rsidTr="0033697A">
        <w:trPr>
          <w:cantSplit/>
        </w:trPr>
        <w:tc>
          <w:tcPr>
            <w:tcW w:w="851" w:type="dxa"/>
          </w:tcPr>
          <w:p w14:paraId="39A1709A"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61</w:t>
            </w:r>
          </w:p>
        </w:tc>
        <w:tc>
          <w:tcPr>
            <w:tcW w:w="1140" w:type="dxa"/>
          </w:tcPr>
          <w:p w14:paraId="01698E4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US Sarbanes-Oxley Act</w:t>
            </w:r>
          </w:p>
        </w:tc>
        <w:tc>
          <w:tcPr>
            <w:tcW w:w="1843" w:type="dxa"/>
          </w:tcPr>
          <w:p w14:paraId="4983F476"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66463552"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13.1.j</w:t>
            </w:r>
          </w:p>
        </w:tc>
        <w:tc>
          <w:tcPr>
            <w:tcW w:w="3113" w:type="dxa"/>
          </w:tcPr>
          <w:p w14:paraId="2E788A05"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Supplier is not a subject to any US law and so the US Sarbanes-Oxley Act is not applicable. </w:t>
            </w:r>
          </w:p>
          <w:p w14:paraId="6153A5A0"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What exactly does the reference to this US law mean for the requests Supplier has to expect from Europeana?</w:t>
            </w:r>
          </w:p>
        </w:tc>
        <w:tc>
          <w:tcPr>
            <w:tcW w:w="3118" w:type="dxa"/>
          </w:tcPr>
          <w:p w14:paraId="693F0A44" w14:textId="17C216B9" w:rsidR="006A5B7A" w:rsidRPr="00585962" w:rsidRDefault="00585962"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This Clause concerns </w:t>
            </w:r>
            <w:r w:rsidR="007D5DA5">
              <w:rPr>
                <w:rFonts w:ascii="Calibri" w:hAnsi="Calibri"/>
                <w:sz w:val="18"/>
                <w:szCs w:val="18"/>
                <w:lang w:val="en-GB"/>
              </w:rPr>
              <w:t>Europeana</w:t>
            </w:r>
            <w:r>
              <w:rPr>
                <w:rFonts w:ascii="Calibri" w:hAnsi="Calibri"/>
                <w:sz w:val="18"/>
                <w:szCs w:val="18"/>
                <w:lang w:val="en-GB"/>
              </w:rPr>
              <w:t xml:space="preserve"> (and not Supplier) being subject to national and/or international laws. The reference to </w:t>
            </w:r>
            <w:r w:rsidR="007D5DA5">
              <w:rPr>
                <w:rFonts w:ascii="Calibri" w:hAnsi="Calibri"/>
                <w:sz w:val="18"/>
                <w:szCs w:val="18"/>
                <w:lang w:val="en-GB"/>
              </w:rPr>
              <w:t>the US Sarbanes-Oxley Act</w:t>
            </w:r>
            <w:r>
              <w:rPr>
                <w:rFonts w:ascii="Calibri" w:hAnsi="Calibri"/>
                <w:sz w:val="18"/>
                <w:szCs w:val="18"/>
                <w:lang w:val="en-GB"/>
              </w:rPr>
              <w:t xml:space="preserve"> is merely mentioned as a possible example</w:t>
            </w:r>
            <w:r w:rsidR="007D5DA5">
              <w:rPr>
                <w:rFonts w:ascii="Calibri" w:hAnsi="Calibri"/>
                <w:sz w:val="18"/>
                <w:szCs w:val="18"/>
                <w:lang w:val="en-GB"/>
              </w:rPr>
              <w:t xml:space="preserve">. </w:t>
            </w:r>
            <w:r w:rsidR="00F613C1" w:rsidRPr="007D5DA5">
              <w:rPr>
                <w:rFonts w:ascii="Calibri" w:hAnsi="Calibri"/>
                <w:i/>
                <w:sz w:val="18"/>
                <w:szCs w:val="18"/>
                <w:lang w:val="en-GB"/>
              </w:rPr>
              <w:t xml:space="preserve"> </w:t>
            </w:r>
          </w:p>
        </w:tc>
      </w:tr>
      <w:tr w:rsidR="00DD7F78" w:rsidRPr="00AA7D95" w14:paraId="5081859E" w14:textId="77777777" w:rsidTr="0033697A">
        <w:trPr>
          <w:cantSplit/>
        </w:trPr>
        <w:tc>
          <w:tcPr>
            <w:tcW w:w="851" w:type="dxa"/>
          </w:tcPr>
          <w:p w14:paraId="046F390C" w14:textId="1C27B1CB"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62</w:t>
            </w:r>
          </w:p>
        </w:tc>
        <w:tc>
          <w:tcPr>
            <w:tcW w:w="1140" w:type="dxa"/>
          </w:tcPr>
          <w:p w14:paraId="39EC2E3E"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Formal statements</w:t>
            </w:r>
          </w:p>
        </w:tc>
        <w:tc>
          <w:tcPr>
            <w:tcW w:w="1843" w:type="dxa"/>
          </w:tcPr>
          <w:p w14:paraId="34B6D2C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64C1A084"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13.1.j</w:t>
            </w:r>
          </w:p>
        </w:tc>
        <w:tc>
          <w:tcPr>
            <w:tcW w:w="3113" w:type="dxa"/>
          </w:tcPr>
          <w:p w14:paraId="7337E1EF"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If Supplier has to produce statements or reports for Europeana that comply with SSAE16 or ISAE3402 standards, who will bear the costs?</w:t>
            </w:r>
          </w:p>
        </w:tc>
        <w:tc>
          <w:tcPr>
            <w:tcW w:w="3118" w:type="dxa"/>
          </w:tcPr>
          <w:p w14:paraId="6AE0E36C" w14:textId="07CE62BD" w:rsidR="006A5B7A" w:rsidRPr="006B004E" w:rsidRDefault="00585962"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The costs of standard reports must be included in the Charges in Schedule 6 (Financial Details). Other reports constitute a change which will be processed via the Work Order Procedure of Clause 6.</w:t>
            </w:r>
          </w:p>
        </w:tc>
      </w:tr>
      <w:tr w:rsidR="00DD7F78" w:rsidRPr="00AA7D95" w14:paraId="69C269D6" w14:textId="77777777" w:rsidTr="0033697A">
        <w:trPr>
          <w:cantSplit/>
        </w:trPr>
        <w:tc>
          <w:tcPr>
            <w:tcW w:w="851" w:type="dxa"/>
          </w:tcPr>
          <w:p w14:paraId="13EFE115"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63</w:t>
            </w:r>
          </w:p>
        </w:tc>
        <w:tc>
          <w:tcPr>
            <w:tcW w:w="1140" w:type="dxa"/>
          </w:tcPr>
          <w:p w14:paraId="749A9E92"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Audit</w:t>
            </w:r>
          </w:p>
        </w:tc>
        <w:tc>
          <w:tcPr>
            <w:tcW w:w="1843" w:type="dxa"/>
          </w:tcPr>
          <w:p w14:paraId="6AC22CDD"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364014CB"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13.1.j</w:t>
            </w:r>
          </w:p>
        </w:tc>
        <w:tc>
          <w:tcPr>
            <w:tcW w:w="3113" w:type="dxa"/>
          </w:tcPr>
          <w:p w14:paraId="536A88E9"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Does Europeana accept the conditions as described in the question about article 12.1 if an audit is needed to produce the external auditor statement as mentioned in clause 13.1.j?</w:t>
            </w:r>
          </w:p>
        </w:tc>
        <w:tc>
          <w:tcPr>
            <w:tcW w:w="3118" w:type="dxa"/>
          </w:tcPr>
          <w:p w14:paraId="03B249B5" w14:textId="2B484726" w:rsidR="006A5B7A" w:rsidRPr="006B004E" w:rsidRDefault="00585962"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See the answer to question 58.</w:t>
            </w:r>
          </w:p>
        </w:tc>
      </w:tr>
      <w:tr w:rsidR="00DD7F78" w:rsidRPr="00AA7D95" w14:paraId="2B97C8CE" w14:textId="77777777" w:rsidTr="0033697A">
        <w:trPr>
          <w:cantSplit/>
        </w:trPr>
        <w:tc>
          <w:tcPr>
            <w:tcW w:w="851" w:type="dxa"/>
          </w:tcPr>
          <w:p w14:paraId="626322B6"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64</w:t>
            </w:r>
          </w:p>
        </w:tc>
        <w:tc>
          <w:tcPr>
            <w:tcW w:w="1140" w:type="dxa"/>
          </w:tcPr>
          <w:p w14:paraId="10379682"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IPR rights</w:t>
            </w:r>
          </w:p>
        </w:tc>
        <w:tc>
          <w:tcPr>
            <w:tcW w:w="1843" w:type="dxa"/>
          </w:tcPr>
          <w:p w14:paraId="3F95AC6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6C03C794"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14.4</w:t>
            </w:r>
          </w:p>
        </w:tc>
        <w:tc>
          <w:tcPr>
            <w:tcW w:w="3113" w:type="dxa"/>
          </w:tcPr>
          <w:p w14:paraId="680C62A3"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does not deliver any kind of application software; it is all about the system software needed to make the Services (hosting) work.</w:t>
            </w:r>
          </w:p>
          <w:p w14:paraId="3E30FA61"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So the Services do not include the production or deliverance of software.</w:t>
            </w:r>
          </w:p>
          <w:p w14:paraId="78023C0B"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The basics of hosting is rental of a complete platform including hardware and system software. The system-software needed to make the Services work is licensed to Supplier by the original producers/owners of this software and the rights granted to Supplier include all rights needed to use the software for cloud and/or hosting purposes. Transferring these rights, or the object-code or the source-code is however prohibited (and there is no need to do so).</w:t>
            </w:r>
          </w:p>
          <w:p w14:paraId="08C665E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Other rules may apply for additional software, but then this software and the applicable rules of the pertaining IPR rights should be specified in (an appendix to) the agreement.</w:t>
            </w:r>
          </w:p>
          <w:p w14:paraId="3E40757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will not transfer or license any IPR rights or Other Deliverables to Europeana, as the right to use the Services is not an IPR right and the use of system software is included in these Services (unless stated otherwise for specified software).</w:t>
            </w:r>
          </w:p>
          <w:p w14:paraId="49E7E7B8"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Can clause 14.4 be deleted from this agreement? </w:t>
            </w:r>
          </w:p>
        </w:tc>
        <w:tc>
          <w:tcPr>
            <w:tcW w:w="3118" w:type="dxa"/>
          </w:tcPr>
          <w:p w14:paraId="6FD9B31B" w14:textId="77777777" w:rsidR="00DE0213" w:rsidRDefault="00DE0213"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14.4 will be amended as follows:</w:t>
            </w:r>
          </w:p>
          <w:p w14:paraId="6FB91CEE" w14:textId="7C24A678" w:rsidR="006A5B7A" w:rsidRPr="00DE0213" w:rsidRDefault="00DE0213" w:rsidP="00BF49A8">
            <w:pPr>
              <w:pStyle w:val="formulierstandaard"/>
              <w:spacing w:before="60" w:after="60" w:line="240" w:lineRule="auto"/>
              <w:ind w:left="0"/>
              <w:rPr>
                <w:rFonts w:ascii="Calibri" w:hAnsi="Calibri"/>
                <w:i/>
                <w:sz w:val="18"/>
                <w:szCs w:val="18"/>
                <w:lang w:val="en-GB"/>
              </w:rPr>
            </w:pPr>
            <w:r w:rsidRPr="00EA5EF3">
              <w:rPr>
                <w:rFonts w:ascii="Calibri" w:hAnsi="Calibri"/>
                <w:i/>
                <w:sz w:val="18"/>
                <w:szCs w:val="18"/>
                <w:lang w:val="en-GB"/>
              </w:rPr>
              <w:t>Supplier grants and shall ensure, to the extent necessary for using (the results of) the Services, that its licensors grant to Europeana, a worldwide non-exclusive, non-revocable, royalty-free, and transferable licence (including the right to sub-license) to use or have used on its behalf the Supplier IPR Materials and Other Deliverables to fully benefit from and monitor the Services or as otherwise required with respect to the performance of any obligation of Supplier under this Agreement.</w:t>
            </w:r>
            <w:r w:rsidR="006A5B7A" w:rsidRPr="00DE0213">
              <w:rPr>
                <w:rFonts w:ascii="Calibri" w:hAnsi="Calibri"/>
                <w:i/>
                <w:sz w:val="18"/>
                <w:szCs w:val="18"/>
                <w:lang w:val="en-GB"/>
              </w:rPr>
              <w:t xml:space="preserve"> </w:t>
            </w:r>
          </w:p>
        </w:tc>
      </w:tr>
      <w:tr w:rsidR="00DD7F78" w:rsidRPr="00AA7D95" w14:paraId="5E6E1560" w14:textId="77777777" w:rsidTr="0033697A">
        <w:trPr>
          <w:cantSplit/>
        </w:trPr>
        <w:tc>
          <w:tcPr>
            <w:tcW w:w="851" w:type="dxa"/>
          </w:tcPr>
          <w:p w14:paraId="78FF4180" w14:textId="0DB90288"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65</w:t>
            </w:r>
          </w:p>
        </w:tc>
        <w:tc>
          <w:tcPr>
            <w:tcW w:w="1140" w:type="dxa"/>
          </w:tcPr>
          <w:p w14:paraId="7380D451"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Personality rights</w:t>
            </w:r>
          </w:p>
        </w:tc>
        <w:tc>
          <w:tcPr>
            <w:tcW w:w="1843" w:type="dxa"/>
          </w:tcPr>
          <w:p w14:paraId="305E1B5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254BB272"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14.7</w:t>
            </w:r>
          </w:p>
        </w:tc>
        <w:tc>
          <w:tcPr>
            <w:tcW w:w="3113" w:type="dxa"/>
          </w:tcPr>
          <w:p w14:paraId="64099116"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does not understand why this clause is part of a hosting agreement.</w:t>
            </w:r>
          </w:p>
          <w:p w14:paraId="5E0FD261"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Will Europeana please explain?</w:t>
            </w:r>
          </w:p>
        </w:tc>
        <w:tc>
          <w:tcPr>
            <w:tcW w:w="3118" w:type="dxa"/>
          </w:tcPr>
          <w:p w14:paraId="33721439" w14:textId="09CB45E1" w:rsidR="00DE0213" w:rsidRDefault="00DE0213"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14.7 will not be amended.</w:t>
            </w:r>
          </w:p>
          <w:p w14:paraId="36F7E08B" w14:textId="7DEF810F" w:rsidR="006A5B7A" w:rsidRPr="006B004E" w:rsidRDefault="00DE0213"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Europeana is aware of the fact that the hosting services do not comprise the provision/delivery of software to Europeana. However, Europeana does not exclude the possibility that a Scope Change is agreed upon during the Term of the Agreement which concerns the development and/or provision/delivery of software</w:t>
            </w:r>
            <w:r w:rsidR="00803629">
              <w:rPr>
                <w:rFonts w:ascii="Calibri" w:hAnsi="Calibri"/>
                <w:sz w:val="18"/>
                <w:szCs w:val="18"/>
                <w:lang w:val="en-GB"/>
              </w:rPr>
              <w:t xml:space="preserve"> (and constitutes a Europeana Deliverable)</w:t>
            </w:r>
            <w:r>
              <w:rPr>
                <w:rFonts w:ascii="Calibri" w:hAnsi="Calibri"/>
                <w:sz w:val="18"/>
                <w:szCs w:val="18"/>
                <w:lang w:val="en-GB"/>
              </w:rPr>
              <w:t>.</w:t>
            </w:r>
          </w:p>
        </w:tc>
      </w:tr>
      <w:tr w:rsidR="00DD7F78" w:rsidRPr="00AA7D95" w14:paraId="4B4DE402" w14:textId="77777777" w:rsidTr="0033697A">
        <w:trPr>
          <w:cantSplit/>
        </w:trPr>
        <w:tc>
          <w:tcPr>
            <w:tcW w:w="851" w:type="dxa"/>
          </w:tcPr>
          <w:p w14:paraId="4036FEC2"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66</w:t>
            </w:r>
          </w:p>
        </w:tc>
        <w:tc>
          <w:tcPr>
            <w:tcW w:w="1140" w:type="dxa"/>
          </w:tcPr>
          <w:p w14:paraId="18D82E1F"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Indemnity</w:t>
            </w:r>
          </w:p>
        </w:tc>
        <w:tc>
          <w:tcPr>
            <w:tcW w:w="1843" w:type="dxa"/>
          </w:tcPr>
          <w:p w14:paraId="386E265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74C1B19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15.1</w:t>
            </w:r>
          </w:p>
        </w:tc>
        <w:tc>
          <w:tcPr>
            <w:tcW w:w="3113" w:type="dxa"/>
          </w:tcPr>
          <w:p w14:paraId="45C6F3D4"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means providing a platform. A platform in itself does not produce any results. Europeana may however use this platform to (unwillingly) generate a result that does infringe rights of a third party.</w:t>
            </w:r>
          </w:p>
          <w:p w14:paraId="7C84DD29"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Why should Supplier indemnify Europeana for the consequences of an infringement by Europeana? Or, what is wrong with the interpretation of this clause 15.1 by Supplier?</w:t>
            </w:r>
          </w:p>
          <w:p w14:paraId="1025633C"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Can you please explain?</w:t>
            </w:r>
          </w:p>
        </w:tc>
        <w:tc>
          <w:tcPr>
            <w:tcW w:w="3118" w:type="dxa"/>
          </w:tcPr>
          <w:p w14:paraId="4339279F" w14:textId="77777777" w:rsidR="006A5B7A" w:rsidRDefault="0036239A"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15.1 will be amended as follows:</w:t>
            </w:r>
          </w:p>
          <w:p w14:paraId="4DDA5078" w14:textId="208B7767" w:rsidR="0036239A" w:rsidRPr="0036239A" w:rsidRDefault="0036239A" w:rsidP="00BF49A8">
            <w:pPr>
              <w:pStyle w:val="formulierstandaard"/>
              <w:spacing w:before="60" w:after="60" w:line="240" w:lineRule="auto"/>
              <w:ind w:left="0"/>
              <w:rPr>
                <w:rFonts w:ascii="Calibri" w:hAnsi="Calibri"/>
                <w:i/>
                <w:sz w:val="18"/>
                <w:szCs w:val="18"/>
                <w:lang w:val="en-GB"/>
              </w:rPr>
            </w:pPr>
            <w:r w:rsidRPr="00EA5EF3">
              <w:rPr>
                <w:rFonts w:ascii="Calibri" w:hAnsi="Calibri"/>
                <w:i/>
                <w:sz w:val="18"/>
                <w:szCs w:val="18"/>
                <w:lang w:val="en-GB"/>
              </w:rPr>
              <w:t>Supplier shall indemnify and keep Europeana indemnified from and against any and all actions, claims, proceedings, and losses including court and legal costs and other liabilities of whatever nature (whether foreseeable or not) suffered, incurred or sustained as a result of or in connection with any action, claim or proceeding made or brought by any person alleging that Europeana's use or possession of Supplier’s IPR Materials, the Services or any part or combination thereof infringes the Intellectual Property Rights or any other ownership or related rights of any person, unless and to the extent any such actions, claims, proceedings or losses are caused by a breach by Europeana of the terms of this Agreement.</w:t>
            </w:r>
          </w:p>
        </w:tc>
      </w:tr>
      <w:tr w:rsidR="00DD7F78" w:rsidRPr="00AA7D95" w14:paraId="5B2E5FE0" w14:textId="77777777" w:rsidTr="0033697A">
        <w:trPr>
          <w:cantSplit/>
        </w:trPr>
        <w:tc>
          <w:tcPr>
            <w:tcW w:w="851" w:type="dxa"/>
          </w:tcPr>
          <w:p w14:paraId="06310775" w14:textId="02B1CCFE"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67</w:t>
            </w:r>
          </w:p>
        </w:tc>
        <w:tc>
          <w:tcPr>
            <w:tcW w:w="1140" w:type="dxa"/>
          </w:tcPr>
          <w:p w14:paraId="21F7C81B"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Liability</w:t>
            </w:r>
          </w:p>
        </w:tc>
        <w:tc>
          <w:tcPr>
            <w:tcW w:w="1843" w:type="dxa"/>
          </w:tcPr>
          <w:p w14:paraId="39C47AEB"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41AC4B4F"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18.2.c</w:t>
            </w:r>
          </w:p>
        </w:tc>
        <w:tc>
          <w:tcPr>
            <w:tcW w:w="3113" w:type="dxa"/>
          </w:tcPr>
          <w:p w14:paraId="09D1E98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For many subjects for which rules are stated in this agreement, rules are laid down in (civil) law too.</w:t>
            </w:r>
          </w:p>
          <w:p w14:paraId="54F95D26"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So a breach of contract will often also constitute a violation of a rule of law.</w:t>
            </w:r>
          </w:p>
          <w:p w14:paraId="7D776AF8"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This makes this quite unusual clause also unworkable.</w:t>
            </w:r>
          </w:p>
          <w:p w14:paraId="694FA912"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Can clause 18.2.c be deleted from this agreement?</w:t>
            </w:r>
          </w:p>
        </w:tc>
        <w:tc>
          <w:tcPr>
            <w:tcW w:w="3118" w:type="dxa"/>
          </w:tcPr>
          <w:p w14:paraId="2829805E" w14:textId="2157751D" w:rsidR="009F3B71" w:rsidRPr="006B004E" w:rsidRDefault="00900C64"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18.2.c will be deleted.</w:t>
            </w:r>
          </w:p>
        </w:tc>
      </w:tr>
      <w:tr w:rsidR="00DD7F78" w:rsidRPr="00AA7D95" w14:paraId="73979D71" w14:textId="77777777" w:rsidTr="0033697A">
        <w:trPr>
          <w:cantSplit/>
        </w:trPr>
        <w:tc>
          <w:tcPr>
            <w:tcW w:w="851" w:type="dxa"/>
          </w:tcPr>
          <w:p w14:paraId="1D210A64"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68</w:t>
            </w:r>
          </w:p>
        </w:tc>
        <w:tc>
          <w:tcPr>
            <w:tcW w:w="1140" w:type="dxa"/>
          </w:tcPr>
          <w:p w14:paraId="1798550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Liability</w:t>
            </w:r>
          </w:p>
        </w:tc>
        <w:tc>
          <w:tcPr>
            <w:tcW w:w="1843" w:type="dxa"/>
          </w:tcPr>
          <w:p w14:paraId="4A02B7F2"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6557A6EA"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18.2.d</w:t>
            </w:r>
          </w:p>
        </w:tc>
        <w:tc>
          <w:tcPr>
            <w:tcW w:w="3113" w:type="dxa"/>
          </w:tcPr>
          <w:p w14:paraId="6EAB3D5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An unlimited liability leads to an unmanageable risk, impossible to cover by insurance; a situation that should be avoided when possible.</w:t>
            </w:r>
          </w:p>
          <w:p w14:paraId="3A5D26BF"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As hosting is not a kind of service where Supplier is likely to infringe IPR rights of third parties, let alone in a way that could harm Europeana, there is no need for this exception on the limitation of liability.</w:t>
            </w:r>
          </w:p>
          <w:p w14:paraId="22A435D8"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Is Europeana willing to exclude a breach of clause 14 from this clause 18.2.d?</w:t>
            </w:r>
          </w:p>
        </w:tc>
        <w:tc>
          <w:tcPr>
            <w:tcW w:w="3118" w:type="dxa"/>
          </w:tcPr>
          <w:p w14:paraId="4AAD40B1" w14:textId="6C782C3A" w:rsidR="009F3B71" w:rsidRPr="006B004E" w:rsidRDefault="00900C64"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Clause 18.2.d will not be amended as it concerns a standard </w:t>
            </w:r>
            <w:r w:rsidR="00BC1879">
              <w:rPr>
                <w:rFonts w:ascii="Calibri" w:hAnsi="Calibri"/>
                <w:sz w:val="18"/>
                <w:szCs w:val="18"/>
                <w:lang w:val="en-GB"/>
              </w:rPr>
              <w:t>provision</w:t>
            </w:r>
            <w:r>
              <w:rPr>
                <w:rFonts w:ascii="Calibri" w:hAnsi="Calibri"/>
                <w:sz w:val="18"/>
                <w:szCs w:val="18"/>
                <w:lang w:val="en-GB"/>
              </w:rPr>
              <w:t xml:space="preserve"> in </w:t>
            </w:r>
            <w:r w:rsidR="00BC1879">
              <w:rPr>
                <w:rFonts w:ascii="Calibri" w:hAnsi="Calibri"/>
                <w:sz w:val="18"/>
                <w:szCs w:val="18"/>
                <w:lang w:val="en-GB"/>
              </w:rPr>
              <w:t>IT service contracts.</w:t>
            </w:r>
          </w:p>
        </w:tc>
      </w:tr>
      <w:tr w:rsidR="00DD7F78" w:rsidRPr="00DD7F78" w14:paraId="7EBB39BB" w14:textId="77777777" w:rsidTr="0033697A">
        <w:trPr>
          <w:cantSplit/>
        </w:trPr>
        <w:tc>
          <w:tcPr>
            <w:tcW w:w="851" w:type="dxa"/>
          </w:tcPr>
          <w:p w14:paraId="1A7FDB69"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69</w:t>
            </w:r>
          </w:p>
        </w:tc>
        <w:tc>
          <w:tcPr>
            <w:tcW w:w="1140" w:type="dxa"/>
          </w:tcPr>
          <w:p w14:paraId="3610F93A"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Liability</w:t>
            </w:r>
          </w:p>
        </w:tc>
        <w:tc>
          <w:tcPr>
            <w:tcW w:w="1843" w:type="dxa"/>
          </w:tcPr>
          <w:p w14:paraId="4435F4BF"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64FB1296"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18.4.c</w:t>
            </w:r>
          </w:p>
        </w:tc>
        <w:tc>
          <w:tcPr>
            <w:tcW w:w="3113" w:type="dxa"/>
          </w:tcPr>
          <w:p w14:paraId="0F04DE1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Liability for loss of data or damage to data creates a problem instead of a solution.</w:t>
            </w:r>
          </w:p>
          <w:p w14:paraId="48C994F0"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Loss of all of Europeana’s data would be a disaster, impossible to compensate </w:t>
            </w:r>
            <w:r w:rsidRPr="00D54C2F">
              <w:rPr>
                <w:rFonts w:ascii="Calibri" w:hAnsi="Calibri"/>
                <w:sz w:val="18"/>
                <w:szCs w:val="18"/>
                <w:lang w:val="en-GB"/>
              </w:rPr>
              <w:t xml:space="preserve">and meanwhile a compensation </w:t>
            </w:r>
            <w:r>
              <w:rPr>
                <w:rFonts w:ascii="Calibri" w:hAnsi="Calibri"/>
                <w:sz w:val="18"/>
                <w:szCs w:val="18"/>
                <w:lang w:val="en-GB"/>
              </w:rPr>
              <w:t xml:space="preserve">of € 500.000,= means that both </w:t>
            </w:r>
            <w:r w:rsidRPr="00D54C2F">
              <w:rPr>
                <w:rFonts w:ascii="Calibri" w:hAnsi="Calibri"/>
                <w:sz w:val="18"/>
                <w:szCs w:val="18"/>
                <w:lang w:val="en-GB"/>
              </w:rPr>
              <w:t>parties are in trouble</w:t>
            </w:r>
            <w:r>
              <w:rPr>
                <w:rFonts w:ascii="Calibri" w:hAnsi="Calibri"/>
                <w:sz w:val="18"/>
                <w:szCs w:val="18"/>
                <w:lang w:val="en-GB"/>
              </w:rPr>
              <w:t xml:space="preserve">, neither of them being able to solve the problem. </w:t>
            </w:r>
          </w:p>
          <w:p w14:paraId="7863A0F0" w14:textId="77777777" w:rsidR="00DD7F78" w:rsidRDefault="00DD7F78" w:rsidP="00BF49A8">
            <w:pPr>
              <w:pStyle w:val="formulierstandaard"/>
              <w:spacing w:before="60" w:after="60" w:line="240" w:lineRule="auto"/>
              <w:ind w:left="0"/>
              <w:rPr>
                <w:rFonts w:ascii="Calibri" w:hAnsi="Calibri"/>
                <w:sz w:val="18"/>
                <w:szCs w:val="18"/>
                <w:lang w:val="en-GB"/>
              </w:rPr>
            </w:pPr>
            <w:r w:rsidRPr="00FF14B4">
              <w:rPr>
                <w:rFonts w:ascii="Calibri" w:hAnsi="Calibri"/>
                <w:sz w:val="18"/>
                <w:szCs w:val="18"/>
                <w:lang w:val="en"/>
              </w:rPr>
              <w:t>Loss of data can have</w:t>
            </w:r>
            <w:r>
              <w:rPr>
                <w:rFonts w:ascii="Calibri" w:hAnsi="Calibri"/>
                <w:sz w:val="18"/>
                <w:szCs w:val="18"/>
                <w:lang w:val="en"/>
              </w:rPr>
              <w:t xml:space="preserve"> significant repercussions for Europeana</w:t>
            </w:r>
            <w:r w:rsidRPr="00FF14B4">
              <w:rPr>
                <w:rFonts w:ascii="Calibri" w:hAnsi="Calibri"/>
                <w:sz w:val="18"/>
                <w:szCs w:val="18"/>
                <w:lang w:val="en"/>
              </w:rPr>
              <w:t xml:space="preserve">, so it just should not happen and the only way to achieve that is to provide a backup system that ensures there will always a copy of the data available. </w:t>
            </w:r>
            <w:r w:rsidRPr="00FF14B4">
              <w:rPr>
                <w:rFonts w:ascii="Calibri" w:hAnsi="Calibri"/>
                <w:sz w:val="18"/>
                <w:szCs w:val="18"/>
                <w:lang w:val="en-GB"/>
              </w:rPr>
              <w:t xml:space="preserve">Back-up is </w:t>
            </w:r>
            <w:r>
              <w:rPr>
                <w:rFonts w:ascii="Calibri" w:hAnsi="Calibri"/>
                <w:sz w:val="18"/>
                <w:szCs w:val="18"/>
                <w:lang w:val="en-GB"/>
              </w:rPr>
              <w:t xml:space="preserve">however </w:t>
            </w:r>
            <w:r w:rsidRPr="00FF14B4">
              <w:rPr>
                <w:rFonts w:ascii="Calibri" w:hAnsi="Calibri"/>
                <w:sz w:val="18"/>
                <w:szCs w:val="18"/>
                <w:lang w:val="en-GB"/>
              </w:rPr>
              <w:t xml:space="preserve">the responsibility of </w:t>
            </w:r>
            <w:r>
              <w:rPr>
                <w:rFonts w:ascii="Calibri" w:hAnsi="Calibri"/>
                <w:sz w:val="18"/>
                <w:szCs w:val="18"/>
                <w:lang w:val="en-GB"/>
              </w:rPr>
              <w:t>Europeana (how; how often, how many copies; by whom; what retention period; where kept; and so on).</w:t>
            </w:r>
          </w:p>
          <w:p w14:paraId="21220AA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Does Europeana accept an exclusion to Suppliers liability for loss of, or damage to, data?</w:t>
            </w:r>
          </w:p>
        </w:tc>
        <w:tc>
          <w:tcPr>
            <w:tcW w:w="3118" w:type="dxa"/>
          </w:tcPr>
          <w:p w14:paraId="4FC975DB" w14:textId="385CF63B" w:rsidR="00F64860" w:rsidRPr="006B004E" w:rsidRDefault="0077032A"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 xml:space="preserve">Making regular back-ups is actually part of the Services. See requirements PS-4-16 and PR-2-2. </w:t>
            </w:r>
            <w:r w:rsidR="00BC1879">
              <w:rPr>
                <w:rFonts w:ascii="Calibri" w:hAnsi="Calibri"/>
                <w:sz w:val="18"/>
                <w:szCs w:val="18"/>
                <w:lang w:val="en-GB"/>
              </w:rPr>
              <w:t xml:space="preserve">Clause 18.4.c will </w:t>
            </w:r>
            <w:r>
              <w:rPr>
                <w:rFonts w:ascii="Calibri" w:hAnsi="Calibri"/>
                <w:sz w:val="18"/>
                <w:szCs w:val="18"/>
                <w:lang w:val="en-GB"/>
              </w:rPr>
              <w:t>therefore not be amended.</w:t>
            </w:r>
          </w:p>
        </w:tc>
      </w:tr>
      <w:tr w:rsidR="00DD7F78" w:rsidRPr="00AA7D95" w14:paraId="2F65605E" w14:textId="77777777" w:rsidTr="0033697A">
        <w:trPr>
          <w:cantSplit/>
        </w:trPr>
        <w:tc>
          <w:tcPr>
            <w:tcW w:w="851" w:type="dxa"/>
          </w:tcPr>
          <w:p w14:paraId="6FA2BFB4" w14:textId="5FAAF878"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70</w:t>
            </w:r>
          </w:p>
        </w:tc>
        <w:tc>
          <w:tcPr>
            <w:tcW w:w="1140" w:type="dxa"/>
          </w:tcPr>
          <w:p w14:paraId="51A1577F"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Liability</w:t>
            </w:r>
          </w:p>
        </w:tc>
        <w:tc>
          <w:tcPr>
            <w:tcW w:w="1843" w:type="dxa"/>
          </w:tcPr>
          <w:p w14:paraId="35A68DC3"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51993786"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18.4.e</w:t>
            </w:r>
          </w:p>
        </w:tc>
        <w:tc>
          <w:tcPr>
            <w:tcW w:w="3113" w:type="dxa"/>
          </w:tcPr>
          <w:p w14:paraId="7DF3E6AB"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Including an exception for damage to third parties in this agreement only makes sense if it applies to third parties related to Europeana (</w:t>
            </w:r>
            <w:proofErr w:type="spellStart"/>
            <w:r>
              <w:rPr>
                <w:rFonts w:ascii="Calibri" w:hAnsi="Calibri"/>
                <w:sz w:val="18"/>
                <w:szCs w:val="18"/>
                <w:lang w:val="en-GB"/>
              </w:rPr>
              <w:t>e.g</w:t>
            </w:r>
            <w:proofErr w:type="spellEnd"/>
            <w:r>
              <w:rPr>
                <w:rFonts w:ascii="Calibri" w:hAnsi="Calibri"/>
                <w:sz w:val="18"/>
                <w:szCs w:val="18"/>
                <w:lang w:val="en-GB"/>
              </w:rPr>
              <w:t xml:space="preserve"> clients of Europeana).</w:t>
            </w:r>
          </w:p>
          <w:p w14:paraId="10E529E8"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Whereas Europeana is in a position to limit its liability to its clients and Supplier is not, this form of liability is unfair.</w:t>
            </w:r>
          </w:p>
          <w:p w14:paraId="42855F74"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Is Europeana willing to delete liability to third parties from this clause 18.4.e?</w:t>
            </w:r>
          </w:p>
        </w:tc>
        <w:tc>
          <w:tcPr>
            <w:tcW w:w="3118" w:type="dxa"/>
          </w:tcPr>
          <w:p w14:paraId="55E0E2B0" w14:textId="3C945396" w:rsidR="009F3B71" w:rsidRPr="006B004E" w:rsidRDefault="00BC1879"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18.4.e will be deleted.</w:t>
            </w:r>
          </w:p>
        </w:tc>
      </w:tr>
      <w:tr w:rsidR="00DD7F78" w:rsidRPr="00AA7D95" w14:paraId="7DF63028" w14:textId="77777777" w:rsidTr="0033697A">
        <w:trPr>
          <w:cantSplit/>
        </w:trPr>
        <w:tc>
          <w:tcPr>
            <w:tcW w:w="851" w:type="dxa"/>
          </w:tcPr>
          <w:p w14:paraId="5F2EB53D"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71</w:t>
            </w:r>
          </w:p>
        </w:tc>
        <w:tc>
          <w:tcPr>
            <w:tcW w:w="1140" w:type="dxa"/>
          </w:tcPr>
          <w:p w14:paraId="1DEBBCC1"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Force Majeure</w:t>
            </w:r>
          </w:p>
        </w:tc>
        <w:tc>
          <w:tcPr>
            <w:tcW w:w="1843" w:type="dxa"/>
          </w:tcPr>
          <w:p w14:paraId="77B4F88C"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74B01B27"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19</w:t>
            </w:r>
          </w:p>
        </w:tc>
        <w:tc>
          <w:tcPr>
            <w:tcW w:w="3113" w:type="dxa"/>
          </w:tcPr>
          <w:p w14:paraId="230E9098"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19 excludes a failure to perform by a third party supplier due to default from force majeure.</w:t>
            </w:r>
          </w:p>
          <w:p w14:paraId="00CDE094"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would like to make an exception to this exclusion, as follows:</w:t>
            </w:r>
          </w:p>
          <w:p w14:paraId="752D3A92" w14:textId="77777777" w:rsidR="00DD7F78" w:rsidRPr="00656104" w:rsidRDefault="00DD7F78" w:rsidP="007E5BDD">
            <w:pPr>
              <w:pStyle w:val="formulierstandaard"/>
              <w:numPr>
                <w:ilvl w:val="1"/>
                <w:numId w:val="9"/>
              </w:numPr>
              <w:spacing w:before="60" w:after="60" w:line="240" w:lineRule="auto"/>
              <w:rPr>
                <w:sz w:val="18"/>
                <w:szCs w:val="18"/>
                <w:lang w:val="en-US"/>
              </w:rPr>
            </w:pPr>
            <w:r>
              <w:rPr>
                <w:sz w:val="18"/>
                <w:szCs w:val="18"/>
                <w:lang w:val="en-GB"/>
              </w:rPr>
              <w:t xml:space="preserve"> </w:t>
            </w:r>
            <w:r w:rsidRPr="00656104">
              <w:rPr>
                <w:sz w:val="18"/>
                <w:szCs w:val="18"/>
                <w:lang w:val="en"/>
              </w:rPr>
              <w:t xml:space="preserve">Force majeure, as referred to in the previous article, also includes the loss of energy or (network) connections and the failure of suppliers of </w:t>
            </w:r>
            <w:r>
              <w:rPr>
                <w:sz w:val="18"/>
                <w:szCs w:val="18"/>
                <w:lang w:val="en"/>
              </w:rPr>
              <w:t>Supplier</w:t>
            </w:r>
            <w:r w:rsidRPr="00656104">
              <w:rPr>
                <w:sz w:val="18"/>
                <w:szCs w:val="18"/>
                <w:lang w:val="en"/>
              </w:rPr>
              <w:t xml:space="preserve"> in situations where it is beyond the power of </w:t>
            </w:r>
            <w:r>
              <w:rPr>
                <w:sz w:val="18"/>
                <w:szCs w:val="18"/>
                <w:lang w:val="en"/>
              </w:rPr>
              <w:t>Supplier</w:t>
            </w:r>
            <w:r w:rsidRPr="00656104">
              <w:rPr>
                <w:sz w:val="18"/>
                <w:szCs w:val="18"/>
                <w:lang w:val="en"/>
              </w:rPr>
              <w:t xml:space="preserve"> to (timely) force the supplier concerned to comply or to procure a missing delivery from another supplier and it is neither possible to successfully claim the damages from the supplier concerned. </w:t>
            </w:r>
            <w:r>
              <w:rPr>
                <w:sz w:val="18"/>
                <w:szCs w:val="18"/>
                <w:lang w:val="en"/>
              </w:rPr>
              <w:t>Supplier</w:t>
            </w:r>
            <w:r w:rsidRPr="00656104">
              <w:rPr>
                <w:sz w:val="18"/>
                <w:szCs w:val="18"/>
                <w:lang w:val="en"/>
              </w:rPr>
              <w:t xml:space="preserve"> will make a maximum effort to prevent any situation that could lead to "force majeure"; whenever possible.</w:t>
            </w:r>
          </w:p>
          <w:p w14:paraId="632CE4B4" w14:textId="77777777" w:rsidR="00DD7F78" w:rsidRPr="00656104" w:rsidRDefault="00DD7F78" w:rsidP="00BF49A8">
            <w:pPr>
              <w:pStyle w:val="formulierstandaard"/>
              <w:spacing w:before="60" w:after="60" w:line="240" w:lineRule="auto"/>
              <w:rPr>
                <w:rFonts w:ascii="Calibri" w:hAnsi="Calibri"/>
                <w:sz w:val="18"/>
                <w:szCs w:val="18"/>
                <w:lang w:val="en-US"/>
              </w:rPr>
            </w:pPr>
            <w:r>
              <w:rPr>
                <w:sz w:val="18"/>
                <w:szCs w:val="18"/>
                <w:lang w:val="en"/>
              </w:rPr>
              <w:t>Does Europeana agree with this exception?</w:t>
            </w:r>
          </w:p>
        </w:tc>
        <w:tc>
          <w:tcPr>
            <w:tcW w:w="3118" w:type="dxa"/>
          </w:tcPr>
          <w:p w14:paraId="0CFDC188" w14:textId="6901D6CD" w:rsidR="009F3B71" w:rsidRPr="006B004E" w:rsidRDefault="008D725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Clause 19 will not be amended.</w:t>
            </w:r>
          </w:p>
        </w:tc>
      </w:tr>
      <w:tr w:rsidR="00DD7F78" w:rsidRPr="00AA7D95" w14:paraId="537400F8" w14:textId="77777777" w:rsidTr="0033697A">
        <w:trPr>
          <w:cantSplit/>
        </w:trPr>
        <w:tc>
          <w:tcPr>
            <w:tcW w:w="851" w:type="dxa"/>
          </w:tcPr>
          <w:p w14:paraId="68A25FBF"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72</w:t>
            </w:r>
          </w:p>
        </w:tc>
        <w:tc>
          <w:tcPr>
            <w:tcW w:w="1140" w:type="dxa"/>
          </w:tcPr>
          <w:p w14:paraId="38400DE9"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Renewal</w:t>
            </w:r>
          </w:p>
        </w:tc>
        <w:tc>
          <w:tcPr>
            <w:tcW w:w="1843" w:type="dxa"/>
          </w:tcPr>
          <w:p w14:paraId="0C62703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3778069C"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20.2</w:t>
            </w:r>
          </w:p>
        </w:tc>
        <w:tc>
          <w:tcPr>
            <w:tcW w:w="3113" w:type="dxa"/>
          </w:tcPr>
          <w:p w14:paraId="12A2689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Preparing an exit-migration may take quite some time, so a one month notice for termination or renewal seems too short.</w:t>
            </w:r>
          </w:p>
          <w:p w14:paraId="7B931B21"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Does Europeana agree to a three month notice?</w:t>
            </w:r>
          </w:p>
        </w:tc>
        <w:tc>
          <w:tcPr>
            <w:tcW w:w="3118" w:type="dxa"/>
          </w:tcPr>
          <w:p w14:paraId="4F7EEDC2" w14:textId="69D3F58D" w:rsidR="00A02BF7" w:rsidRPr="006B004E" w:rsidRDefault="008D725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Yes, Europeana agrees to a three month notice period.</w:t>
            </w:r>
          </w:p>
        </w:tc>
      </w:tr>
      <w:tr w:rsidR="00DD7F78" w:rsidRPr="00AA7D95" w14:paraId="719B6417" w14:textId="77777777" w:rsidTr="0033697A">
        <w:trPr>
          <w:cantSplit/>
        </w:trPr>
        <w:tc>
          <w:tcPr>
            <w:tcW w:w="851" w:type="dxa"/>
          </w:tcPr>
          <w:p w14:paraId="24560D9A"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73</w:t>
            </w:r>
          </w:p>
        </w:tc>
        <w:tc>
          <w:tcPr>
            <w:tcW w:w="1140" w:type="dxa"/>
          </w:tcPr>
          <w:p w14:paraId="145488D1"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Termination fee</w:t>
            </w:r>
          </w:p>
        </w:tc>
        <w:tc>
          <w:tcPr>
            <w:tcW w:w="1843" w:type="dxa"/>
          </w:tcPr>
          <w:p w14:paraId="0A11726D"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5A5F716C"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20.7</w:t>
            </w:r>
          </w:p>
        </w:tc>
        <w:tc>
          <w:tcPr>
            <w:tcW w:w="3113" w:type="dxa"/>
          </w:tcPr>
          <w:p w14:paraId="1A8F346C"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Will a termination fee include compensation of all costs and the loss of profits for the missed part of the term for Supplier?</w:t>
            </w:r>
          </w:p>
        </w:tc>
        <w:tc>
          <w:tcPr>
            <w:tcW w:w="3118" w:type="dxa"/>
          </w:tcPr>
          <w:p w14:paraId="02DAD434" w14:textId="038009ED" w:rsidR="001E6DA5" w:rsidRDefault="00A02BF7"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See Paragraph 3.2 and 3.3 of Schedule 6 (Financial Details).</w:t>
            </w:r>
          </w:p>
          <w:p w14:paraId="200B6E83" w14:textId="77777777" w:rsidR="00A02BF7" w:rsidRPr="006B004E" w:rsidRDefault="00A02BF7" w:rsidP="00BF49A8">
            <w:pPr>
              <w:pStyle w:val="formulierstandaard"/>
              <w:spacing w:before="60" w:after="60" w:line="240" w:lineRule="auto"/>
              <w:ind w:left="0"/>
              <w:rPr>
                <w:rFonts w:ascii="Calibri" w:hAnsi="Calibri"/>
                <w:sz w:val="18"/>
                <w:szCs w:val="18"/>
                <w:lang w:val="en-GB"/>
              </w:rPr>
            </w:pPr>
          </w:p>
        </w:tc>
      </w:tr>
      <w:tr w:rsidR="00DD7F78" w:rsidRPr="00AA7D95" w14:paraId="206F851F" w14:textId="77777777" w:rsidTr="0033697A">
        <w:trPr>
          <w:cantSplit/>
        </w:trPr>
        <w:tc>
          <w:tcPr>
            <w:tcW w:w="851" w:type="dxa"/>
          </w:tcPr>
          <w:p w14:paraId="715BC8A7"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74</w:t>
            </w:r>
          </w:p>
        </w:tc>
        <w:tc>
          <w:tcPr>
            <w:tcW w:w="1140" w:type="dxa"/>
          </w:tcPr>
          <w:p w14:paraId="692DAA13"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Quality Assurance</w:t>
            </w:r>
          </w:p>
        </w:tc>
        <w:tc>
          <w:tcPr>
            <w:tcW w:w="1843" w:type="dxa"/>
          </w:tcPr>
          <w:p w14:paraId="17E27B0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6696E3D4"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22</w:t>
            </w:r>
          </w:p>
        </w:tc>
        <w:tc>
          <w:tcPr>
            <w:tcW w:w="3113" w:type="dxa"/>
          </w:tcPr>
          <w:p w14:paraId="45AF3ADF" w14:textId="77777777" w:rsidR="00DD7F78" w:rsidRPr="006B004E"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Does Europeana agree that access to records of Supplier can be subject to conditions as stated in the question regarding articles 12.1 and 23.5 (depending on the records asked for)?</w:t>
            </w:r>
          </w:p>
        </w:tc>
        <w:tc>
          <w:tcPr>
            <w:tcW w:w="3118" w:type="dxa"/>
          </w:tcPr>
          <w:p w14:paraId="30B4BAD0" w14:textId="4E772B06" w:rsidR="00A02BF7" w:rsidRPr="006B004E" w:rsidRDefault="008D725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See the answer to question 58.</w:t>
            </w:r>
          </w:p>
        </w:tc>
      </w:tr>
      <w:tr w:rsidR="00DD7F78" w:rsidRPr="00AA7D95" w14:paraId="41B2BA30" w14:textId="77777777" w:rsidTr="0033697A">
        <w:trPr>
          <w:cantSplit/>
        </w:trPr>
        <w:tc>
          <w:tcPr>
            <w:tcW w:w="851" w:type="dxa"/>
          </w:tcPr>
          <w:p w14:paraId="7152BBA5"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lastRenderedPageBreak/>
              <w:t>75</w:t>
            </w:r>
          </w:p>
        </w:tc>
        <w:tc>
          <w:tcPr>
            <w:tcW w:w="1140" w:type="dxa"/>
          </w:tcPr>
          <w:p w14:paraId="0DF58A6D"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Security</w:t>
            </w:r>
          </w:p>
        </w:tc>
        <w:tc>
          <w:tcPr>
            <w:tcW w:w="1843" w:type="dxa"/>
          </w:tcPr>
          <w:p w14:paraId="1FCC3737"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786EF49F"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Article 23.5</w:t>
            </w:r>
          </w:p>
        </w:tc>
        <w:tc>
          <w:tcPr>
            <w:tcW w:w="3113" w:type="dxa"/>
          </w:tcPr>
          <w:p w14:paraId="53AB6814"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Supplier agrees to inspections and access, but has to take the interests of other users of its data centres into account, including the existing procedures to ensure confidentiality and security.</w:t>
            </w:r>
          </w:p>
          <w:p w14:paraId="71C4ABE4"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Conditions for an audit are:</w:t>
            </w:r>
          </w:p>
          <w:p w14:paraId="210347DC" w14:textId="77777777" w:rsidR="00DD7F78" w:rsidRPr="005D3AC9" w:rsidRDefault="00DD7F78" w:rsidP="00BF49A8">
            <w:pPr>
              <w:pStyle w:val="formulierstandaard"/>
              <w:spacing w:before="60" w:after="60" w:line="240" w:lineRule="auto"/>
              <w:rPr>
                <w:rFonts w:ascii="Calibri" w:hAnsi="Calibri"/>
                <w:sz w:val="18"/>
                <w:szCs w:val="18"/>
                <w:lang w:val="en-GB"/>
              </w:rPr>
            </w:pPr>
            <w:r w:rsidRPr="005D3AC9">
              <w:rPr>
                <w:rFonts w:ascii="Calibri" w:hAnsi="Calibri"/>
                <w:sz w:val="18"/>
                <w:szCs w:val="18"/>
                <w:lang w:val="en-GB"/>
              </w:rPr>
              <w:t xml:space="preserve">- The audit must be announced </w:t>
            </w:r>
            <w:r>
              <w:rPr>
                <w:rFonts w:ascii="Calibri" w:hAnsi="Calibri"/>
                <w:sz w:val="18"/>
                <w:szCs w:val="18"/>
                <w:lang w:val="en-GB"/>
              </w:rPr>
              <w:t>(</w:t>
            </w:r>
            <w:r w:rsidRPr="005D3AC9">
              <w:rPr>
                <w:rFonts w:ascii="Calibri" w:hAnsi="Calibri"/>
                <w:sz w:val="18"/>
                <w:szCs w:val="18"/>
                <w:lang w:val="en-GB"/>
              </w:rPr>
              <w:t>well</w:t>
            </w:r>
            <w:r>
              <w:rPr>
                <w:rFonts w:ascii="Calibri" w:hAnsi="Calibri"/>
                <w:sz w:val="18"/>
                <w:szCs w:val="18"/>
                <w:lang w:val="en-GB"/>
              </w:rPr>
              <w:t>)</w:t>
            </w:r>
            <w:r w:rsidRPr="005D3AC9">
              <w:rPr>
                <w:rFonts w:ascii="Calibri" w:hAnsi="Calibri"/>
                <w:sz w:val="18"/>
                <w:szCs w:val="18"/>
                <w:lang w:val="en-GB"/>
              </w:rPr>
              <w:t xml:space="preserve"> in advance;</w:t>
            </w:r>
          </w:p>
          <w:p w14:paraId="15E88A7B" w14:textId="77777777" w:rsidR="00DD7F78" w:rsidRPr="005D3AC9" w:rsidRDefault="00DD7F78" w:rsidP="00BF49A8">
            <w:pPr>
              <w:pStyle w:val="formulierstandaard"/>
              <w:spacing w:before="60" w:after="60" w:line="240" w:lineRule="auto"/>
              <w:rPr>
                <w:rFonts w:ascii="Calibri" w:hAnsi="Calibri"/>
                <w:sz w:val="18"/>
                <w:szCs w:val="18"/>
                <w:lang w:val="en-GB"/>
              </w:rPr>
            </w:pPr>
            <w:r w:rsidRPr="005D3AC9">
              <w:rPr>
                <w:rFonts w:ascii="Calibri" w:hAnsi="Calibri"/>
                <w:sz w:val="18"/>
                <w:szCs w:val="18"/>
                <w:lang w:val="en-GB"/>
              </w:rPr>
              <w:t xml:space="preserve">- The IT auditor </w:t>
            </w:r>
            <w:r>
              <w:rPr>
                <w:rFonts w:ascii="Calibri" w:hAnsi="Calibri"/>
                <w:sz w:val="18"/>
                <w:szCs w:val="18"/>
                <w:lang w:val="en-GB"/>
              </w:rPr>
              <w:t>has to</w:t>
            </w:r>
            <w:r w:rsidRPr="005D3AC9">
              <w:rPr>
                <w:rFonts w:ascii="Calibri" w:hAnsi="Calibri"/>
                <w:sz w:val="18"/>
                <w:szCs w:val="18"/>
                <w:lang w:val="en-GB"/>
              </w:rPr>
              <w:t xml:space="preserve"> be independent registry </w:t>
            </w:r>
            <w:r>
              <w:rPr>
                <w:rFonts w:ascii="Calibri" w:hAnsi="Calibri"/>
                <w:sz w:val="18"/>
                <w:szCs w:val="18"/>
                <w:lang w:val="en-GB"/>
              </w:rPr>
              <w:t xml:space="preserve">EDP </w:t>
            </w:r>
            <w:r w:rsidRPr="005D3AC9">
              <w:rPr>
                <w:rFonts w:ascii="Calibri" w:hAnsi="Calibri"/>
                <w:sz w:val="18"/>
                <w:szCs w:val="18"/>
                <w:lang w:val="en-GB"/>
              </w:rPr>
              <w:t>auditor;</w:t>
            </w:r>
          </w:p>
          <w:p w14:paraId="15155612" w14:textId="77777777" w:rsidR="00DD7F78" w:rsidRPr="005D3AC9" w:rsidRDefault="00DD7F78" w:rsidP="00BF49A8">
            <w:pPr>
              <w:pStyle w:val="formulierstandaard"/>
              <w:spacing w:before="60" w:after="60" w:line="240" w:lineRule="auto"/>
              <w:rPr>
                <w:rFonts w:ascii="Calibri" w:hAnsi="Calibri"/>
                <w:sz w:val="18"/>
                <w:szCs w:val="18"/>
                <w:lang w:val="en-GB"/>
              </w:rPr>
            </w:pPr>
            <w:r w:rsidRPr="005D3AC9">
              <w:rPr>
                <w:rFonts w:ascii="Calibri" w:hAnsi="Calibri"/>
                <w:sz w:val="18"/>
                <w:szCs w:val="18"/>
                <w:lang w:val="en-GB"/>
              </w:rPr>
              <w:t xml:space="preserve">- The financial auditor </w:t>
            </w:r>
            <w:r>
              <w:rPr>
                <w:rFonts w:ascii="Calibri" w:hAnsi="Calibri"/>
                <w:sz w:val="18"/>
                <w:szCs w:val="18"/>
                <w:lang w:val="en-GB"/>
              </w:rPr>
              <w:t>has to</w:t>
            </w:r>
            <w:r w:rsidRPr="005D3AC9">
              <w:rPr>
                <w:rFonts w:ascii="Calibri" w:hAnsi="Calibri"/>
                <w:sz w:val="18"/>
                <w:szCs w:val="18"/>
                <w:lang w:val="en-GB"/>
              </w:rPr>
              <w:t xml:space="preserve"> be an independent registry accountant;</w:t>
            </w:r>
          </w:p>
          <w:p w14:paraId="6E93ABA8" w14:textId="77777777" w:rsidR="00DD7F78" w:rsidRPr="005D3AC9" w:rsidRDefault="00DD7F78" w:rsidP="00BF49A8">
            <w:pPr>
              <w:pStyle w:val="formulierstandaard"/>
              <w:spacing w:before="60" w:after="60" w:line="240" w:lineRule="auto"/>
              <w:rPr>
                <w:rFonts w:ascii="Calibri" w:hAnsi="Calibri"/>
                <w:sz w:val="18"/>
                <w:szCs w:val="18"/>
                <w:lang w:val="en-GB"/>
              </w:rPr>
            </w:pPr>
            <w:r w:rsidRPr="005D3AC9">
              <w:rPr>
                <w:rFonts w:ascii="Calibri" w:hAnsi="Calibri"/>
                <w:sz w:val="18"/>
                <w:szCs w:val="18"/>
                <w:lang w:val="en-GB"/>
              </w:rPr>
              <w:t>- The auditor must adhere to the house</w:t>
            </w:r>
            <w:r>
              <w:rPr>
                <w:rFonts w:ascii="Calibri" w:hAnsi="Calibri"/>
                <w:sz w:val="18"/>
                <w:szCs w:val="18"/>
                <w:lang w:val="en-GB"/>
              </w:rPr>
              <w:t>-</w:t>
            </w:r>
            <w:r w:rsidRPr="005D3AC9">
              <w:rPr>
                <w:rFonts w:ascii="Calibri" w:hAnsi="Calibri"/>
                <w:sz w:val="18"/>
                <w:szCs w:val="18"/>
                <w:lang w:val="en-GB"/>
              </w:rPr>
              <w:t xml:space="preserve">, </w:t>
            </w:r>
            <w:r>
              <w:rPr>
                <w:rFonts w:ascii="Calibri" w:hAnsi="Calibri"/>
                <w:sz w:val="18"/>
                <w:szCs w:val="18"/>
                <w:lang w:val="en-GB"/>
              </w:rPr>
              <w:t>behavioural-</w:t>
            </w:r>
            <w:r w:rsidRPr="005D3AC9">
              <w:rPr>
                <w:rFonts w:ascii="Calibri" w:hAnsi="Calibri"/>
                <w:sz w:val="18"/>
                <w:szCs w:val="18"/>
                <w:lang w:val="en-GB"/>
              </w:rPr>
              <w:t>, and access</w:t>
            </w:r>
            <w:r>
              <w:rPr>
                <w:rFonts w:ascii="Calibri" w:hAnsi="Calibri"/>
                <w:sz w:val="18"/>
                <w:szCs w:val="18"/>
                <w:lang w:val="en-GB"/>
              </w:rPr>
              <w:t>-</w:t>
            </w:r>
            <w:r w:rsidRPr="005D3AC9">
              <w:rPr>
                <w:rFonts w:ascii="Calibri" w:hAnsi="Calibri"/>
                <w:sz w:val="18"/>
                <w:szCs w:val="18"/>
                <w:lang w:val="en-GB"/>
              </w:rPr>
              <w:t xml:space="preserve"> rules </w:t>
            </w:r>
            <w:r>
              <w:rPr>
                <w:rFonts w:ascii="Calibri" w:hAnsi="Calibri"/>
                <w:sz w:val="18"/>
                <w:szCs w:val="18"/>
                <w:lang w:val="en-GB"/>
              </w:rPr>
              <w:t>of Supplier</w:t>
            </w:r>
            <w:r w:rsidRPr="005D3AC9">
              <w:rPr>
                <w:rFonts w:ascii="Calibri" w:hAnsi="Calibri"/>
                <w:sz w:val="18"/>
                <w:szCs w:val="18"/>
                <w:lang w:val="en-GB"/>
              </w:rPr>
              <w:t>;</w:t>
            </w:r>
          </w:p>
          <w:p w14:paraId="322D31EF" w14:textId="77777777" w:rsidR="00DD7F78" w:rsidRPr="005D3AC9" w:rsidRDefault="00DD7F78" w:rsidP="00BF49A8">
            <w:pPr>
              <w:pStyle w:val="formulierstandaard"/>
              <w:spacing w:before="60" w:after="60" w:line="240" w:lineRule="auto"/>
              <w:rPr>
                <w:rFonts w:ascii="Calibri" w:hAnsi="Calibri"/>
                <w:sz w:val="18"/>
                <w:szCs w:val="18"/>
                <w:lang w:val="en-GB"/>
              </w:rPr>
            </w:pPr>
            <w:r w:rsidRPr="005D3AC9">
              <w:rPr>
                <w:rFonts w:ascii="Calibri" w:hAnsi="Calibri"/>
                <w:sz w:val="18"/>
                <w:szCs w:val="18"/>
                <w:lang w:val="en-GB"/>
              </w:rPr>
              <w:t xml:space="preserve">- The auditor </w:t>
            </w:r>
            <w:r>
              <w:rPr>
                <w:rFonts w:ascii="Calibri" w:hAnsi="Calibri"/>
                <w:sz w:val="18"/>
                <w:szCs w:val="18"/>
                <w:lang w:val="en-GB"/>
              </w:rPr>
              <w:t>will be under an obligation</w:t>
            </w:r>
            <w:r w:rsidRPr="005D3AC9">
              <w:rPr>
                <w:rFonts w:ascii="Calibri" w:hAnsi="Calibri"/>
                <w:sz w:val="18"/>
                <w:szCs w:val="18"/>
                <w:lang w:val="en-GB"/>
              </w:rPr>
              <w:t xml:space="preserve"> not to disclose confidential information;</w:t>
            </w:r>
          </w:p>
          <w:p w14:paraId="0AE178DE" w14:textId="77777777" w:rsidR="00DD7F78" w:rsidRDefault="00DD7F78" w:rsidP="00BF49A8">
            <w:pPr>
              <w:pStyle w:val="formulierstandaard"/>
              <w:spacing w:before="60" w:after="60" w:line="240" w:lineRule="auto"/>
              <w:ind w:left="0"/>
              <w:rPr>
                <w:rFonts w:ascii="Calibri" w:hAnsi="Calibri"/>
                <w:sz w:val="18"/>
                <w:szCs w:val="18"/>
                <w:lang w:val="en-GB"/>
              </w:rPr>
            </w:pPr>
            <w:r w:rsidRPr="005D3AC9">
              <w:rPr>
                <w:rFonts w:ascii="Calibri" w:hAnsi="Calibri"/>
                <w:sz w:val="18"/>
                <w:szCs w:val="18"/>
                <w:lang w:val="en-GB"/>
              </w:rPr>
              <w:t xml:space="preserve">- The auditor </w:t>
            </w:r>
            <w:r>
              <w:rPr>
                <w:rFonts w:ascii="Calibri" w:hAnsi="Calibri"/>
                <w:sz w:val="18"/>
                <w:szCs w:val="18"/>
                <w:lang w:val="en-GB"/>
              </w:rPr>
              <w:t>may</w:t>
            </w:r>
            <w:r w:rsidRPr="005D3AC9">
              <w:rPr>
                <w:rFonts w:ascii="Calibri" w:hAnsi="Calibri"/>
                <w:sz w:val="18"/>
                <w:szCs w:val="18"/>
                <w:lang w:val="en-GB"/>
              </w:rPr>
              <w:t xml:space="preserve"> only report on security aspects in broad terms and </w:t>
            </w:r>
            <w:r>
              <w:rPr>
                <w:rFonts w:ascii="Calibri" w:hAnsi="Calibri"/>
                <w:sz w:val="18"/>
                <w:szCs w:val="18"/>
                <w:lang w:val="en-GB"/>
              </w:rPr>
              <w:t>may not</w:t>
            </w:r>
            <w:r w:rsidRPr="005D3AC9">
              <w:rPr>
                <w:rFonts w:ascii="Calibri" w:hAnsi="Calibri"/>
                <w:sz w:val="18"/>
                <w:szCs w:val="18"/>
                <w:lang w:val="en-GB"/>
              </w:rPr>
              <w:t xml:space="preserve"> disclose any details</w:t>
            </w:r>
            <w:r>
              <w:rPr>
                <w:rFonts w:ascii="Calibri" w:hAnsi="Calibri"/>
                <w:sz w:val="18"/>
                <w:szCs w:val="18"/>
                <w:lang w:val="en-GB"/>
              </w:rPr>
              <w:t xml:space="preserve"> on security</w:t>
            </w:r>
            <w:r w:rsidRPr="005D3AC9">
              <w:rPr>
                <w:rFonts w:ascii="Calibri" w:hAnsi="Calibri"/>
                <w:sz w:val="18"/>
                <w:szCs w:val="18"/>
                <w:lang w:val="en-GB"/>
              </w:rPr>
              <w:t>.</w:t>
            </w:r>
            <w:r w:rsidR="00A02BF7">
              <w:rPr>
                <w:rFonts w:ascii="Calibri" w:hAnsi="Calibri"/>
                <w:sz w:val="18"/>
                <w:szCs w:val="18"/>
                <w:lang w:val="en-GB"/>
              </w:rPr>
              <w:t xml:space="preserve"> </w:t>
            </w:r>
          </w:p>
          <w:p w14:paraId="06E6845D" w14:textId="77777777" w:rsidR="00DD7F78" w:rsidRDefault="00DD7F78" w:rsidP="00BF49A8">
            <w:pPr>
              <w:pStyle w:val="formulierstandaard"/>
              <w:spacing w:before="60" w:after="60" w:line="240" w:lineRule="auto"/>
              <w:ind w:left="0"/>
              <w:rPr>
                <w:rFonts w:ascii="Calibri" w:hAnsi="Calibri"/>
                <w:sz w:val="18"/>
                <w:szCs w:val="18"/>
                <w:lang w:val="en-GB"/>
              </w:rPr>
            </w:pPr>
          </w:p>
          <w:p w14:paraId="5470A19A"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Does Europeana accept these conditions?</w:t>
            </w:r>
          </w:p>
        </w:tc>
        <w:tc>
          <w:tcPr>
            <w:tcW w:w="3118" w:type="dxa"/>
          </w:tcPr>
          <w:p w14:paraId="09E8C3F8" w14:textId="266E8262" w:rsidR="00A02BF7" w:rsidRPr="006B004E" w:rsidRDefault="008D725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See the answer to question 58.</w:t>
            </w:r>
          </w:p>
        </w:tc>
      </w:tr>
      <w:tr w:rsidR="00DD7F78" w:rsidRPr="001E6DA5" w14:paraId="15E66E69" w14:textId="77777777" w:rsidTr="0033697A">
        <w:trPr>
          <w:cantSplit/>
        </w:trPr>
        <w:tc>
          <w:tcPr>
            <w:tcW w:w="851" w:type="dxa"/>
          </w:tcPr>
          <w:p w14:paraId="009DAD04" w14:textId="77777777" w:rsidR="00DD7F78" w:rsidRDefault="00DD7F78" w:rsidP="00BF49A8">
            <w:pPr>
              <w:pStyle w:val="formulierstandaard"/>
              <w:spacing w:before="60" w:after="60" w:line="240" w:lineRule="auto"/>
              <w:ind w:left="0"/>
              <w:jc w:val="center"/>
              <w:rPr>
                <w:rFonts w:ascii="Calibri" w:hAnsi="Calibri"/>
                <w:sz w:val="18"/>
                <w:szCs w:val="18"/>
                <w:lang w:val="en-GB"/>
              </w:rPr>
            </w:pPr>
            <w:r>
              <w:rPr>
                <w:rFonts w:ascii="Calibri" w:hAnsi="Calibri"/>
                <w:sz w:val="18"/>
                <w:szCs w:val="18"/>
                <w:lang w:val="en-GB"/>
              </w:rPr>
              <w:t>76</w:t>
            </w:r>
          </w:p>
        </w:tc>
        <w:tc>
          <w:tcPr>
            <w:tcW w:w="1140" w:type="dxa"/>
          </w:tcPr>
          <w:p w14:paraId="3C03234F"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Typo</w:t>
            </w:r>
          </w:p>
        </w:tc>
        <w:tc>
          <w:tcPr>
            <w:tcW w:w="1843" w:type="dxa"/>
          </w:tcPr>
          <w:p w14:paraId="5F6E51A9"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Cloud hosting services agreement Appendix D</w:t>
            </w:r>
          </w:p>
          <w:p w14:paraId="263F9C09"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Schedule 1; definition of virus</w:t>
            </w:r>
          </w:p>
        </w:tc>
        <w:tc>
          <w:tcPr>
            <w:tcW w:w="3113" w:type="dxa"/>
          </w:tcPr>
          <w:p w14:paraId="7151BE5D" w14:textId="77777777" w:rsidR="00DD7F78" w:rsidRDefault="00DD7F78"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“warm” should be “worm”.</w:t>
            </w:r>
          </w:p>
        </w:tc>
        <w:tc>
          <w:tcPr>
            <w:tcW w:w="3118" w:type="dxa"/>
          </w:tcPr>
          <w:p w14:paraId="0485A3B8" w14:textId="788CC17D" w:rsidR="00DD7F78" w:rsidRPr="006B004E" w:rsidRDefault="001E6DA5" w:rsidP="00BF49A8">
            <w:pPr>
              <w:pStyle w:val="formulierstandaard"/>
              <w:spacing w:before="60" w:after="60" w:line="240" w:lineRule="auto"/>
              <w:ind w:left="0"/>
              <w:rPr>
                <w:rFonts w:ascii="Calibri" w:hAnsi="Calibri"/>
                <w:sz w:val="18"/>
                <w:szCs w:val="18"/>
                <w:lang w:val="en-GB"/>
              </w:rPr>
            </w:pPr>
            <w:r>
              <w:rPr>
                <w:rFonts w:ascii="Calibri" w:hAnsi="Calibri"/>
                <w:sz w:val="18"/>
                <w:szCs w:val="18"/>
                <w:lang w:val="en-GB"/>
              </w:rPr>
              <w:t>Thank you for your observation. This will be corrected.</w:t>
            </w:r>
          </w:p>
        </w:tc>
      </w:tr>
    </w:tbl>
    <w:p w14:paraId="44267E32" w14:textId="77777777" w:rsidR="00FF4DDE" w:rsidRPr="006B004E" w:rsidRDefault="00FF4DDE" w:rsidP="00BF49A8">
      <w:pPr>
        <w:pStyle w:val="formulierstandaard"/>
        <w:spacing w:after="0" w:line="240" w:lineRule="auto"/>
        <w:rPr>
          <w:lang w:val="en-GB"/>
        </w:rPr>
      </w:pPr>
    </w:p>
    <w:p w14:paraId="13C42C05" w14:textId="77777777" w:rsidR="00D03586" w:rsidRPr="006B004E" w:rsidRDefault="00D03586" w:rsidP="00BF49A8">
      <w:pPr>
        <w:spacing w:line="240" w:lineRule="auto"/>
        <w:rPr>
          <w:lang w:val="en-GB"/>
        </w:rPr>
      </w:pPr>
    </w:p>
    <w:sectPr w:rsidR="00D03586" w:rsidRPr="006B004E" w:rsidSect="00F5295E">
      <w:headerReference w:type="default" r:id="rId10"/>
      <w:footerReference w:type="default" r:id="rId11"/>
      <w:headerReference w:type="first" r:id="rId12"/>
      <w:footerReference w:type="first" r:id="rId13"/>
      <w:type w:val="continuous"/>
      <w:pgSz w:w="11906" w:h="16838" w:code="9"/>
      <w:pgMar w:top="2410" w:right="1304" w:bottom="1531" w:left="1985"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6EC87" w14:textId="77777777" w:rsidR="00E975C8" w:rsidRDefault="00E975C8">
      <w:r>
        <w:separator/>
      </w:r>
    </w:p>
  </w:endnote>
  <w:endnote w:type="continuationSeparator" w:id="0">
    <w:p w14:paraId="1B3009CF" w14:textId="77777777" w:rsidR="00E975C8" w:rsidRDefault="00E9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lett">
    <w:panose1 w:val="00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4CFD" w14:textId="77777777" w:rsidR="00771DCD" w:rsidRPr="00CC1BE4" w:rsidRDefault="00771DCD" w:rsidP="00CC1BE4">
    <w:pPr>
      <w:pStyle w:val="Voettekst"/>
      <w:rPr>
        <w:lang w:val="en-GB"/>
      </w:rPr>
    </w:pPr>
    <w:r w:rsidRPr="00FC7689">
      <w:rPr>
        <w:lang w:val="en-GB"/>
      </w:rPr>
      <w:t>Europeana - PETP - Hosting services</w:t>
    </w:r>
    <w:r>
      <w:rPr>
        <w:lang w:val="en-GB"/>
      </w:rPr>
      <w:t xml:space="preserve"> -</w:t>
    </w:r>
    <w:r w:rsidRPr="00CC1BE4">
      <w:rPr>
        <w:lang w:val="en-GB"/>
      </w:rPr>
      <w:t xml:space="preserve"> Summary of Additional Information and Changes 1</w:t>
    </w:r>
    <w:r w:rsidRPr="00FC7689">
      <w:rPr>
        <w:lang w:val="en-GB"/>
      </w:rPr>
      <w:tab/>
      <w:t xml:space="preserve">Page </w:t>
    </w:r>
    <w:r>
      <w:rPr>
        <w:b/>
      </w:rPr>
      <w:fldChar w:fldCharType="begin"/>
    </w:r>
    <w:r w:rsidRPr="00FC7689">
      <w:rPr>
        <w:b/>
        <w:lang w:val="en-GB"/>
      </w:rPr>
      <w:instrText>PAGE  \* Arabic  \* MERGEFORMAT</w:instrText>
    </w:r>
    <w:r>
      <w:rPr>
        <w:b/>
      </w:rPr>
      <w:fldChar w:fldCharType="separate"/>
    </w:r>
    <w:r w:rsidR="00AA7D95">
      <w:rPr>
        <w:b/>
        <w:noProof/>
        <w:lang w:val="en-GB"/>
      </w:rPr>
      <w:t>19</w:t>
    </w:r>
    <w:r>
      <w:rPr>
        <w:b/>
      </w:rPr>
      <w:fldChar w:fldCharType="end"/>
    </w:r>
    <w:r w:rsidRPr="00FC7689">
      <w:rPr>
        <w:lang w:val="en-GB"/>
      </w:rPr>
      <w:t xml:space="preserve"> of </w:t>
    </w:r>
    <w:r>
      <w:rPr>
        <w:b/>
      </w:rPr>
      <w:fldChar w:fldCharType="begin"/>
    </w:r>
    <w:r w:rsidRPr="00FC7689">
      <w:rPr>
        <w:b/>
        <w:lang w:val="en-GB"/>
      </w:rPr>
      <w:instrText>NUMPAGES  \* Arabic  \* MERGEFORMAT</w:instrText>
    </w:r>
    <w:r>
      <w:rPr>
        <w:b/>
      </w:rPr>
      <w:fldChar w:fldCharType="separate"/>
    </w:r>
    <w:r w:rsidR="00AA7D95">
      <w:rPr>
        <w:b/>
        <w:noProof/>
        <w:lang w:val="en-GB"/>
      </w:rPr>
      <w:t>19</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B5A68" w14:textId="77777777" w:rsidR="00771DCD" w:rsidRPr="00FC7689" w:rsidRDefault="00771DCD" w:rsidP="00FC7689">
    <w:pPr>
      <w:pStyle w:val="Voettekst"/>
      <w:tabs>
        <w:tab w:val="left" w:pos="142"/>
      </w:tabs>
      <w:jc w:val="right"/>
      <w:rPr>
        <w:lang w:val="en-GB"/>
      </w:rPr>
    </w:pPr>
    <w:r w:rsidRPr="00FC7689">
      <w:rPr>
        <w:lang w:val="en-GB"/>
      </w:rPr>
      <w:t>Europeana - PETP - Hosting services</w:t>
    </w:r>
    <w:r>
      <w:rPr>
        <w:lang w:val="en-GB"/>
      </w:rPr>
      <w:t xml:space="preserve"> - </w:t>
    </w:r>
    <w:r w:rsidRPr="00CC1BE4">
      <w:rPr>
        <w:lang w:val="en-GB"/>
      </w:rPr>
      <w:t>Summary of Additional Information and Changes 1</w:t>
    </w:r>
    <w:r w:rsidRPr="00FC7689">
      <w:rPr>
        <w:lang w:val="en-GB"/>
      </w:rPr>
      <w:tab/>
      <w:t xml:space="preserve">Page </w:t>
    </w:r>
    <w:r>
      <w:rPr>
        <w:b/>
      </w:rPr>
      <w:fldChar w:fldCharType="begin"/>
    </w:r>
    <w:r w:rsidRPr="00FC7689">
      <w:rPr>
        <w:b/>
        <w:lang w:val="en-GB"/>
      </w:rPr>
      <w:instrText>PAGE  \* Arabic  \* MERGEFORMAT</w:instrText>
    </w:r>
    <w:r>
      <w:rPr>
        <w:b/>
      </w:rPr>
      <w:fldChar w:fldCharType="separate"/>
    </w:r>
    <w:r w:rsidR="00AA7D95">
      <w:rPr>
        <w:b/>
        <w:noProof/>
        <w:lang w:val="en-GB"/>
      </w:rPr>
      <w:t>1</w:t>
    </w:r>
    <w:r>
      <w:rPr>
        <w:b/>
      </w:rPr>
      <w:fldChar w:fldCharType="end"/>
    </w:r>
    <w:r w:rsidRPr="00FC7689">
      <w:rPr>
        <w:lang w:val="en-GB"/>
      </w:rPr>
      <w:t xml:space="preserve"> of </w:t>
    </w:r>
    <w:r>
      <w:rPr>
        <w:b/>
      </w:rPr>
      <w:fldChar w:fldCharType="begin"/>
    </w:r>
    <w:r w:rsidRPr="00FC7689">
      <w:rPr>
        <w:b/>
        <w:lang w:val="en-GB"/>
      </w:rPr>
      <w:instrText>NUMPAGES  \* Arabic  \* MERGEFORMAT</w:instrText>
    </w:r>
    <w:r>
      <w:rPr>
        <w:b/>
      </w:rPr>
      <w:fldChar w:fldCharType="separate"/>
    </w:r>
    <w:r w:rsidR="00AA7D95">
      <w:rPr>
        <w:b/>
        <w:noProof/>
        <w:lang w:val="en-GB"/>
      </w:rPr>
      <w:t>19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7407E" w14:textId="77777777" w:rsidR="00E975C8" w:rsidRDefault="00E975C8">
      <w:r>
        <w:separator/>
      </w:r>
    </w:p>
  </w:footnote>
  <w:footnote w:type="continuationSeparator" w:id="0">
    <w:p w14:paraId="7EAD487B" w14:textId="77777777" w:rsidR="00E975C8" w:rsidRDefault="00E97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20" w:type="dxa"/>
      <w:tblInd w:w="3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20"/>
    </w:tblGrid>
    <w:tr w:rsidR="00771DCD" w:rsidRPr="00F731C9" w14:paraId="4AAE5023" w14:textId="77777777" w:rsidTr="00B8479E">
      <w:trPr>
        <w:trHeight w:hRule="exact" w:val="1083"/>
      </w:trPr>
      <w:tc>
        <w:tcPr>
          <w:tcW w:w="5220" w:type="dxa"/>
          <w:tcBorders>
            <w:top w:val="nil"/>
            <w:left w:val="nil"/>
            <w:bottom w:val="nil"/>
            <w:right w:val="nil"/>
          </w:tcBorders>
        </w:tcPr>
        <w:p w14:paraId="7C0AF036" w14:textId="77777777" w:rsidR="00771DCD" w:rsidRPr="003E5443" w:rsidRDefault="00771DCD" w:rsidP="00B8479E">
          <w:pPr>
            <w:pStyle w:val="Koptekst"/>
            <w:jc w:val="right"/>
          </w:pPr>
          <w:r>
            <w:rPr>
              <w:noProof/>
            </w:rPr>
            <w:drawing>
              <wp:anchor distT="0" distB="0" distL="114300" distR="114300" simplePos="0" relativeHeight="251660288" behindDoc="0" locked="0" layoutInCell="1" allowOverlap="1" wp14:anchorId="75F646AD" wp14:editId="04023ECE">
                <wp:simplePos x="0" y="0"/>
                <wp:positionH relativeFrom="column">
                  <wp:posOffset>-597535</wp:posOffset>
                </wp:positionH>
                <wp:positionV relativeFrom="paragraph">
                  <wp:posOffset>52070</wp:posOffset>
                </wp:positionV>
                <wp:extent cx="1821485" cy="977530"/>
                <wp:effectExtent l="0" t="0" r="762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ana-300x161.jpg"/>
                        <pic:cNvPicPr/>
                      </pic:nvPicPr>
                      <pic:blipFill>
                        <a:blip r:embed="rId1">
                          <a:extLst>
                            <a:ext uri="{28A0092B-C50C-407E-A947-70E740481C1C}">
                              <a14:useLocalDpi xmlns:a14="http://schemas.microsoft.com/office/drawing/2010/main" val="0"/>
                            </a:ext>
                          </a:extLst>
                        </a:blip>
                        <a:stretch>
                          <a:fillRect/>
                        </a:stretch>
                      </pic:blipFill>
                      <pic:spPr>
                        <a:xfrm>
                          <a:off x="0" y="0"/>
                          <a:ext cx="1821485" cy="977530"/>
                        </a:xfrm>
                        <a:prstGeom prst="rect">
                          <a:avLst/>
                        </a:prstGeom>
                      </pic:spPr>
                    </pic:pic>
                  </a:graphicData>
                </a:graphic>
                <wp14:sizeRelH relativeFrom="page">
                  <wp14:pctWidth>0</wp14:pctWidth>
                </wp14:sizeRelH>
                <wp14:sizeRelV relativeFrom="page">
                  <wp14:pctHeight>0</wp14:pctHeight>
                </wp14:sizeRelV>
              </wp:anchor>
            </w:drawing>
          </w:r>
        </w:p>
      </w:tc>
    </w:tr>
  </w:tbl>
  <w:p w14:paraId="1C4526C2" w14:textId="77777777" w:rsidR="00771DCD" w:rsidRDefault="00771DC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C75BC6" w14:textId="77777777" w:rsidR="00771DCD" w:rsidRDefault="00771DCD" w:rsidP="00B62F6D">
    <w:pPr>
      <w:pStyle w:val="Koptekst"/>
      <w:tabs>
        <w:tab w:val="clear" w:pos="4536"/>
        <w:tab w:val="center" w:pos="3969"/>
      </w:tabs>
    </w:pPr>
    <w:r>
      <w:rPr>
        <w:noProof/>
      </w:rPr>
      <w:drawing>
        <wp:anchor distT="0" distB="0" distL="114300" distR="114300" simplePos="0" relativeHeight="251658240" behindDoc="0" locked="0" layoutInCell="1" allowOverlap="1" wp14:anchorId="6530244C" wp14:editId="02ED720C">
          <wp:simplePos x="0" y="0"/>
          <wp:positionH relativeFrom="column">
            <wp:posOffset>1415720</wp:posOffset>
          </wp:positionH>
          <wp:positionV relativeFrom="paragraph">
            <wp:posOffset>-100330</wp:posOffset>
          </wp:positionV>
          <wp:extent cx="1821485" cy="977530"/>
          <wp:effectExtent l="0" t="0" r="762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ropeana-300x161.jpg"/>
                  <pic:cNvPicPr/>
                </pic:nvPicPr>
                <pic:blipFill>
                  <a:blip r:embed="rId1">
                    <a:extLst>
                      <a:ext uri="{28A0092B-C50C-407E-A947-70E740481C1C}">
                        <a14:useLocalDpi xmlns:a14="http://schemas.microsoft.com/office/drawing/2010/main" val="0"/>
                      </a:ext>
                    </a:extLst>
                  </a:blip>
                  <a:stretch>
                    <a:fillRect/>
                  </a:stretch>
                </pic:blipFill>
                <pic:spPr>
                  <a:xfrm>
                    <a:off x="0" y="0"/>
                    <a:ext cx="1821485" cy="9775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A1E99"/>
    <w:multiLevelType w:val="multilevel"/>
    <w:tmpl w:val="2A5EDD3E"/>
    <w:lvl w:ilvl="0">
      <w:start w:val="19"/>
      <w:numFmt w:val="decimal"/>
      <w:lvlText w:val="%1"/>
      <w:lvlJc w:val="left"/>
      <w:pPr>
        <w:ind w:left="360" w:hanging="360"/>
      </w:pPr>
      <w:rPr>
        <w:rFonts w:hint="default"/>
      </w:rPr>
    </w:lvl>
    <w:lvl w:ilvl="1">
      <w:start w:val="2"/>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172" w:hanging="72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344" w:hanging="1440"/>
      </w:pPr>
      <w:rPr>
        <w:rFonts w:hint="default"/>
      </w:rPr>
    </w:lvl>
  </w:abstractNum>
  <w:abstractNum w:abstractNumId="1">
    <w:nsid w:val="2D3E6730"/>
    <w:multiLevelType w:val="hybridMultilevel"/>
    <w:tmpl w:val="53345380"/>
    <w:lvl w:ilvl="0" w:tplc="C0761692">
      <w:start w:val="1"/>
      <w:numFmt w:val="bullet"/>
      <w:pStyle w:val="opsommingbullit"/>
      <w:lvlText w:val=""/>
      <w:lvlJc w:val="left"/>
      <w:pPr>
        <w:tabs>
          <w:tab w:val="num" w:pos="1097"/>
        </w:tabs>
        <w:ind w:left="907" w:hanging="170"/>
      </w:pPr>
      <w:rPr>
        <w:rFonts w:ascii="Wingdings" w:hAnsi="Wingdings" w:hint="default"/>
        <w:color w:val="auto"/>
        <w:sz w:val="16"/>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3F7947A9"/>
    <w:multiLevelType w:val="multilevel"/>
    <w:tmpl w:val="96420FB0"/>
    <w:styleLink w:val="Lijstopsommingctrl5"/>
    <w:lvl w:ilvl="0">
      <w:start w:val="1"/>
      <w:numFmt w:val="bullet"/>
      <w:lvlText w:val="•"/>
      <w:lvlJc w:val="left"/>
      <w:pPr>
        <w:tabs>
          <w:tab w:val="num" w:pos="357"/>
        </w:tabs>
        <w:ind w:left="357" w:hanging="357"/>
      </w:pPr>
      <w:rPr>
        <w:rFonts w:ascii="Calibri" w:hAnsi="Calibri" w:hint="default"/>
        <w:sz w:val="18"/>
      </w:rPr>
    </w:lvl>
    <w:lvl w:ilvl="1">
      <w:start w:val="1"/>
      <w:numFmt w:val="bullet"/>
      <w:lvlText w:val="‐"/>
      <w:lvlJc w:val="left"/>
      <w:pPr>
        <w:tabs>
          <w:tab w:val="num" w:pos="720"/>
        </w:tabs>
        <w:ind w:left="720" w:hanging="363"/>
      </w:pPr>
      <w:rPr>
        <w:rFonts w:ascii="Calibri" w:hAnsi="Calibri" w:hint="default"/>
        <w:sz w:val="20"/>
      </w:rPr>
    </w:lvl>
    <w:lvl w:ilvl="2">
      <w:start w:val="1"/>
      <w:numFmt w:val="decimal"/>
      <w:lvlText w:val="%3."/>
      <w:lvlJc w:val="left"/>
      <w:pPr>
        <w:tabs>
          <w:tab w:val="num" w:pos="720"/>
        </w:tabs>
        <w:ind w:left="720" w:hanging="363"/>
      </w:pPr>
      <w:rPr>
        <w:rFonts w:ascii="Calibri" w:hAnsi="Calibri" w:cs="Times New Roman" w:hint="default"/>
        <w:sz w:val="20"/>
      </w:rPr>
    </w:lvl>
    <w:lvl w:ilvl="3">
      <w:start w:val="1"/>
      <w:numFmt w:val="lowerLetter"/>
      <w:lvlText w:val="%4."/>
      <w:lvlJc w:val="left"/>
      <w:pPr>
        <w:tabs>
          <w:tab w:val="num" w:pos="1077"/>
        </w:tabs>
        <w:ind w:left="1077" w:hanging="357"/>
      </w:pPr>
      <w:rPr>
        <w:rFonts w:ascii="Calibri" w:hAnsi="Calibri" w:cs="Times New Roman" w:hint="default"/>
        <w:b w:val="0"/>
        <w:i w:val="0"/>
        <w:color w:val="auto"/>
        <w:sz w:val="20"/>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
    <w:nsid w:val="4A915110"/>
    <w:multiLevelType w:val="singleLevel"/>
    <w:tmpl w:val="47D4FDE2"/>
    <w:lvl w:ilvl="0">
      <w:start w:val="1"/>
      <w:numFmt w:val="bullet"/>
      <w:pStyle w:val="Tabelops"/>
      <w:lvlText w:val="•"/>
      <w:lvlJc w:val="left"/>
      <w:pPr>
        <w:tabs>
          <w:tab w:val="num" w:pos="360"/>
        </w:tabs>
        <w:ind w:left="284" w:hanging="284"/>
      </w:pPr>
      <w:rPr>
        <w:rFonts w:ascii="Helvetica" w:hAnsi="Helvetica" w:hint="default"/>
      </w:rPr>
    </w:lvl>
  </w:abstractNum>
  <w:abstractNum w:abstractNumId="4">
    <w:nsid w:val="4B217E5F"/>
    <w:multiLevelType w:val="singleLevel"/>
    <w:tmpl w:val="62BAD462"/>
    <w:lvl w:ilvl="0">
      <w:start w:val="1"/>
      <w:numFmt w:val="bullet"/>
      <w:pStyle w:val="Lijstopsomteken"/>
      <w:lvlText w:val="•"/>
      <w:lvlJc w:val="left"/>
      <w:pPr>
        <w:tabs>
          <w:tab w:val="num" w:pos="360"/>
        </w:tabs>
        <w:ind w:left="340" w:hanging="340"/>
      </w:pPr>
      <w:rPr>
        <w:rFonts w:ascii="Arial" w:hAnsi="Arial" w:hint="default"/>
        <w:b w:val="0"/>
        <w:i w:val="0"/>
        <w:sz w:val="18"/>
      </w:rPr>
    </w:lvl>
  </w:abstractNum>
  <w:abstractNum w:abstractNumId="5">
    <w:nsid w:val="5BE641A8"/>
    <w:multiLevelType w:val="multilevel"/>
    <w:tmpl w:val="598CB414"/>
    <w:lvl w:ilvl="0">
      <w:start w:val="1"/>
      <w:numFmt w:val="decimal"/>
      <w:pStyle w:val="Kop1"/>
      <w:lvlText w:val="%1"/>
      <w:lvlJc w:val="left"/>
      <w:pPr>
        <w:ind w:left="432" w:hanging="432"/>
      </w:pPr>
      <w:rPr>
        <w:rFonts w:cs="Times New Roman"/>
      </w:rPr>
    </w:lvl>
    <w:lvl w:ilvl="1">
      <w:start w:val="1"/>
      <w:numFmt w:val="decimal"/>
      <w:pStyle w:val="Kop2"/>
      <w:lvlText w:val="%1.%2"/>
      <w:lvlJc w:val="left"/>
      <w:pPr>
        <w:ind w:left="576" w:hanging="576"/>
      </w:pPr>
      <w:rPr>
        <w:rFonts w:cs="Times New Roman"/>
      </w:rPr>
    </w:lvl>
    <w:lvl w:ilvl="2">
      <w:start w:val="1"/>
      <w:numFmt w:val="decimal"/>
      <w:pStyle w:val="Kop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69052BCC"/>
    <w:multiLevelType w:val="hybridMultilevel"/>
    <w:tmpl w:val="C3866C64"/>
    <w:lvl w:ilvl="0" w:tplc="ED24FC92">
      <w:start w:val="1"/>
      <w:numFmt w:val="decimal"/>
      <w:pStyle w:val="genummerdstandaard"/>
      <w:lvlText w:val="%1."/>
      <w:lvlJc w:val="left"/>
      <w:pPr>
        <w:tabs>
          <w:tab w:val="num" w:pos="510"/>
        </w:tabs>
        <w:ind w:left="510" w:hanging="397"/>
      </w:pPr>
      <w:rPr>
        <w:rFonts w:ascii="Arial" w:hAnsi="Arial" w:hint="default"/>
        <w:b w:val="0"/>
        <w:i w:val="0"/>
        <w:sz w:val="16"/>
      </w:rPr>
    </w:lvl>
    <w:lvl w:ilvl="1" w:tplc="04130019" w:tentative="1">
      <w:start w:val="1"/>
      <w:numFmt w:val="lowerLetter"/>
      <w:lvlText w:val="%2."/>
      <w:lvlJc w:val="left"/>
      <w:pPr>
        <w:tabs>
          <w:tab w:val="num" w:pos="532"/>
        </w:tabs>
        <w:ind w:left="532" w:hanging="360"/>
      </w:pPr>
    </w:lvl>
    <w:lvl w:ilvl="2" w:tplc="0413001B" w:tentative="1">
      <w:start w:val="1"/>
      <w:numFmt w:val="lowerRoman"/>
      <w:lvlText w:val="%3."/>
      <w:lvlJc w:val="right"/>
      <w:pPr>
        <w:tabs>
          <w:tab w:val="num" w:pos="1252"/>
        </w:tabs>
        <w:ind w:left="1252" w:hanging="180"/>
      </w:pPr>
    </w:lvl>
    <w:lvl w:ilvl="3" w:tplc="0413000F" w:tentative="1">
      <w:start w:val="1"/>
      <w:numFmt w:val="decimal"/>
      <w:lvlText w:val="%4."/>
      <w:lvlJc w:val="left"/>
      <w:pPr>
        <w:tabs>
          <w:tab w:val="num" w:pos="1972"/>
        </w:tabs>
        <w:ind w:left="1972" w:hanging="360"/>
      </w:pPr>
    </w:lvl>
    <w:lvl w:ilvl="4" w:tplc="04130019" w:tentative="1">
      <w:start w:val="1"/>
      <w:numFmt w:val="lowerLetter"/>
      <w:lvlText w:val="%5."/>
      <w:lvlJc w:val="left"/>
      <w:pPr>
        <w:tabs>
          <w:tab w:val="num" w:pos="2692"/>
        </w:tabs>
        <w:ind w:left="2692" w:hanging="360"/>
      </w:pPr>
    </w:lvl>
    <w:lvl w:ilvl="5" w:tplc="0413001B" w:tentative="1">
      <w:start w:val="1"/>
      <w:numFmt w:val="lowerRoman"/>
      <w:lvlText w:val="%6."/>
      <w:lvlJc w:val="right"/>
      <w:pPr>
        <w:tabs>
          <w:tab w:val="num" w:pos="3412"/>
        </w:tabs>
        <w:ind w:left="3412" w:hanging="180"/>
      </w:pPr>
    </w:lvl>
    <w:lvl w:ilvl="6" w:tplc="0413000F" w:tentative="1">
      <w:start w:val="1"/>
      <w:numFmt w:val="decimal"/>
      <w:lvlText w:val="%7."/>
      <w:lvlJc w:val="left"/>
      <w:pPr>
        <w:tabs>
          <w:tab w:val="num" w:pos="4132"/>
        </w:tabs>
        <w:ind w:left="4132" w:hanging="360"/>
      </w:pPr>
    </w:lvl>
    <w:lvl w:ilvl="7" w:tplc="04130019" w:tentative="1">
      <w:start w:val="1"/>
      <w:numFmt w:val="lowerLetter"/>
      <w:lvlText w:val="%8."/>
      <w:lvlJc w:val="left"/>
      <w:pPr>
        <w:tabs>
          <w:tab w:val="num" w:pos="4852"/>
        </w:tabs>
        <w:ind w:left="4852" w:hanging="360"/>
      </w:pPr>
    </w:lvl>
    <w:lvl w:ilvl="8" w:tplc="0413001B" w:tentative="1">
      <w:start w:val="1"/>
      <w:numFmt w:val="lowerRoman"/>
      <w:lvlText w:val="%9."/>
      <w:lvlJc w:val="right"/>
      <w:pPr>
        <w:tabs>
          <w:tab w:val="num" w:pos="5572"/>
        </w:tabs>
        <w:ind w:left="5572" w:hanging="180"/>
      </w:pPr>
    </w:lvl>
  </w:abstractNum>
  <w:abstractNum w:abstractNumId="7">
    <w:nsid w:val="6A0470F7"/>
    <w:multiLevelType w:val="hybridMultilevel"/>
    <w:tmpl w:val="493250E0"/>
    <w:lvl w:ilvl="0" w:tplc="2B780594">
      <w:numFmt w:val="bullet"/>
      <w:lvlText w:val="-"/>
      <w:lvlJc w:val="left"/>
      <w:pPr>
        <w:ind w:left="473" w:hanging="360"/>
      </w:pPr>
      <w:rPr>
        <w:rFonts w:ascii="Calibri" w:eastAsia="Times New Roman" w:hAnsi="Calibri" w:cs="Times New Roman"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8">
    <w:nsid w:val="6F1B38B1"/>
    <w:multiLevelType w:val="multilevel"/>
    <w:tmpl w:val="A51A60B0"/>
    <w:lvl w:ilvl="0">
      <w:start w:val="1"/>
      <w:numFmt w:val="upperLetter"/>
      <w:pStyle w:val="BijlageKop1"/>
      <w:lvlText w:val="%1"/>
      <w:lvlJc w:val="left"/>
      <w:pPr>
        <w:ind w:left="680" w:hanging="680"/>
      </w:pPr>
      <w:rPr>
        <w:rFonts w:cs="Times New Roman" w:hint="default"/>
      </w:rPr>
    </w:lvl>
    <w:lvl w:ilvl="1">
      <w:start w:val="1"/>
      <w:numFmt w:val="decimal"/>
      <w:pStyle w:val="BijlageKop2"/>
      <w:lvlText w:val="%1%2."/>
      <w:lvlJc w:val="left"/>
      <w:pPr>
        <w:ind w:left="680" w:hanging="680"/>
      </w:pPr>
      <w:rPr>
        <w:rFonts w:cs="Times New Roman" w:hint="default"/>
      </w:rPr>
    </w:lvl>
    <w:lvl w:ilvl="2">
      <w:start w:val="1"/>
      <w:numFmt w:val="decimal"/>
      <w:lvlText w:val="%1.%2.%3"/>
      <w:lvlJc w:val="left"/>
      <w:pPr>
        <w:ind w:left="680" w:hanging="680"/>
      </w:pPr>
      <w:rPr>
        <w:rFonts w:cs="Times New Roman" w:hint="default"/>
      </w:rPr>
    </w:lvl>
    <w:lvl w:ilvl="3">
      <w:start w:val="1"/>
      <w:numFmt w:val="decimal"/>
      <w:lvlText w:val="%1.%2.%3.%4"/>
      <w:lvlJc w:val="left"/>
      <w:pPr>
        <w:ind w:left="680" w:hanging="680"/>
      </w:pPr>
      <w:rPr>
        <w:rFonts w:cs="Times New Roman" w:hint="default"/>
      </w:rPr>
    </w:lvl>
    <w:lvl w:ilvl="4">
      <w:start w:val="1"/>
      <w:numFmt w:val="decimal"/>
      <w:lvlText w:val="%1.%2.%3.%4.%5"/>
      <w:lvlJc w:val="left"/>
      <w:pPr>
        <w:ind w:left="680" w:hanging="680"/>
      </w:pPr>
      <w:rPr>
        <w:rFonts w:cs="Times New Roman" w:hint="default"/>
      </w:rPr>
    </w:lvl>
    <w:lvl w:ilvl="5">
      <w:start w:val="1"/>
      <w:numFmt w:val="decimal"/>
      <w:lvlText w:val="%1.%2.%3.%4.%5.%6"/>
      <w:lvlJc w:val="left"/>
      <w:pPr>
        <w:ind w:left="680" w:hanging="680"/>
      </w:pPr>
      <w:rPr>
        <w:rFonts w:cs="Times New Roman" w:hint="default"/>
      </w:rPr>
    </w:lvl>
    <w:lvl w:ilvl="6">
      <w:start w:val="1"/>
      <w:numFmt w:val="decimal"/>
      <w:lvlText w:val="%1.%2.%3.%4.%5.%6.%7"/>
      <w:lvlJc w:val="left"/>
      <w:pPr>
        <w:ind w:left="680" w:hanging="680"/>
      </w:pPr>
      <w:rPr>
        <w:rFonts w:cs="Times New Roman" w:hint="default"/>
      </w:rPr>
    </w:lvl>
    <w:lvl w:ilvl="7">
      <w:start w:val="1"/>
      <w:numFmt w:val="decimal"/>
      <w:lvlText w:val="%1.%2.%3.%4.%5.%6.%7.%8"/>
      <w:lvlJc w:val="left"/>
      <w:pPr>
        <w:ind w:left="680" w:hanging="680"/>
      </w:pPr>
      <w:rPr>
        <w:rFonts w:cs="Times New Roman" w:hint="default"/>
      </w:rPr>
    </w:lvl>
    <w:lvl w:ilvl="8">
      <w:start w:val="1"/>
      <w:numFmt w:val="decimal"/>
      <w:lvlText w:val="%1.%2.%3.%4.%5.%6.%7.%8.%9"/>
      <w:lvlJc w:val="left"/>
      <w:pPr>
        <w:ind w:left="680" w:hanging="680"/>
      </w:pPr>
      <w:rPr>
        <w:rFonts w:cs="Times New Roman" w:hint="default"/>
      </w:rPr>
    </w:lvl>
  </w:abstractNum>
  <w:abstractNum w:abstractNumId="9">
    <w:nsid w:val="713F4262"/>
    <w:multiLevelType w:val="multilevel"/>
    <w:tmpl w:val="3D100D44"/>
    <w:styleLink w:val="Lijstgenummerdctrl6"/>
    <w:lvl w:ilvl="0">
      <w:start w:val="1"/>
      <w:numFmt w:val="decimal"/>
      <w:lvlText w:val="%1."/>
      <w:lvlJc w:val="left"/>
      <w:pPr>
        <w:tabs>
          <w:tab w:val="num" w:pos="357"/>
        </w:tabs>
        <w:ind w:left="357" w:hanging="357"/>
      </w:pPr>
      <w:rPr>
        <w:rFonts w:cs="Times New Roman" w:hint="default"/>
        <w:kern w:val="20"/>
        <w:sz w:val="20"/>
      </w:rPr>
    </w:lvl>
    <w:lvl w:ilvl="1">
      <w:start w:val="1"/>
      <w:numFmt w:val="lowerLetter"/>
      <w:lvlText w:val="%2."/>
      <w:lvlJc w:val="left"/>
      <w:pPr>
        <w:tabs>
          <w:tab w:val="num" w:pos="720"/>
        </w:tabs>
        <w:ind w:left="720" w:hanging="363"/>
      </w:pPr>
      <w:rPr>
        <w:rFonts w:ascii="Calibri" w:hAnsi="Calibri" w:cs="Times New Roman" w:hint="default"/>
        <w:b w:val="0"/>
        <w:i w:val="0"/>
        <w:sz w:val="20"/>
      </w:rPr>
    </w:lvl>
    <w:lvl w:ilvl="2">
      <w:start w:val="1"/>
      <w:numFmt w:val="bullet"/>
      <w:lvlText w:val="•"/>
      <w:lvlJc w:val="left"/>
      <w:pPr>
        <w:tabs>
          <w:tab w:val="num" w:pos="720"/>
        </w:tabs>
        <w:ind w:left="720" w:hanging="363"/>
      </w:pPr>
      <w:rPr>
        <w:rFonts w:ascii="Calibri" w:hAnsi="Calibri" w:hint="default"/>
        <w:sz w:val="18"/>
      </w:rPr>
    </w:lvl>
    <w:lvl w:ilvl="3">
      <w:start w:val="1"/>
      <w:numFmt w:val="bullet"/>
      <w:lvlText w:val="›"/>
      <w:lvlJc w:val="left"/>
      <w:pPr>
        <w:tabs>
          <w:tab w:val="num" w:pos="1077"/>
        </w:tabs>
        <w:ind w:left="1077" w:hanging="357"/>
      </w:pPr>
      <w:rPr>
        <w:rFonts w:ascii="Calibri" w:hAnsi="Calibri"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num w:numId="1">
    <w:abstractNumId w:val="8"/>
  </w:num>
  <w:num w:numId="2">
    <w:abstractNumId w:val="5"/>
  </w:num>
  <w:num w:numId="3">
    <w:abstractNumId w:val="9"/>
  </w:num>
  <w:num w:numId="4">
    <w:abstractNumId w:val="2"/>
  </w:num>
  <w:num w:numId="5">
    <w:abstractNumId w:val="4"/>
  </w:num>
  <w:num w:numId="6">
    <w:abstractNumId w:val="3"/>
  </w:num>
  <w:num w:numId="7">
    <w:abstractNumId w:val="1"/>
  </w:num>
  <w:num w:numId="8">
    <w:abstractNumId w:val="6"/>
  </w:num>
  <w:num w:numId="9">
    <w:abstractNumId w:val="0"/>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8FA"/>
    <w:rsid w:val="00004710"/>
    <w:rsid w:val="000054E9"/>
    <w:rsid w:val="00016D1C"/>
    <w:rsid w:val="000219C1"/>
    <w:rsid w:val="00022228"/>
    <w:rsid w:val="00033328"/>
    <w:rsid w:val="000365B7"/>
    <w:rsid w:val="000521CF"/>
    <w:rsid w:val="000615A1"/>
    <w:rsid w:val="000655D5"/>
    <w:rsid w:val="00072899"/>
    <w:rsid w:val="00072FC3"/>
    <w:rsid w:val="00091521"/>
    <w:rsid w:val="000955B8"/>
    <w:rsid w:val="000B4C34"/>
    <w:rsid w:val="000C4218"/>
    <w:rsid w:val="000D2F6E"/>
    <w:rsid w:val="000D30A6"/>
    <w:rsid w:val="000D4ECD"/>
    <w:rsid w:val="000E5FD2"/>
    <w:rsid w:val="000F0835"/>
    <w:rsid w:val="000F2685"/>
    <w:rsid w:val="000F2C5B"/>
    <w:rsid w:val="000F72E5"/>
    <w:rsid w:val="00103AA4"/>
    <w:rsid w:val="00105868"/>
    <w:rsid w:val="001165B1"/>
    <w:rsid w:val="001278A1"/>
    <w:rsid w:val="001315BE"/>
    <w:rsid w:val="00143CC7"/>
    <w:rsid w:val="00162B91"/>
    <w:rsid w:val="0018130A"/>
    <w:rsid w:val="0018450C"/>
    <w:rsid w:val="00192DDC"/>
    <w:rsid w:val="00193400"/>
    <w:rsid w:val="001951C8"/>
    <w:rsid w:val="001A7739"/>
    <w:rsid w:val="001C64C0"/>
    <w:rsid w:val="001D1484"/>
    <w:rsid w:val="001D2DFD"/>
    <w:rsid w:val="001D4880"/>
    <w:rsid w:val="001E0262"/>
    <w:rsid w:val="001E3735"/>
    <w:rsid w:val="001E46D2"/>
    <w:rsid w:val="001E6DA5"/>
    <w:rsid w:val="001F643D"/>
    <w:rsid w:val="001F66D0"/>
    <w:rsid w:val="00203F5E"/>
    <w:rsid w:val="0020428D"/>
    <w:rsid w:val="00205437"/>
    <w:rsid w:val="002055E5"/>
    <w:rsid w:val="002067B2"/>
    <w:rsid w:val="00210706"/>
    <w:rsid w:val="00211949"/>
    <w:rsid w:val="00214471"/>
    <w:rsid w:val="0021537F"/>
    <w:rsid w:val="00224D8C"/>
    <w:rsid w:val="00231F80"/>
    <w:rsid w:val="002407F3"/>
    <w:rsid w:val="00241616"/>
    <w:rsid w:val="00252B89"/>
    <w:rsid w:val="00257A28"/>
    <w:rsid w:val="00260192"/>
    <w:rsid w:val="00275A5B"/>
    <w:rsid w:val="002906C1"/>
    <w:rsid w:val="00292522"/>
    <w:rsid w:val="002A15A2"/>
    <w:rsid w:val="002A4539"/>
    <w:rsid w:val="002A4C84"/>
    <w:rsid w:val="002B54A9"/>
    <w:rsid w:val="002B5E7A"/>
    <w:rsid w:val="002C3F74"/>
    <w:rsid w:val="002C705F"/>
    <w:rsid w:val="002D1186"/>
    <w:rsid w:val="002E5B77"/>
    <w:rsid w:val="002F03F2"/>
    <w:rsid w:val="002F2686"/>
    <w:rsid w:val="003042B9"/>
    <w:rsid w:val="003065B5"/>
    <w:rsid w:val="003101F5"/>
    <w:rsid w:val="00312636"/>
    <w:rsid w:val="003234A6"/>
    <w:rsid w:val="00326DAB"/>
    <w:rsid w:val="00333706"/>
    <w:rsid w:val="0033697A"/>
    <w:rsid w:val="00344FF0"/>
    <w:rsid w:val="00354EAE"/>
    <w:rsid w:val="0036239A"/>
    <w:rsid w:val="00365DEB"/>
    <w:rsid w:val="003664E4"/>
    <w:rsid w:val="00367CF9"/>
    <w:rsid w:val="00367D97"/>
    <w:rsid w:val="0037177F"/>
    <w:rsid w:val="0037396A"/>
    <w:rsid w:val="00392949"/>
    <w:rsid w:val="003953FC"/>
    <w:rsid w:val="003A4089"/>
    <w:rsid w:val="003C0C6C"/>
    <w:rsid w:val="003C0FF0"/>
    <w:rsid w:val="003C740B"/>
    <w:rsid w:val="003D6941"/>
    <w:rsid w:val="003E2B0F"/>
    <w:rsid w:val="003E5443"/>
    <w:rsid w:val="003F54B5"/>
    <w:rsid w:val="003F65C8"/>
    <w:rsid w:val="003F69DD"/>
    <w:rsid w:val="00401184"/>
    <w:rsid w:val="00420029"/>
    <w:rsid w:val="00444DDA"/>
    <w:rsid w:val="0045525E"/>
    <w:rsid w:val="00456A5D"/>
    <w:rsid w:val="00457B6C"/>
    <w:rsid w:val="00464D07"/>
    <w:rsid w:val="00494C27"/>
    <w:rsid w:val="0049601E"/>
    <w:rsid w:val="0049651B"/>
    <w:rsid w:val="004A151F"/>
    <w:rsid w:val="004B4E2F"/>
    <w:rsid w:val="004B5D72"/>
    <w:rsid w:val="004D06F5"/>
    <w:rsid w:val="004D0CEC"/>
    <w:rsid w:val="004E3364"/>
    <w:rsid w:val="004F09B2"/>
    <w:rsid w:val="004F60B4"/>
    <w:rsid w:val="00510798"/>
    <w:rsid w:val="00510FFD"/>
    <w:rsid w:val="00512CDD"/>
    <w:rsid w:val="00522C2A"/>
    <w:rsid w:val="00524087"/>
    <w:rsid w:val="005423DE"/>
    <w:rsid w:val="00544DA8"/>
    <w:rsid w:val="00551897"/>
    <w:rsid w:val="00553F67"/>
    <w:rsid w:val="00555E81"/>
    <w:rsid w:val="00557D11"/>
    <w:rsid w:val="0057099B"/>
    <w:rsid w:val="00571CD5"/>
    <w:rsid w:val="00572580"/>
    <w:rsid w:val="00580B5B"/>
    <w:rsid w:val="00585962"/>
    <w:rsid w:val="0058635D"/>
    <w:rsid w:val="00595B6A"/>
    <w:rsid w:val="005A08A3"/>
    <w:rsid w:val="005A32CC"/>
    <w:rsid w:val="005A5344"/>
    <w:rsid w:val="005A5C44"/>
    <w:rsid w:val="005A7FF3"/>
    <w:rsid w:val="005B1D9F"/>
    <w:rsid w:val="005B3678"/>
    <w:rsid w:val="005B4282"/>
    <w:rsid w:val="005C094E"/>
    <w:rsid w:val="005E6BA5"/>
    <w:rsid w:val="005E79CE"/>
    <w:rsid w:val="00604535"/>
    <w:rsid w:val="006067EA"/>
    <w:rsid w:val="00610E79"/>
    <w:rsid w:val="00613109"/>
    <w:rsid w:val="006135B2"/>
    <w:rsid w:val="00623399"/>
    <w:rsid w:val="0062741D"/>
    <w:rsid w:val="00632277"/>
    <w:rsid w:val="00632808"/>
    <w:rsid w:val="006364D2"/>
    <w:rsid w:val="00646697"/>
    <w:rsid w:val="0065197B"/>
    <w:rsid w:val="00655C5F"/>
    <w:rsid w:val="00656E46"/>
    <w:rsid w:val="00660553"/>
    <w:rsid w:val="00660D3C"/>
    <w:rsid w:val="00663F57"/>
    <w:rsid w:val="00665976"/>
    <w:rsid w:val="00675DC4"/>
    <w:rsid w:val="0067603F"/>
    <w:rsid w:val="00693E71"/>
    <w:rsid w:val="006A5B7A"/>
    <w:rsid w:val="006A75B9"/>
    <w:rsid w:val="006B004E"/>
    <w:rsid w:val="006B162E"/>
    <w:rsid w:val="006C0EED"/>
    <w:rsid w:val="006C1EE1"/>
    <w:rsid w:val="006C6F29"/>
    <w:rsid w:val="006C71D2"/>
    <w:rsid w:val="006D0A98"/>
    <w:rsid w:val="006E3246"/>
    <w:rsid w:val="006E4555"/>
    <w:rsid w:val="006E7484"/>
    <w:rsid w:val="006F1D0E"/>
    <w:rsid w:val="0070595C"/>
    <w:rsid w:val="00705B5D"/>
    <w:rsid w:val="00712196"/>
    <w:rsid w:val="007144E9"/>
    <w:rsid w:val="00717A7B"/>
    <w:rsid w:val="00721DBC"/>
    <w:rsid w:val="007350B0"/>
    <w:rsid w:val="007527F2"/>
    <w:rsid w:val="00752ABC"/>
    <w:rsid w:val="00755E29"/>
    <w:rsid w:val="00767F2D"/>
    <w:rsid w:val="0077032A"/>
    <w:rsid w:val="00771DCD"/>
    <w:rsid w:val="00777ADE"/>
    <w:rsid w:val="00777D39"/>
    <w:rsid w:val="007831E9"/>
    <w:rsid w:val="00784717"/>
    <w:rsid w:val="00784981"/>
    <w:rsid w:val="007904A0"/>
    <w:rsid w:val="00791C76"/>
    <w:rsid w:val="007A229F"/>
    <w:rsid w:val="007A2CC0"/>
    <w:rsid w:val="007B14DC"/>
    <w:rsid w:val="007C247F"/>
    <w:rsid w:val="007C4B4D"/>
    <w:rsid w:val="007D5DA5"/>
    <w:rsid w:val="007E5BDD"/>
    <w:rsid w:val="007F7D49"/>
    <w:rsid w:val="008012C3"/>
    <w:rsid w:val="008012FF"/>
    <w:rsid w:val="00803629"/>
    <w:rsid w:val="008122CB"/>
    <w:rsid w:val="00815E37"/>
    <w:rsid w:val="00817884"/>
    <w:rsid w:val="00821F6C"/>
    <w:rsid w:val="00843E68"/>
    <w:rsid w:val="00847266"/>
    <w:rsid w:val="00856289"/>
    <w:rsid w:val="00860752"/>
    <w:rsid w:val="008668A0"/>
    <w:rsid w:val="008702A8"/>
    <w:rsid w:val="00874A34"/>
    <w:rsid w:val="00882F1A"/>
    <w:rsid w:val="00884EDE"/>
    <w:rsid w:val="00887D5A"/>
    <w:rsid w:val="00891D24"/>
    <w:rsid w:val="00892A26"/>
    <w:rsid w:val="00896EC8"/>
    <w:rsid w:val="008A1CE1"/>
    <w:rsid w:val="008A3AAC"/>
    <w:rsid w:val="008B064F"/>
    <w:rsid w:val="008C01A2"/>
    <w:rsid w:val="008C789B"/>
    <w:rsid w:val="008D7258"/>
    <w:rsid w:val="008E2B2F"/>
    <w:rsid w:val="008F4CE6"/>
    <w:rsid w:val="00900C64"/>
    <w:rsid w:val="00921661"/>
    <w:rsid w:val="00922B2D"/>
    <w:rsid w:val="00926E60"/>
    <w:rsid w:val="00942372"/>
    <w:rsid w:val="00944DF3"/>
    <w:rsid w:val="00951634"/>
    <w:rsid w:val="00963521"/>
    <w:rsid w:val="0097289F"/>
    <w:rsid w:val="0098184C"/>
    <w:rsid w:val="009828DF"/>
    <w:rsid w:val="009921C6"/>
    <w:rsid w:val="009A4738"/>
    <w:rsid w:val="009A7276"/>
    <w:rsid w:val="009C6217"/>
    <w:rsid w:val="009E4297"/>
    <w:rsid w:val="009E59B5"/>
    <w:rsid w:val="009E5BB7"/>
    <w:rsid w:val="009E625B"/>
    <w:rsid w:val="009F3B71"/>
    <w:rsid w:val="009F3BF9"/>
    <w:rsid w:val="00A02BF7"/>
    <w:rsid w:val="00A1526B"/>
    <w:rsid w:val="00A152E5"/>
    <w:rsid w:val="00A2482D"/>
    <w:rsid w:val="00A31ACC"/>
    <w:rsid w:val="00A4450E"/>
    <w:rsid w:val="00A46178"/>
    <w:rsid w:val="00A52685"/>
    <w:rsid w:val="00A567F8"/>
    <w:rsid w:val="00A67645"/>
    <w:rsid w:val="00A8211F"/>
    <w:rsid w:val="00A82603"/>
    <w:rsid w:val="00A83585"/>
    <w:rsid w:val="00A835EC"/>
    <w:rsid w:val="00A93BDA"/>
    <w:rsid w:val="00A955DB"/>
    <w:rsid w:val="00AA5485"/>
    <w:rsid w:val="00AA7D95"/>
    <w:rsid w:val="00AB1851"/>
    <w:rsid w:val="00AB1E2D"/>
    <w:rsid w:val="00AB772F"/>
    <w:rsid w:val="00AC1C36"/>
    <w:rsid w:val="00AC797C"/>
    <w:rsid w:val="00AE1A0A"/>
    <w:rsid w:val="00AE4113"/>
    <w:rsid w:val="00AF4ABE"/>
    <w:rsid w:val="00AF6FDC"/>
    <w:rsid w:val="00B052F5"/>
    <w:rsid w:val="00B05399"/>
    <w:rsid w:val="00B10E13"/>
    <w:rsid w:val="00B16F71"/>
    <w:rsid w:val="00B2538C"/>
    <w:rsid w:val="00B26A83"/>
    <w:rsid w:val="00B321C4"/>
    <w:rsid w:val="00B3563E"/>
    <w:rsid w:val="00B41DAC"/>
    <w:rsid w:val="00B54232"/>
    <w:rsid w:val="00B55A83"/>
    <w:rsid w:val="00B55D2C"/>
    <w:rsid w:val="00B617C1"/>
    <w:rsid w:val="00B62F6D"/>
    <w:rsid w:val="00B65240"/>
    <w:rsid w:val="00B65C53"/>
    <w:rsid w:val="00B73C06"/>
    <w:rsid w:val="00B76BB1"/>
    <w:rsid w:val="00B77067"/>
    <w:rsid w:val="00B8479E"/>
    <w:rsid w:val="00B86A94"/>
    <w:rsid w:val="00B86B87"/>
    <w:rsid w:val="00B9448E"/>
    <w:rsid w:val="00BB2727"/>
    <w:rsid w:val="00BC1879"/>
    <w:rsid w:val="00BD09C9"/>
    <w:rsid w:val="00BD39B0"/>
    <w:rsid w:val="00BE2E49"/>
    <w:rsid w:val="00BF49A8"/>
    <w:rsid w:val="00BF66B5"/>
    <w:rsid w:val="00C07DAB"/>
    <w:rsid w:val="00C12BDC"/>
    <w:rsid w:val="00C15D41"/>
    <w:rsid w:val="00C20D1D"/>
    <w:rsid w:val="00C24A03"/>
    <w:rsid w:val="00C32220"/>
    <w:rsid w:val="00C37CF1"/>
    <w:rsid w:val="00C42BC3"/>
    <w:rsid w:val="00C434CC"/>
    <w:rsid w:val="00C47BE9"/>
    <w:rsid w:val="00C505FF"/>
    <w:rsid w:val="00C5200F"/>
    <w:rsid w:val="00C62B5E"/>
    <w:rsid w:val="00C62E26"/>
    <w:rsid w:val="00C643B6"/>
    <w:rsid w:val="00C645CF"/>
    <w:rsid w:val="00C76103"/>
    <w:rsid w:val="00C77670"/>
    <w:rsid w:val="00C80932"/>
    <w:rsid w:val="00C8647A"/>
    <w:rsid w:val="00C921E2"/>
    <w:rsid w:val="00C93D58"/>
    <w:rsid w:val="00CB2215"/>
    <w:rsid w:val="00CC1BE4"/>
    <w:rsid w:val="00CD31D6"/>
    <w:rsid w:val="00CE0820"/>
    <w:rsid w:val="00CE1597"/>
    <w:rsid w:val="00CE69A4"/>
    <w:rsid w:val="00CF0BA6"/>
    <w:rsid w:val="00D01D7B"/>
    <w:rsid w:val="00D03586"/>
    <w:rsid w:val="00D04595"/>
    <w:rsid w:val="00D047F3"/>
    <w:rsid w:val="00D06073"/>
    <w:rsid w:val="00D12969"/>
    <w:rsid w:val="00D1792D"/>
    <w:rsid w:val="00D31FCB"/>
    <w:rsid w:val="00D33EF6"/>
    <w:rsid w:val="00D34DA9"/>
    <w:rsid w:val="00D51DD5"/>
    <w:rsid w:val="00D53246"/>
    <w:rsid w:val="00D54291"/>
    <w:rsid w:val="00D54978"/>
    <w:rsid w:val="00D81A1F"/>
    <w:rsid w:val="00D85E69"/>
    <w:rsid w:val="00D87207"/>
    <w:rsid w:val="00DA0178"/>
    <w:rsid w:val="00DB4E23"/>
    <w:rsid w:val="00DC15EC"/>
    <w:rsid w:val="00DC48A2"/>
    <w:rsid w:val="00DD35A2"/>
    <w:rsid w:val="00DD4CE2"/>
    <w:rsid w:val="00DD7D96"/>
    <w:rsid w:val="00DD7F78"/>
    <w:rsid w:val="00DE0213"/>
    <w:rsid w:val="00DE0319"/>
    <w:rsid w:val="00DF5EDF"/>
    <w:rsid w:val="00E0006A"/>
    <w:rsid w:val="00E061E2"/>
    <w:rsid w:val="00E153E7"/>
    <w:rsid w:val="00E170C0"/>
    <w:rsid w:val="00E21362"/>
    <w:rsid w:val="00E25A3E"/>
    <w:rsid w:val="00E27C34"/>
    <w:rsid w:val="00E57D62"/>
    <w:rsid w:val="00E64432"/>
    <w:rsid w:val="00E6684D"/>
    <w:rsid w:val="00E72642"/>
    <w:rsid w:val="00E730DF"/>
    <w:rsid w:val="00E76BED"/>
    <w:rsid w:val="00E818E4"/>
    <w:rsid w:val="00E91919"/>
    <w:rsid w:val="00E951D3"/>
    <w:rsid w:val="00E96451"/>
    <w:rsid w:val="00E975C8"/>
    <w:rsid w:val="00EA4E91"/>
    <w:rsid w:val="00EA5EF3"/>
    <w:rsid w:val="00EB3876"/>
    <w:rsid w:val="00EB597C"/>
    <w:rsid w:val="00ED29D9"/>
    <w:rsid w:val="00ED5C2D"/>
    <w:rsid w:val="00EE28BF"/>
    <w:rsid w:val="00EE28FA"/>
    <w:rsid w:val="00EE3A36"/>
    <w:rsid w:val="00EE6F90"/>
    <w:rsid w:val="00EF223E"/>
    <w:rsid w:val="00F05FF4"/>
    <w:rsid w:val="00F10B51"/>
    <w:rsid w:val="00F1397B"/>
    <w:rsid w:val="00F237BA"/>
    <w:rsid w:val="00F24B7D"/>
    <w:rsid w:val="00F253C0"/>
    <w:rsid w:val="00F27C80"/>
    <w:rsid w:val="00F3018D"/>
    <w:rsid w:val="00F402E0"/>
    <w:rsid w:val="00F40BB9"/>
    <w:rsid w:val="00F42B7B"/>
    <w:rsid w:val="00F45121"/>
    <w:rsid w:val="00F50518"/>
    <w:rsid w:val="00F5295E"/>
    <w:rsid w:val="00F53A5C"/>
    <w:rsid w:val="00F613C1"/>
    <w:rsid w:val="00F62FC6"/>
    <w:rsid w:val="00F64860"/>
    <w:rsid w:val="00F70801"/>
    <w:rsid w:val="00F731C9"/>
    <w:rsid w:val="00F733FE"/>
    <w:rsid w:val="00F77DFE"/>
    <w:rsid w:val="00F823A5"/>
    <w:rsid w:val="00F92366"/>
    <w:rsid w:val="00FA3895"/>
    <w:rsid w:val="00FC7689"/>
    <w:rsid w:val="00FC784E"/>
    <w:rsid w:val="00FD4D5C"/>
    <w:rsid w:val="00FE183B"/>
    <w:rsid w:val="00FE6CEF"/>
    <w:rsid w:val="00FF25A0"/>
    <w:rsid w:val="00FF4878"/>
    <w:rsid w:val="00FF4DDE"/>
    <w:rsid w:val="00FF758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BE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0B51"/>
    <w:pPr>
      <w:spacing w:line="300" w:lineRule="atLeast"/>
    </w:pPr>
    <w:rPr>
      <w:rFonts w:ascii="Calibri" w:hAnsi="Calibri"/>
    </w:rPr>
  </w:style>
  <w:style w:type="paragraph" w:styleId="Kop1">
    <w:name w:val="heading 1"/>
    <w:aliases w:val="Hoofdstuk,Hoofdstuk-kop,k1,heading 1"/>
    <w:basedOn w:val="Standaard"/>
    <w:next w:val="Standaard"/>
    <w:qFormat/>
    <w:rsid w:val="00705B5D"/>
    <w:pPr>
      <w:keepNext/>
      <w:pageBreakBefore/>
      <w:numPr>
        <w:numId w:val="2"/>
      </w:numPr>
      <w:spacing w:after="360" w:line="320" w:lineRule="atLeast"/>
      <w:outlineLvl w:val="0"/>
    </w:pPr>
    <w:rPr>
      <w:b/>
      <w:bCs/>
      <w:caps/>
      <w:color w:val="009EAD"/>
      <w:kern w:val="32"/>
      <w:sz w:val="30"/>
      <w:szCs w:val="32"/>
    </w:rPr>
  </w:style>
  <w:style w:type="paragraph" w:styleId="Kop2">
    <w:name w:val="heading 2"/>
    <w:aliases w:val="Paragraaf,k2,h2,2scr,H2,Paragrf 2,1.1Heading 2,Head 2,l2"/>
    <w:basedOn w:val="Kop1"/>
    <w:next w:val="Standaard"/>
    <w:qFormat/>
    <w:rsid w:val="00705B5D"/>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H3,Section,Org Heading 1,h1,H31,h3,l3,Level 3 Topic Heading,h31,Level 3 Topic Heading1,Sub-paragraaf1,subparagraaf titel,3scr,Kop 3 Char1,Kop 3 Char Char,Kop 3 Char1 Char Char,Kop 3 Char Char Char Char,Paragrf 3,Level 1 - 1"/>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Kop 4+tab"/>
    <w:basedOn w:val="Standaard"/>
    <w:next w:val="Standaard"/>
    <w:link w:val="Kop4Char"/>
    <w:qFormat/>
    <w:rsid w:val="00F10B51"/>
    <w:pPr>
      <w:keepNext/>
      <w:spacing w:before="240"/>
      <w:outlineLvl w:val="3"/>
    </w:pPr>
    <w:rPr>
      <w:bCs/>
      <w:caps/>
      <w:color w:val="009EAD"/>
      <w:szCs w:val="28"/>
    </w:rPr>
  </w:style>
  <w:style w:type="paragraph" w:styleId="Kop5">
    <w:name w:val="heading 5"/>
    <w:basedOn w:val="Standaard"/>
    <w:next w:val="Standaard"/>
    <w:qFormat/>
    <w:rsid w:val="00EF223E"/>
    <w:pPr>
      <w:spacing w:before="240" w:after="60" w:line="280" w:lineRule="exact"/>
      <w:ind w:left="1008" w:hanging="1008"/>
      <w:outlineLvl w:val="4"/>
    </w:pPr>
    <w:rPr>
      <w:b/>
      <w:bCs/>
      <w:i/>
      <w:iCs/>
      <w:kern w:val="28"/>
      <w:sz w:val="26"/>
      <w:szCs w:val="26"/>
    </w:rPr>
  </w:style>
  <w:style w:type="paragraph" w:styleId="Kop6">
    <w:name w:val="heading 6"/>
    <w:basedOn w:val="Standaard"/>
    <w:next w:val="Standaard"/>
    <w:qFormat/>
    <w:rsid w:val="00EF223E"/>
    <w:pPr>
      <w:spacing w:before="240" w:after="60" w:line="280" w:lineRule="exact"/>
      <w:ind w:left="1152" w:hanging="1152"/>
      <w:outlineLvl w:val="5"/>
    </w:pPr>
    <w:rPr>
      <w:b/>
      <w:bCs/>
      <w:kern w:val="28"/>
      <w:sz w:val="22"/>
      <w:szCs w:val="22"/>
    </w:rPr>
  </w:style>
  <w:style w:type="paragraph" w:styleId="Kop7">
    <w:name w:val="heading 7"/>
    <w:basedOn w:val="Standaard"/>
    <w:next w:val="Standaard"/>
    <w:qFormat/>
    <w:rsid w:val="00EF223E"/>
    <w:pPr>
      <w:spacing w:before="240" w:after="60" w:line="280" w:lineRule="exact"/>
      <w:ind w:left="1296" w:hanging="1296"/>
      <w:outlineLvl w:val="6"/>
    </w:pPr>
    <w:rPr>
      <w:kern w:val="28"/>
      <w:sz w:val="24"/>
      <w:szCs w:val="24"/>
    </w:rPr>
  </w:style>
  <w:style w:type="paragraph" w:styleId="Kop8">
    <w:name w:val="heading 8"/>
    <w:aliases w:val="Kop 4 zonder titel"/>
    <w:basedOn w:val="Standaard"/>
    <w:next w:val="Standaard"/>
    <w:qFormat/>
    <w:rsid w:val="00EF223E"/>
    <w:pPr>
      <w:spacing w:before="240" w:after="60" w:line="280" w:lineRule="exact"/>
      <w:ind w:left="1440" w:hanging="1440"/>
      <w:outlineLvl w:val="7"/>
    </w:pPr>
    <w:rPr>
      <w:i/>
      <w:iCs/>
      <w:kern w:val="28"/>
      <w:sz w:val="24"/>
      <w:szCs w:val="24"/>
    </w:rPr>
  </w:style>
  <w:style w:type="paragraph" w:styleId="Kop9">
    <w:name w:val="heading 9"/>
    <w:aliases w:val="(appendix), (appendix)"/>
    <w:basedOn w:val="Standaard"/>
    <w:next w:val="Standaard"/>
    <w:link w:val="Kop9Char"/>
    <w:qFormat/>
    <w:rsid w:val="00EF223E"/>
    <w:pPr>
      <w:spacing w:before="240" w:after="60" w:line="280" w:lineRule="exact"/>
      <w:ind w:left="1584" w:hanging="1584"/>
      <w:outlineLvl w:val="8"/>
    </w:pPr>
    <w:rPr>
      <w:rFonts w:ascii="Cambria" w:hAnsi="Cambria"/>
      <w:kern w:val="2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rsid w:val="00705B5D"/>
    <w:pPr>
      <w:numPr>
        <w:numId w:val="1"/>
      </w:numPr>
      <w:spacing w:line="300" w:lineRule="atLeast"/>
    </w:pPr>
    <w:rPr>
      <w:caps w:val="0"/>
    </w:rPr>
  </w:style>
  <w:style w:type="paragraph" w:customStyle="1" w:styleId="BijlageKop2">
    <w:name w:val="Bijlage Kop 2"/>
    <w:basedOn w:val="Kop2"/>
    <w:next w:val="Standaard"/>
    <w:link w:val="BijlageKop2Char"/>
    <w:rsid w:val="00705B5D"/>
    <w:pPr>
      <w:numPr>
        <w:numId w:val="1"/>
      </w:numPr>
    </w:pPr>
    <w:rPr>
      <w:bCs/>
      <w:sz w:val="22"/>
    </w:rPr>
  </w:style>
  <w:style w:type="paragraph" w:styleId="Bijschrift">
    <w:name w:val="caption"/>
    <w:aliases w:val="Quote"/>
    <w:basedOn w:val="Standaard"/>
    <w:next w:val="Standaard"/>
    <w:qFormat/>
    <w:rsid w:val="00ED5C2D"/>
    <w:pPr>
      <w:keepNext/>
      <w:keepLines/>
      <w:spacing w:before="120" w:after="120" w:line="320" w:lineRule="atLeast"/>
    </w:pPr>
    <w:rPr>
      <w:b/>
      <w:bCs/>
      <w:color w:val="009EAD"/>
      <w:sz w:val="18"/>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semiHidden/>
    <w:rsid w:val="005B3678"/>
    <w:pPr>
      <w:tabs>
        <w:tab w:val="left" w:pos="567"/>
        <w:tab w:val="right" w:pos="7938"/>
      </w:tabs>
      <w:spacing w:before="320" w:line="320" w:lineRule="atLeast"/>
      <w:ind w:left="567" w:right="964" w:hanging="567"/>
    </w:pPr>
    <w:rPr>
      <w:b/>
    </w:rPr>
  </w:style>
  <w:style w:type="paragraph" w:styleId="Inhopg2">
    <w:name w:val="toc 2"/>
    <w:basedOn w:val="Standaard"/>
    <w:next w:val="Standaard"/>
    <w:autoRedefine/>
    <w:semiHidden/>
    <w:rsid w:val="00F10B51"/>
    <w:pPr>
      <w:tabs>
        <w:tab w:val="left" w:pos="567"/>
        <w:tab w:val="right" w:pos="7938"/>
      </w:tabs>
      <w:spacing w:line="320" w:lineRule="atLeast"/>
      <w:ind w:left="567" w:right="851" w:hanging="567"/>
    </w:pPr>
  </w:style>
  <w:style w:type="paragraph" w:styleId="Inhopg3">
    <w:name w:val="toc 3"/>
    <w:basedOn w:val="Inhopg2"/>
    <w:next w:val="Standaard"/>
    <w:autoRedefine/>
    <w:semiHidden/>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sz w:val="18"/>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b/>
      <w:sz w:val="22"/>
      <w:szCs w:val="22"/>
    </w:rPr>
  </w:style>
  <w:style w:type="paragraph" w:customStyle="1" w:styleId="refTitel">
    <w:name w:val="refTitel"/>
    <w:basedOn w:val="Standaard"/>
    <w:next w:val="Standaard"/>
    <w:semiHidden/>
    <w:rsid w:val="00F10B51"/>
    <w:pPr>
      <w:spacing w:after="320"/>
    </w:pPr>
    <w:rPr>
      <w:b/>
      <w:caps/>
      <w:sz w:val="30"/>
      <w:szCs w:val="26"/>
    </w:rPr>
  </w:style>
  <w:style w:type="paragraph" w:styleId="Ondertitel">
    <w:name w:val="Subtitle"/>
    <w:basedOn w:val="refSubTitel"/>
    <w:next w:val="Standaard"/>
    <w:link w:val="OndertitelChar"/>
    <w:qFormat/>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lang w:val="en-US" w:eastAsia="en-US"/>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Marlett" w:hAnsi="Marlett"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Marlett" w:hAnsi="Marlett"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Marlett" w:hAnsi="Marlett"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Marlett" w:hAnsi="Marlett"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Batang" w:hAnsi="@Batang"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semiHidden/>
    <w:rsid w:val="00F10B51"/>
    <w:rPr>
      <w:sz w:val="18"/>
    </w:rPr>
  </w:style>
  <w:style w:type="paragraph" w:styleId="Voettekst">
    <w:name w:val="footer"/>
    <w:basedOn w:val="Standaard"/>
    <w:link w:val="VoettekstChar"/>
    <w:rsid w:val="00F10B51"/>
    <w:pPr>
      <w:tabs>
        <w:tab w:val="right" w:pos="8051"/>
      </w:tabs>
    </w:pPr>
    <w:rPr>
      <w:sz w:val="18"/>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caps/>
      <w:color w:val="009EAD"/>
      <w:sz w:val="18"/>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Kop 4+tab Char"/>
    <w:link w:val="Kop4"/>
    <w:locked/>
    <w:rsid w:val="00B55A83"/>
    <w:rPr>
      <w:rFonts w:ascii="Calibri" w:hAnsi="Calibri"/>
      <w:caps/>
      <w:color w:val="009EAD"/>
      <w:sz w:val="28"/>
      <w:lang w:val="nl-NL" w:eastAsia="nl-NL"/>
    </w:rPr>
  </w:style>
  <w:style w:type="character" w:styleId="Hyperlink">
    <w:name w:val="Hyperlink"/>
    <w:basedOn w:val="Standaardalinea-lettertype"/>
    <w:semiHidden/>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aliases w:val="(appendix) Char, (appendix)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color w:val="FFFFFF"/>
      <w:kern w:val="28"/>
      <w:lang w:val="en-US"/>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693E71"/>
    <w:tblPr/>
    <w:tblStylePr w:type="firstRow">
      <w:pPr>
        <w:keepNext/>
        <w:keepLines/>
        <w:pageBreakBefore/>
        <w:widowControl/>
        <w:suppressLineNumbers/>
        <w:suppressAutoHyphens w:val="0"/>
      </w:pPr>
      <w:rPr>
        <w:rFonts w:ascii="Tahoma" w:hAnsi="Tahoma"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48048C"/>
    <w:pPr>
      <w:numPr>
        <w:numId w:val="4"/>
      </w:numPr>
    </w:pPr>
  </w:style>
  <w:style w:type="numbering" w:customStyle="1" w:styleId="Lijstgenummerdctrl6">
    <w:name w:val="Lijst genummerd (ctrl+6)"/>
    <w:rsid w:val="0048048C"/>
    <w:pPr>
      <w:numPr>
        <w:numId w:val="3"/>
      </w:numPr>
    </w:pPr>
  </w:style>
  <w:style w:type="paragraph" w:customStyle="1" w:styleId="Tabelcel">
    <w:name w:val="Tabelcel"/>
    <w:basedOn w:val="Standaard"/>
    <w:link w:val="TabelcelChar"/>
    <w:rsid w:val="00EE28FA"/>
    <w:pPr>
      <w:keepNext/>
      <w:keepLines/>
      <w:spacing w:after="20" w:line="260" w:lineRule="atLeast"/>
    </w:pPr>
    <w:rPr>
      <w:rFonts w:ascii="Arial" w:hAnsi="Arial"/>
      <w:sz w:val="18"/>
    </w:rPr>
  </w:style>
  <w:style w:type="character" w:customStyle="1" w:styleId="TabelcelChar">
    <w:name w:val="Tabelcel Char"/>
    <w:basedOn w:val="Standaardalinea-lettertype"/>
    <w:link w:val="Tabelcel"/>
    <w:rsid w:val="00EE28FA"/>
    <w:rPr>
      <w:rFonts w:ascii="Arial" w:hAnsi="Arial"/>
      <w:sz w:val="18"/>
      <w:lang w:val="nl-NL" w:eastAsia="nl-NL" w:bidi="ar-SA"/>
    </w:rPr>
  </w:style>
  <w:style w:type="paragraph" w:styleId="Lijstnummering">
    <w:name w:val="List Number"/>
    <w:basedOn w:val="Standaard"/>
    <w:rsid w:val="009828DF"/>
    <w:pPr>
      <w:ind w:left="1020" w:hanging="340"/>
    </w:pPr>
    <w:rPr>
      <w:rFonts w:ascii="Arial" w:hAnsi="Arial"/>
      <w:sz w:val="18"/>
    </w:rPr>
  </w:style>
  <w:style w:type="paragraph" w:styleId="Ballontekst">
    <w:name w:val="Balloon Text"/>
    <w:basedOn w:val="Standaard"/>
    <w:semiHidden/>
    <w:rsid w:val="009828DF"/>
    <w:rPr>
      <w:rFonts w:ascii="Tahoma" w:hAnsi="Tahoma" w:cs="Tahoma"/>
      <w:sz w:val="16"/>
      <w:szCs w:val="16"/>
    </w:rPr>
  </w:style>
  <w:style w:type="paragraph" w:styleId="Lijstopsomteken">
    <w:name w:val="List Bullet"/>
    <w:basedOn w:val="Standaard"/>
    <w:rsid w:val="000F2685"/>
    <w:pPr>
      <w:numPr>
        <w:numId w:val="5"/>
      </w:numPr>
    </w:pPr>
    <w:rPr>
      <w:rFonts w:ascii="Arial" w:hAnsi="Arial"/>
      <w:sz w:val="18"/>
    </w:rPr>
  </w:style>
  <w:style w:type="character" w:styleId="Voetnootmarkering">
    <w:name w:val="footnote reference"/>
    <w:semiHidden/>
    <w:rsid w:val="000F2685"/>
    <w:rPr>
      <w:vertAlign w:val="superscript"/>
    </w:rPr>
  </w:style>
  <w:style w:type="paragraph" w:customStyle="1" w:styleId="Tabelops">
    <w:name w:val="Tabelops"/>
    <w:basedOn w:val="Tabelcel"/>
    <w:rsid w:val="000054E9"/>
    <w:pPr>
      <w:numPr>
        <w:numId w:val="6"/>
      </w:numPr>
      <w:tabs>
        <w:tab w:val="clear" w:pos="360"/>
      </w:tabs>
      <w:ind w:left="255" w:hanging="255"/>
    </w:pPr>
  </w:style>
  <w:style w:type="paragraph" w:customStyle="1" w:styleId="definitiesomschrijving">
    <w:name w:val="definities omschrijving"/>
    <w:basedOn w:val="Standaard"/>
    <w:rsid w:val="000054E9"/>
    <w:pPr>
      <w:spacing w:before="60" w:line="312" w:lineRule="auto"/>
      <w:ind w:left="57"/>
    </w:pPr>
    <w:rPr>
      <w:rFonts w:ascii="Arial" w:hAnsi="Arial"/>
      <w:sz w:val="19"/>
      <w:szCs w:val="24"/>
    </w:rPr>
  </w:style>
  <w:style w:type="paragraph" w:customStyle="1" w:styleId="tussenkop">
    <w:name w:val="tussenkop"/>
    <w:basedOn w:val="Kop5"/>
    <w:next w:val="Standaard"/>
    <w:rsid w:val="000054E9"/>
    <w:pPr>
      <w:keepNext/>
      <w:spacing w:after="0" w:line="312" w:lineRule="auto"/>
      <w:ind w:left="737" w:firstLine="0"/>
    </w:pPr>
    <w:rPr>
      <w:rFonts w:ascii="Arial" w:hAnsi="Arial" w:cs="Arial"/>
      <w:bCs w:val="0"/>
      <w:kern w:val="0"/>
      <w:sz w:val="20"/>
    </w:rPr>
  </w:style>
  <w:style w:type="paragraph" w:styleId="Standaardinspringing">
    <w:name w:val="Normal Indent"/>
    <w:basedOn w:val="Standaard"/>
    <w:rsid w:val="000054E9"/>
    <w:pPr>
      <w:spacing w:line="280" w:lineRule="atLeast"/>
      <w:ind w:left="708"/>
    </w:pPr>
    <w:rPr>
      <w:rFonts w:ascii="Arial" w:hAnsi="Arial"/>
      <w:snapToGrid w:val="0"/>
      <w:kern w:val="28"/>
      <w:sz w:val="18"/>
      <w:lang w:eastAsia="en-US"/>
    </w:rPr>
  </w:style>
  <w:style w:type="paragraph" w:customStyle="1" w:styleId="opsommingbullit">
    <w:name w:val="opsomming bullit"/>
    <w:basedOn w:val="Standaard"/>
    <w:rsid w:val="00FF4DDE"/>
    <w:pPr>
      <w:numPr>
        <w:numId w:val="7"/>
      </w:numPr>
      <w:spacing w:line="312" w:lineRule="auto"/>
      <w:ind w:left="1021" w:hanging="284"/>
    </w:pPr>
    <w:rPr>
      <w:rFonts w:ascii="Arial" w:hAnsi="Arial"/>
      <w:sz w:val="19"/>
      <w:szCs w:val="24"/>
    </w:rPr>
  </w:style>
  <w:style w:type="paragraph" w:customStyle="1" w:styleId="genummerdstandaard">
    <w:name w:val="genummerd standaard"/>
    <w:basedOn w:val="Standaard"/>
    <w:rsid w:val="00FF4DDE"/>
    <w:pPr>
      <w:numPr>
        <w:numId w:val="8"/>
      </w:numPr>
      <w:spacing w:line="360" w:lineRule="auto"/>
    </w:pPr>
    <w:rPr>
      <w:rFonts w:ascii="Arial" w:hAnsi="Arial" w:cs="Arial"/>
      <w:szCs w:val="24"/>
    </w:rPr>
  </w:style>
  <w:style w:type="paragraph" w:customStyle="1" w:styleId="formulierstandaard">
    <w:name w:val="formulier standaard"/>
    <w:basedOn w:val="Standaard"/>
    <w:rsid w:val="00FF4DDE"/>
    <w:pPr>
      <w:spacing w:after="120" w:line="312" w:lineRule="auto"/>
      <w:ind w:left="113"/>
    </w:pPr>
    <w:rPr>
      <w:rFonts w:ascii="Arial" w:hAnsi="Arial"/>
      <w:sz w:val="19"/>
      <w:szCs w:val="24"/>
    </w:rPr>
  </w:style>
  <w:style w:type="paragraph" w:customStyle="1" w:styleId="formulierbullit">
    <w:name w:val="formulier bullit"/>
    <w:basedOn w:val="opsommingbullit"/>
    <w:rsid w:val="00FF4DDE"/>
    <w:pPr>
      <w:ind w:left="907" w:hanging="170"/>
    </w:pPr>
  </w:style>
  <w:style w:type="paragraph" w:customStyle="1" w:styleId="definitie">
    <w:name w:val="definitie"/>
    <w:basedOn w:val="definitiesomschrijving"/>
    <w:rsid w:val="00FF4DDE"/>
    <w:rPr>
      <w:b/>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0B51"/>
    <w:pPr>
      <w:spacing w:line="300" w:lineRule="atLeast"/>
    </w:pPr>
    <w:rPr>
      <w:rFonts w:ascii="Calibri" w:hAnsi="Calibri"/>
    </w:rPr>
  </w:style>
  <w:style w:type="paragraph" w:styleId="Kop1">
    <w:name w:val="heading 1"/>
    <w:aliases w:val="Hoofdstuk,Hoofdstuk-kop,k1,heading 1"/>
    <w:basedOn w:val="Standaard"/>
    <w:next w:val="Standaard"/>
    <w:qFormat/>
    <w:rsid w:val="00705B5D"/>
    <w:pPr>
      <w:keepNext/>
      <w:pageBreakBefore/>
      <w:numPr>
        <w:numId w:val="2"/>
      </w:numPr>
      <w:spacing w:after="360" w:line="320" w:lineRule="atLeast"/>
      <w:outlineLvl w:val="0"/>
    </w:pPr>
    <w:rPr>
      <w:b/>
      <w:bCs/>
      <w:caps/>
      <w:color w:val="009EAD"/>
      <w:kern w:val="32"/>
      <w:sz w:val="30"/>
      <w:szCs w:val="32"/>
    </w:rPr>
  </w:style>
  <w:style w:type="paragraph" w:styleId="Kop2">
    <w:name w:val="heading 2"/>
    <w:aliases w:val="Paragraaf,k2,h2,2scr,H2,Paragrf 2,1.1Heading 2,Head 2,l2"/>
    <w:basedOn w:val="Kop1"/>
    <w:next w:val="Standaard"/>
    <w:qFormat/>
    <w:rsid w:val="00705B5D"/>
    <w:pPr>
      <w:pageBreakBefore w:val="0"/>
      <w:numPr>
        <w:ilvl w:val="1"/>
      </w:numPr>
      <w:spacing w:before="240" w:after="60" w:line="300" w:lineRule="atLeast"/>
      <w:outlineLvl w:val="1"/>
    </w:pPr>
    <w:rPr>
      <w:bCs w:val="0"/>
      <w:iCs/>
      <w:caps w:val="0"/>
      <w:color w:val="auto"/>
      <w:sz w:val="20"/>
      <w:szCs w:val="28"/>
    </w:rPr>
  </w:style>
  <w:style w:type="paragraph" w:styleId="Kop3">
    <w:name w:val="heading 3"/>
    <w:aliases w:val="Sub-paragraaf,H3,Section,Org Heading 1,h1,H31,h3,l3,Level 3 Topic Heading,h31,Level 3 Topic Heading1,Sub-paragraaf1,subparagraaf titel,3scr,Kop 3 Char1,Kop 3 Char Char,Kop 3 Char1 Char Char,Kop 3 Char Char Char Char,Paragrf 3,Level 1 - 1"/>
    <w:basedOn w:val="Kop1"/>
    <w:next w:val="Standaard"/>
    <w:qFormat/>
    <w:rsid w:val="00705B5D"/>
    <w:pPr>
      <w:pageBreakBefore w:val="0"/>
      <w:numPr>
        <w:ilvl w:val="2"/>
      </w:numPr>
      <w:spacing w:before="240" w:after="60" w:line="300" w:lineRule="atLeast"/>
      <w:outlineLvl w:val="2"/>
    </w:pPr>
    <w:rPr>
      <w:bCs w:val="0"/>
      <w:caps w:val="0"/>
      <w:color w:val="auto"/>
      <w:sz w:val="18"/>
      <w:szCs w:val="26"/>
    </w:rPr>
  </w:style>
  <w:style w:type="paragraph" w:styleId="Kop4">
    <w:name w:val="heading 4"/>
    <w:aliases w:val="Kop 4+tab"/>
    <w:basedOn w:val="Standaard"/>
    <w:next w:val="Standaard"/>
    <w:link w:val="Kop4Char"/>
    <w:qFormat/>
    <w:rsid w:val="00F10B51"/>
    <w:pPr>
      <w:keepNext/>
      <w:spacing w:before="240"/>
      <w:outlineLvl w:val="3"/>
    </w:pPr>
    <w:rPr>
      <w:bCs/>
      <w:caps/>
      <w:color w:val="009EAD"/>
      <w:szCs w:val="28"/>
    </w:rPr>
  </w:style>
  <w:style w:type="paragraph" w:styleId="Kop5">
    <w:name w:val="heading 5"/>
    <w:basedOn w:val="Standaard"/>
    <w:next w:val="Standaard"/>
    <w:qFormat/>
    <w:rsid w:val="00EF223E"/>
    <w:pPr>
      <w:spacing w:before="240" w:after="60" w:line="280" w:lineRule="exact"/>
      <w:ind w:left="1008" w:hanging="1008"/>
      <w:outlineLvl w:val="4"/>
    </w:pPr>
    <w:rPr>
      <w:b/>
      <w:bCs/>
      <w:i/>
      <w:iCs/>
      <w:kern w:val="28"/>
      <w:sz w:val="26"/>
      <w:szCs w:val="26"/>
    </w:rPr>
  </w:style>
  <w:style w:type="paragraph" w:styleId="Kop6">
    <w:name w:val="heading 6"/>
    <w:basedOn w:val="Standaard"/>
    <w:next w:val="Standaard"/>
    <w:qFormat/>
    <w:rsid w:val="00EF223E"/>
    <w:pPr>
      <w:spacing w:before="240" w:after="60" w:line="280" w:lineRule="exact"/>
      <w:ind w:left="1152" w:hanging="1152"/>
      <w:outlineLvl w:val="5"/>
    </w:pPr>
    <w:rPr>
      <w:b/>
      <w:bCs/>
      <w:kern w:val="28"/>
      <w:sz w:val="22"/>
      <w:szCs w:val="22"/>
    </w:rPr>
  </w:style>
  <w:style w:type="paragraph" w:styleId="Kop7">
    <w:name w:val="heading 7"/>
    <w:basedOn w:val="Standaard"/>
    <w:next w:val="Standaard"/>
    <w:qFormat/>
    <w:rsid w:val="00EF223E"/>
    <w:pPr>
      <w:spacing w:before="240" w:after="60" w:line="280" w:lineRule="exact"/>
      <w:ind w:left="1296" w:hanging="1296"/>
      <w:outlineLvl w:val="6"/>
    </w:pPr>
    <w:rPr>
      <w:kern w:val="28"/>
      <w:sz w:val="24"/>
      <w:szCs w:val="24"/>
    </w:rPr>
  </w:style>
  <w:style w:type="paragraph" w:styleId="Kop8">
    <w:name w:val="heading 8"/>
    <w:aliases w:val="Kop 4 zonder titel"/>
    <w:basedOn w:val="Standaard"/>
    <w:next w:val="Standaard"/>
    <w:qFormat/>
    <w:rsid w:val="00EF223E"/>
    <w:pPr>
      <w:spacing w:before="240" w:after="60" w:line="280" w:lineRule="exact"/>
      <w:ind w:left="1440" w:hanging="1440"/>
      <w:outlineLvl w:val="7"/>
    </w:pPr>
    <w:rPr>
      <w:i/>
      <w:iCs/>
      <w:kern w:val="28"/>
      <w:sz w:val="24"/>
      <w:szCs w:val="24"/>
    </w:rPr>
  </w:style>
  <w:style w:type="paragraph" w:styleId="Kop9">
    <w:name w:val="heading 9"/>
    <w:aliases w:val="(appendix), (appendix)"/>
    <w:basedOn w:val="Standaard"/>
    <w:next w:val="Standaard"/>
    <w:link w:val="Kop9Char"/>
    <w:qFormat/>
    <w:rsid w:val="00EF223E"/>
    <w:pPr>
      <w:spacing w:before="240" w:after="60" w:line="280" w:lineRule="exact"/>
      <w:ind w:left="1584" w:hanging="1584"/>
      <w:outlineLvl w:val="8"/>
    </w:pPr>
    <w:rPr>
      <w:rFonts w:ascii="Cambria" w:hAnsi="Cambria"/>
      <w:kern w:val="28"/>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Kop1">
    <w:name w:val="Bijlage Kop 1"/>
    <w:basedOn w:val="Kop1"/>
    <w:next w:val="Standaard"/>
    <w:link w:val="BijlageKop1Char"/>
    <w:rsid w:val="00705B5D"/>
    <w:pPr>
      <w:numPr>
        <w:numId w:val="1"/>
      </w:numPr>
      <w:spacing w:line="300" w:lineRule="atLeast"/>
    </w:pPr>
    <w:rPr>
      <w:caps w:val="0"/>
    </w:rPr>
  </w:style>
  <w:style w:type="paragraph" w:customStyle="1" w:styleId="BijlageKop2">
    <w:name w:val="Bijlage Kop 2"/>
    <w:basedOn w:val="Kop2"/>
    <w:next w:val="Standaard"/>
    <w:link w:val="BijlageKop2Char"/>
    <w:rsid w:val="00705B5D"/>
    <w:pPr>
      <w:numPr>
        <w:numId w:val="1"/>
      </w:numPr>
    </w:pPr>
    <w:rPr>
      <w:bCs/>
      <w:sz w:val="22"/>
    </w:rPr>
  </w:style>
  <w:style w:type="paragraph" w:styleId="Bijschrift">
    <w:name w:val="caption"/>
    <w:aliases w:val="Quote"/>
    <w:basedOn w:val="Standaard"/>
    <w:next w:val="Standaard"/>
    <w:qFormat/>
    <w:rsid w:val="00ED5C2D"/>
    <w:pPr>
      <w:keepNext/>
      <w:keepLines/>
      <w:spacing w:before="120" w:after="120" w:line="320" w:lineRule="atLeast"/>
    </w:pPr>
    <w:rPr>
      <w:b/>
      <w:bCs/>
      <w:color w:val="009EAD"/>
      <w:sz w:val="18"/>
    </w:rPr>
  </w:style>
  <w:style w:type="paragraph" w:styleId="Datum">
    <w:name w:val="Date"/>
    <w:basedOn w:val="Standaard"/>
    <w:next w:val="Standaard"/>
    <w:link w:val="DatumChar"/>
    <w:semiHidden/>
    <w:rsid w:val="00F10B51"/>
    <w:rPr>
      <w:b/>
    </w:rPr>
  </w:style>
  <w:style w:type="paragraph" w:styleId="Inhopg1">
    <w:name w:val="toc 1"/>
    <w:basedOn w:val="Standaard"/>
    <w:next w:val="Standaard"/>
    <w:autoRedefine/>
    <w:semiHidden/>
    <w:rsid w:val="005B3678"/>
    <w:pPr>
      <w:tabs>
        <w:tab w:val="left" w:pos="567"/>
        <w:tab w:val="right" w:pos="7938"/>
      </w:tabs>
      <w:spacing w:before="320" w:line="320" w:lineRule="atLeast"/>
      <w:ind w:left="567" w:right="964" w:hanging="567"/>
    </w:pPr>
    <w:rPr>
      <w:b/>
    </w:rPr>
  </w:style>
  <w:style w:type="paragraph" w:styleId="Inhopg2">
    <w:name w:val="toc 2"/>
    <w:basedOn w:val="Standaard"/>
    <w:next w:val="Standaard"/>
    <w:autoRedefine/>
    <w:semiHidden/>
    <w:rsid w:val="00F10B51"/>
    <w:pPr>
      <w:tabs>
        <w:tab w:val="left" w:pos="567"/>
        <w:tab w:val="right" w:pos="7938"/>
      </w:tabs>
      <w:spacing w:line="320" w:lineRule="atLeast"/>
      <w:ind w:left="567" w:right="851" w:hanging="567"/>
    </w:pPr>
  </w:style>
  <w:style w:type="paragraph" w:styleId="Inhopg3">
    <w:name w:val="toc 3"/>
    <w:basedOn w:val="Inhopg2"/>
    <w:next w:val="Standaard"/>
    <w:autoRedefine/>
    <w:semiHidden/>
    <w:rsid w:val="00F10B51"/>
  </w:style>
  <w:style w:type="paragraph" w:customStyle="1" w:styleId="Kop1ongenummerd">
    <w:name w:val="Kop 1 ongenummerd"/>
    <w:basedOn w:val="Kop1"/>
    <w:next w:val="Standaard"/>
    <w:rsid w:val="00F10B51"/>
    <w:pPr>
      <w:numPr>
        <w:numId w:val="0"/>
      </w:numPr>
    </w:pPr>
    <w:rPr>
      <w:szCs w:val="20"/>
    </w:rPr>
  </w:style>
  <w:style w:type="paragraph" w:styleId="Koptekst">
    <w:name w:val="header"/>
    <w:basedOn w:val="Standaard"/>
    <w:link w:val="KoptekstChar"/>
    <w:rsid w:val="00777D39"/>
    <w:pPr>
      <w:tabs>
        <w:tab w:val="center" w:pos="4536"/>
        <w:tab w:val="right" w:pos="9072"/>
      </w:tabs>
      <w:spacing w:before="120" w:line="240" w:lineRule="auto"/>
    </w:pPr>
    <w:rPr>
      <w:sz w:val="18"/>
    </w:rPr>
  </w:style>
  <w:style w:type="character" w:styleId="Paginanummer">
    <w:name w:val="page number"/>
    <w:basedOn w:val="Standaardalinea-lettertype"/>
    <w:semiHidden/>
    <w:rsid w:val="00F10B51"/>
    <w:rPr>
      <w:sz w:val="20"/>
    </w:rPr>
  </w:style>
  <w:style w:type="paragraph" w:customStyle="1" w:styleId="refStatus">
    <w:name w:val="refStatus"/>
    <w:basedOn w:val="Standaard"/>
    <w:next w:val="Standaard"/>
    <w:semiHidden/>
    <w:rsid w:val="00F10B51"/>
    <w:rPr>
      <w:rFonts w:cs="Arial"/>
      <w:noProof/>
    </w:rPr>
  </w:style>
  <w:style w:type="paragraph" w:customStyle="1" w:styleId="refSubTitel">
    <w:name w:val="refSubTitel"/>
    <w:basedOn w:val="Standaard"/>
    <w:next w:val="Standaard"/>
    <w:semiHidden/>
    <w:rsid w:val="00F10B51"/>
    <w:rPr>
      <w:b/>
      <w:sz w:val="22"/>
      <w:szCs w:val="22"/>
    </w:rPr>
  </w:style>
  <w:style w:type="paragraph" w:customStyle="1" w:styleId="refTitel">
    <w:name w:val="refTitel"/>
    <w:basedOn w:val="Standaard"/>
    <w:next w:val="Standaard"/>
    <w:semiHidden/>
    <w:rsid w:val="00F10B51"/>
    <w:pPr>
      <w:spacing w:after="320"/>
    </w:pPr>
    <w:rPr>
      <w:b/>
      <w:caps/>
      <w:sz w:val="30"/>
      <w:szCs w:val="26"/>
    </w:rPr>
  </w:style>
  <w:style w:type="paragraph" w:styleId="Ondertitel">
    <w:name w:val="Subtitle"/>
    <w:basedOn w:val="refSubTitel"/>
    <w:next w:val="Standaard"/>
    <w:link w:val="OndertitelChar"/>
    <w:qFormat/>
    <w:rsid w:val="00F10B51"/>
    <w:rPr>
      <w:noProof/>
    </w:rPr>
  </w:style>
  <w:style w:type="paragraph" w:styleId="Titel">
    <w:name w:val="Title"/>
    <w:basedOn w:val="refTitel"/>
    <w:next w:val="Standaard"/>
    <w:link w:val="TitelChar"/>
    <w:qFormat/>
    <w:rsid w:val="00F10B51"/>
    <w:pPr>
      <w:pageBreakBefore/>
    </w:pPr>
    <w:rPr>
      <w:noProof/>
    </w:rPr>
  </w:style>
  <w:style w:type="table" w:customStyle="1" w:styleId="VKATabelgroenblauw">
    <w:name w:val="VKA Tabel groenblauw"/>
    <w:rsid w:val="00F10B51"/>
    <w:pPr>
      <w:spacing w:line="300" w:lineRule="exact"/>
    </w:pPr>
    <w:rPr>
      <w:rFonts w:ascii="Calibri" w:hAnsi="Calibri"/>
      <w:lang w:val="en-US" w:eastAsia="en-US"/>
    </w:rPr>
    <w:tblPr>
      <w:tblInd w:w="57" w:type="dxa"/>
      <w:tblBorders>
        <w:bottom w:val="single" w:sz="4" w:space="0" w:color="009EAD"/>
        <w:insideH w:val="single" w:sz="4" w:space="0" w:color="009EAD"/>
      </w:tblBorders>
      <w:tblCellMar>
        <w:top w:w="28" w:type="dxa"/>
        <w:left w:w="57" w:type="dxa"/>
        <w:bottom w:w="28" w:type="dxa"/>
        <w:right w:w="108" w:type="dxa"/>
      </w:tblCellMar>
    </w:tblPr>
    <w:tblStylePr w:type="firstRow">
      <w:pPr>
        <w:keepNext/>
        <w:keepLines/>
        <w:pageBreakBefore/>
        <w:widowControl/>
        <w:suppressLineNumbers/>
        <w:suppressAutoHyphens w:val="0"/>
      </w:pPr>
      <w:rPr>
        <w:rFonts w:cs="Times New Roman"/>
        <w:i w:val="0"/>
        <w:color w:val="FFFFFF"/>
      </w:rPr>
      <w:tblPr/>
      <w:trPr>
        <w:tblHeader/>
      </w:trPr>
      <w:tcPr>
        <w:tcBorders>
          <w:top w:val="single" w:sz="4" w:space="0" w:color="009EAD"/>
          <w:left w:val="single" w:sz="4" w:space="0" w:color="009EAD"/>
          <w:bottom w:val="single" w:sz="4" w:space="0" w:color="009EAD"/>
          <w:right w:val="single" w:sz="4" w:space="0" w:color="009EAD"/>
          <w:insideH w:val="nil"/>
          <w:insideV w:val="nil"/>
          <w:tl2br w:val="nil"/>
          <w:tr2bl w:val="nil"/>
        </w:tcBorders>
        <w:shd w:val="clear" w:color="auto" w:fill="009EAD"/>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groenblauw">
    <w:name w:val="VKA tabel subtiel groenblauw"/>
    <w:basedOn w:val="VKATabelgroenblauw"/>
    <w:rsid w:val="00F10B51"/>
    <w:tblPr/>
    <w:tblStylePr w:type="firstRow">
      <w:pPr>
        <w:keepNext/>
        <w:keepLines/>
        <w:pageBreakBefore/>
        <w:widowControl/>
        <w:suppressLineNumbers/>
        <w:suppressAutoHyphens w:val="0"/>
      </w:pPr>
      <w:rPr>
        <w:rFonts w:ascii="Marlett" w:hAnsi="Marlett" w:cs="Times New Roman"/>
        <w:b/>
        <w:i w:val="0"/>
        <w:color w:val="009EAD"/>
        <w:sz w:val="20"/>
      </w:rPr>
      <w:tblPr/>
      <w:trPr>
        <w:tblHeader/>
      </w:trPr>
      <w:tcPr>
        <w:tcBorders>
          <w:top w:val="single" w:sz="8" w:space="0" w:color="009EAD"/>
          <w:left w:val="nil"/>
          <w:bottom w:val="single" w:sz="8" w:space="0" w:color="009EAD"/>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blauw">
    <w:name w:val="VKA Tabel blauw"/>
    <w:basedOn w:val="VKAtabelsubtielgroenblauw"/>
    <w:rsid w:val="00F10B51"/>
    <w:tblPr>
      <w:tblBorders>
        <w:bottom w:val="single" w:sz="4" w:space="0" w:color="26547C"/>
        <w:insideH w:val="single" w:sz="4" w:space="0" w:color="26547C"/>
      </w:tblBorders>
    </w:tblPr>
    <w:tblStylePr w:type="firstRow">
      <w:pPr>
        <w:keepNext/>
        <w:keepLines/>
        <w:pageBreakBefore/>
        <w:widowControl/>
        <w:suppressLineNumbers/>
        <w:suppressAutoHyphens w:val="0"/>
      </w:pPr>
      <w:rPr>
        <w:rFonts w:ascii="Marlett" w:hAnsi="Marlett" w:cs="Times New Roman"/>
        <w:b w:val="0"/>
        <w:i w:val="0"/>
        <w:color w:val="FFFFFF"/>
        <w:sz w:val="20"/>
      </w:rPr>
      <w:tblPr/>
      <w:trPr>
        <w:tblHeader/>
      </w:trPr>
      <w:tcPr>
        <w:tcBorders>
          <w:top w:val="single" w:sz="6" w:space="0" w:color="26547C"/>
          <w:left w:val="single" w:sz="6" w:space="0" w:color="26547C"/>
          <w:bottom w:val="single" w:sz="6" w:space="0" w:color="26547C"/>
          <w:right w:val="single" w:sz="6" w:space="0" w:color="26547C"/>
          <w:insideH w:val="nil"/>
          <w:insideV w:val="nil"/>
          <w:tl2br w:val="nil"/>
          <w:tr2bl w:val="nil"/>
        </w:tcBorders>
        <w:shd w:val="clear" w:color="auto" w:fill="26547C"/>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raster">
    <w:name w:val="VKA tabel raster"/>
    <w:basedOn w:val="VKAtabelsubtielgroenblauw"/>
    <w:rsid w:val="00F10B51"/>
    <w:tblPr>
      <w:tblBorders>
        <w:left w:val="single" w:sz="4" w:space="0" w:color="F9D616"/>
        <w:bottom w:val="none" w:sz="0" w:space="0" w:color="auto"/>
        <w:right w:val="single" w:sz="4" w:space="0" w:color="F9D616"/>
        <w:insideH w:val="none" w:sz="0" w:space="0" w:color="auto"/>
        <w:insideV w:val="single" w:sz="4" w:space="0" w:color="F9D616"/>
      </w:tblBorders>
    </w:tblPr>
    <w:tblStylePr w:type="firstRow">
      <w:pPr>
        <w:keepNext/>
        <w:keepLines/>
        <w:pageBreakBefore/>
        <w:widowControl/>
        <w:suppressLineNumbers/>
        <w:suppressAutoHyphens w:val="0"/>
      </w:pPr>
      <w:rPr>
        <w:rFonts w:ascii="Marlett" w:hAnsi="Marlett" w:cs="Times New Roman"/>
        <w:b/>
        <w:i w:val="0"/>
        <w:color w:val="009EAD"/>
        <w:sz w:val="20"/>
      </w:rPr>
      <w:tblPr/>
      <w:trPr>
        <w:tblHeader/>
      </w:trPr>
      <w:tcPr>
        <w:tcBorders>
          <w:top w:val="single" w:sz="8" w:space="0" w:color="009EAD"/>
          <w:left w:val="single" w:sz="4" w:space="0" w:color="F9D616"/>
          <w:bottom w:val="single" w:sz="8"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magenta">
    <w:name w:val="VKA tabel subtiel magenta"/>
    <w:basedOn w:val="VKAtabelsubtielgroenblauw"/>
    <w:rsid w:val="00F10B51"/>
    <w:tblPr>
      <w:tblBorders>
        <w:bottom w:val="single" w:sz="4" w:space="0" w:color="84216B"/>
        <w:insideH w:val="single" w:sz="4" w:space="0" w:color="84216B"/>
      </w:tblBorders>
    </w:tblPr>
    <w:tblStylePr w:type="firstRow">
      <w:pPr>
        <w:keepNext/>
        <w:keepLines/>
        <w:pageBreakBefore/>
        <w:widowControl/>
        <w:suppressLineNumbers/>
        <w:suppressAutoHyphens w:val="0"/>
      </w:pPr>
      <w:rPr>
        <w:rFonts w:ascii="Marlett" w:hAnsi="Marlett" w:cs="Times New Roman"/>
        <w:b/>
        <w:i w:val="0"/>
        <w:color w:val="84216B"/>
        <w:sz w:val="20"/>
      </w:rPr>
      <w:tblPr/>
      <w:trPr>
        <w:tblHeader/>
      </w:trPr>
      <w:tcPr>
        <w:tcBorders>
          <w:top w:val="single" w:sz="8" w:space="0" w:color="84216B"/>
          <w:left w:val="nil"/>
          <w:bottom w:val="single" w:sz="8" w:space="0" w:color="84216B"/>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table" w:customStyle="1" w:styleId="VKAtabelsubtielrood">
    <w:name w:val="VKA tabel subtiel rood"/>
    <w:basedOn w:val="VKAtabelsubtielgroenblauw"/>
    <w:rsid w:val="00F10B51"/>
    <w:tblPr>
      <w:tblBorders>
        <w:bottom w:val="single" w:sz="4" w:space="0" w:color="AA1948"/>
        <w:insideH w:val="single" w:sz="4" w:space="0" w:color="AA1948"/>
      </w:tblBorders>
    </w:tblPr>
    <w:tblStylePr w:type="firstRow">
      <w:pPr>
        <w:keepNext/>
        <w:keepLines/>
        <w:pageBreakBefore/>
        <w:widowControl/>
        <w:suppressLineNumbers/>
        <w:suppressAutoHyphens w:val="0"/>
      </w:pPr>
      <w:rPr>
        <w:rFonts w:ascii="@Batang" w:hAnsi="@Batang" w:cs="Times New Roman"/>
        <w:b/>
        <w:i w:val="0"/>
        <w:color w:val="AA1948"/>
        <w:sz w:val="20"/>
      </w:rPr>
      <w:tblPr/>
      <w:trPr>
        <w:tblHeader/>
      </w:trPr>
      <w:tcPr>
        <w:tcBorders>
          <w:top w:val="single" w:sz="8" w:space="0" w:color="AA1948"/>
          <w:left w:val="nil"/>
          <w:bottom w:val="single" w:sz="8" w:space="0" w:color="AA1948"/>
          <w:right w:val="nil"/>
          <w:insideH w:val="nil"/>
          <w:insideV w:val="nil"/>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paragraph" w:styleId="Voetnoottekst">
    <w:name w:val="footnote text"/>
    <w:basedOn w:val="Standaard"/>
    <w:semiHidden/>
    <w:rsid w:val="00F10B51"/>
    <w:rPr>
      <w:sz w:val="18"/>
    </w:rPr>
  </w:style>
  <w:style w:type="paragraph" w:styleId="Voettekst">
    <w:name w:val="footer"/>
    <w:basedOn w:val="Standaard"/>
    <w:link w:val="VoettekstChar"/>
    <w:rsid w:val="00F10B51"/>
    <w:pPr>
      <w:tabs>
        <w:tab w:val="right" w:pos="8051"/>
      </w:tabs>
    </w:pPr>
    <w:rPr>
      <w:sz w:val="18"/>
    </w:rPr>
  </w:style>
  <w:style w:type="character" w:customStyle="1" w:styleId="VoettekstChar">
    <w:name w:val="Voettekst Char"/>
    <w:link w:val="Voettekst"/>
    <w:locked/>
    <w:rsid w:val="00B55A83"/>
    <w:rPr>
      <w:rFonts w:ascii="Calibri" w:hAnsi="Calibri"/>
      <w:sz w:val="18"/>
    </w:rPr>
  </w:style>
  <w:style w:type="character" w:styleId="Zwaar">
    <w:name w:val="Strong"/>
    <w:basedOn w:val="Standaardalinea-lettertype"/>
    <w:qFormat/>
    <w:rsid w:val="00B55A83"/>
    <w:rPr>
      <w:b/>
    </w:rPr>
  </w:style>
  <w:style w:type="character" w:customStyle="1" w:styleId="DatumChar">
    <w:name w:val="Datum Char"/>
    <w:link w:val="Datum"/>
    <w:locked/>
    <w:rsid w:val="00B55A83"/>
    <w:rPr>
      <w:rFonts w:ascii="Calibri" w:hAnsi="Calibri"/>
      <w:b/>
    </w:rPr>
  </w:style>
  <w:style w:type="paragraph" w:customStyle="1" w:styleId="VKAMetakopjes">
    <w:name w:val="VKA Metakopjes"/>
    <w:basedOn w:val="Standaard"/>
    <w:rsid w:val="00AE4113"/>
    <w:rPr>
      <w:caps/>
      <w:color w:val="009EAD"/>
      <w:sz w:val="18"/>
    </w:rPr>
  </w:style>
  <w:style w:type="character" w:customStyle="1" w:styleId="TitelChar">
    <w:name w:val="Titel Char"/>
    <w:link w:val="Titel"/>
    <w:locked/>
    <w:rsid w:val="00B55A83"/>
    <w:rPr>
      <w:rFonts w:ascii="Calibri" w:hAnsi="Calibri"/>
      <w:b/>
      <w:caps/>
      <w:noProof/>
      <w:sz w:val="26"/>
    </w:rPr>
  </w:style>
  <w:style w:type="character" w:customStyle="1" w:styleId="OndertitelChar">
    <w:name w:val="Ondertitel Char"/>
    <w:link w:val="Ondertitel"/>
    <w:locked/>
    <w:rsid w:val="00B55A83"/>
    <w:rPr>
      <w:rFonts w:ascii="Calibri" w:hAnsi="Calibri"/>
      <w:b/>
      <w:noProof/>
      <w:sz w:val="22"/>
    </w:rPr>
  </w:style>
  <w:style w:type="character" w:customStyle="1" w:styleId="Kop4Char">
    <w:name w:val="Kop 4 Char"/>
    <w:aliases w:val="Kop 4+tab Char"/>
    <w:link w:val="Kop4"/>
    <w:locked/>
    <w:rsid w:val="00B55A83"/>
    <w:rPr>
      <w:rFonts w:ascii="Calibri" w:hAnsi="Calibri"/>
      <w:caps/>
      <w:color w:val="009EAD"/>
      <w:sz w:val="28"/>
      <w:lang w:val="nl-NL" w:eastAsia="nl-NL"/>
    </w:rPr>
  </w:style>
  <w:style w:type="character" w:styleId="Hyperlink">
    <w:name w:val="Hyperlink"/>
    <w:basedOn w:val="Standaardalinea-lettertype"/>
    <w:semiHidden/>
    <w:rsid w:val="00B55A83"/>
    <w:rPr>
      <w:color w:val="0000FF"/>
      <w:u w:val="single"/>
    </w:rPr>
  </w:style>
  <w:style w:type="character" w:customStyle="1" w:styleId="BijlageKop1Char">
    <w:name w:val="Bijlage Kop 1 Char"/>
    <w:basedOn w:val="Standaardalinea-lettertype"/>
    <w:link w:val="BijlageKop1"/>
    <w:locked/>
    <w:rsid w:val="00705B5D"/>
    <w:rPr>
      <w:rFonts w:ascii="Calibri" w:hAnsi="Calibri"/>
      <w:b/>
      <w:bCs/>
      <w:color w:val="009EAD"/>
      <w:kern w:val="32"/>
      <w:sz w:val="30"/>
      <w:szCs w:val="32"/>
    </w:rPr>
  </w:style>
  <w:style w:type="character" w:customStyle="1" w:styleId="BijlageKop2Char">
    <w:name w:val="Bijlage Kop 2 Char"/>
    <w:link w:val="BijlageKop2"/>
    <w:locked/>
    <w:rsid w:val="00705B5D"/>
    <w:rPr>
      <w:rFonts w:ascii="Calibri" w:hAnsi="Calibri"/>
      <w:b/>
      <w:bCs/>
      <w:iCs/>
      <w:kern w:val="32"/>
      <w:sz w:val="22"/>
      <w:szCs w:val="28"/>
    </w:rPr>
  </w:style>
  <w:style w:type="table" w:styleId="Tabelraster">
    <w:name w:val="Table Grid"/>
    <w:basedOn w:val="Standaardtabel"/>
    <w:rsid w:val="00D04595"/>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link w:val="Koptekst"/>
    <w:locked/>
    <w:rsid w:val="00777D39"/>
    <w:rPr>
      <w:rFonts w:ascii="Calibri" w:hAnsi="Calibri"/>
      <w:sz w:val="18"/>
    </w:rPr>
  </w:style>
  <w:style w:type="character" w:customStyle="1" w:styleId="Kop9Char">
    <w:name w:val="Kop 9 Char"/>
    <w:aliases w:val="(appendix) Char, (appendix) Char"/>
    <w:link w:val="Kop9"/>
    <w:locked/>
    <w:rsid w:val="00EF223E"/>
    <w:rPr>
      <w:rFonts w:ascii="Cambria" w:hAnsi="Cambria"/>
      <w:kern w:val="28"/>
      <w:sz w:val="22"/>
      <w:lang w:val="nl-NL" w:eastAsia="nl-NL"/>
    </w:rPr>
  </w:style>
  <w:style w:type="paragraph" w:customStyle="1" w:styleId="Tabellabel">
    <w:name w:val="Tabellabel"/>
    <w:basedOn w:val="Standaard"/>
    <w:link w:val="TabellabelChar"/>
    <w:rsid w:val="00EF223E"/>
    <w:pPr>
      <w:keepNext/>
      <w:keepLines/>
      <w:spacing w:line="260" w:lineRule="atLeast"/>
    </w:pPr>
    <w:rPr>
      <w:color w:val="FFFFFF"/>
      <w:kern w:val="28"/>
      <w:lang w:val="en-US"/>
    </w:rPr>
  </w:style>
  <w:style w:type="character" w:customStyle="1" w:styleId="TabellabelChar">
    <w:name w:val="Tabellabel Char"/>
    <w:link w:val="Tabellabel"/>
    <w:locked/>
    <w:rsid w:val="00EF223E"/>
    <w:rPr>
      <w:rFonts w:ascii="Calibri" w:hAnsi="Calibri"/>
      <w:color w:val="FFFFFF"/>
      <w:kern w:val="28"/>
      <w:lang w:val="en-US" w:eastAsia="nl-NL"/>
    </w:rPr>
  </w:style>
  <w:style w:type="table" w:customStyle="1" w:styleId="VKAtabelrasterkoploos">
    <w:name w:val="VKA tabel raster koploos"/>
    <w:basedOn w:val="VKAtabelraster"/>
    <w:rsid w:val="00693E71"/>
    <w:tblPr/>
    <w:tblStylePr w:type="firstRow">
      <w:pPr>
        <w:keepNext/>
        <w:keepLines/>
        <w:pageBreakBefore/>
        <w:widowControl/>
        <w:suppressLineNumbers/>
        <w:suppressAutoHyphens w:val="0"/>
      </w:pPr>
      <w:rPr>
        <w:rFonts w:ascii="Tahoma" w:hAnsi="Tahoma" w:cs="Times New Roman"/>
        <w:b w:val="0"/>
        <w:i w:val="0"/>
        <w:color w:val="auto"/>
        <w:sz w:val="20"/>
      </w:rPr>
      <w:tblPr/>
      <w:trPr>
        <w:tblHeader/>
      </w:trPr>
      <w:tcPr>
        <w:tcBorders>
          <w:top w:val="single" w:sz="4" w:space="0" w:color="009EAD"/>
          <w:left w:val="single" w:sz="4" w:space="0" w:color="F9D616"/>
          <w:bottom w:val="single" w:sz="4" w:space="0" w:color="009EAD"/>
          <w:right w:val="single" w:sz="4" w:space="0" w:color="F9D616"/>
          <w:insideH w:val="nil"/>
          <w:insideV w:val="single" w:sz="4" w:space="0" w:color="F9D616"/>
          <w:tl2br w:val="nil"/>
          <w:tr2bl w:val="nil"/>
        </w:tcBorders>
        <w:shd w:val="clear" w:color="auto" w:fill="auto"/>
      </w:tcPr>
    </w:tblStylePr>
    <w:tblStylePr w:type="lastRow">
      <w:rPr>
        <w:rFonts w:cs="Times New Roman"/>
        <w:i w:val="0"/>
        <w:iCs/>
      </w:rPr>
      <w:tblPr/>
      <w:tcPr>
        <w:tcBorders>
          <w:tl2br w:val="none" w:sz="0" w:space="0" w:color="auto"/>
          <w:tr2bl w:val="none" w:sz="0" w:space="0" w:color="auto"/>
        </w:tcBorders>
      </w:tcPr>
    </w:tblStylePr>
    <w:tblStylePr w:type="lastCol">
      <w:rPr>
        <w:rFonts w:cs="Times New Roman"/>
        <w:i w:val="0"/>
        <w:iCs/>
      </w:rPr>
      <w:tblPr/>
      <w:tcPr>
        <w:tcBorders>
          <w:tl2br w:val="none" w:sz="0" w:space="0" w:color="auto"/>
          <w:tr2bl w:val="none" w:sz="0" w:space="0" w:color="auto"/>
        </w:tcBorders>
      </w:tcPr>
    </w:tblStylePr>
  </w:style>
  <w:style w:type="numbering" w:customStyle="1" w:styleId="Lijstopsommingctrl5">
    <w:name w:val="Lijst opsomming (ctrl+5)"/>
    <w:rsid w:val="0048048C"/>
    <w:pPr>
      <w:numPr>
        <w:numId w:val="4"/>
      </w:numPr>
    </w:pPr>
  </w:style>
  <w:style w:type="numbering" w:customStyle="1" w:styleId="Lijstgenummerdctrl6">
    <w:name w:val="Lijst genummerd (ctrl+6)"/>
    <w:rsid w:val="0048048C"/>
    <w:pPr>
      <w:numPr>
        <w:numId w:val="3"/>
      </w:numPr>
    </w:pPr>
  </w:style>
  <w:style w:type="paragraph" w:customStyle="1" w:styleId="Tabelcel">
    <w:name w:val="Tabelcel"/>
    <w:basedOn w:val="Standaard"/>
    <w:link w:val="TabelcelChar"/>
    <w:rsid w:val="00EE28FA"/>
    <w:pPr>
      <w:keepNext/>
      <w:keepLines/>
      <w:spacing w:after="20" w:line="260" w:lineRule="atLeast"/>
    </w:pPr>
    <w:rPr>
      <w:rFonts w:ascii="Arial" w:hAnsi="Arial"/>
      <w:sz w:val="18"/>
    </w:rPr>
  </w:style>
  <w:style w:type="character" w:customStyle="1" w:styleId="TabelcelChar">
    <w:name w:val="Tabelcel Char"/>
    <w:basedOn w:val="Standaardalinea-lettertype"/>
    <w:link w:val="Tabelcel"/>
    <w:rsid w:val="00EE28FA"/>
    <w:rPr>
      <w:rFonts w:ascii="Arial" w:hAnsi="Arial"/>
      <w:sz w:val="18"/>
      <w:lang w:val="nl-NL" w:eastAsia="nl-NL" w:bidi="ar-SA"/>
    </w:rPr>
  </w:style>
  <w:style w:type="paragraph" w:styleId="Lijstnummering">
    <w:name w:val="List Number"/>
    <w:basedOn w:val="Standaard"/>
    <w:rsid w:val="009828DF"/>
    <w:pPr>
      <w:ind w:left="1020" w:hanging="340"/>
    </w:pPr>
    <w:rPr>
      <w:rFonts w:ascii="Arial" w:hAnsi="Arial"/>
      <w:sz w:val="18"/>
    </w:rPr>
  </w:style>
  <w:style w:type="paragraph" w:styleId="Ballontekst">
    <w:name w:val="Balloon Text"/>
    <w:basedOn w:val="Standaard"/>
    <w:semiHidden/>
    <w:rsid w:val="009828DF"/>
    <w:rPr>
      <w:rFonts w:ascii="Tahoma" w:hAnsi="Tahoma" w:cs="Tahoma"/>
      <w:sz w:val="16"/>
      <w:szCs w:val="16"/>
    </w:rPr>
  </w:style>
  <w:style w:type="paragraph" w:styleId="Lijstopsomteken">
    <w:name w:val="List Bullet"/>
    <w:basedOn w:val="Standaard"/>
    <w:rsid w:val="000F2685"/>
    <w:pPr>
      <w:numPr>
        <w:numId w:val="5"/>
      </w:numPr>
    </w:pPr>
    <w:rPr>
      <w:rFonts w:ascii="Arial" w:hAnsi="Arial"/>
      <w:sz w:val="18"/>
    </w:rPr>
  </w:style>
  <w:style w:type="character" w:styleId="Voetnootmarkering">
    <w:name w:val="footnote reference"/>
    <w:semiHidden/>
    <w:rsid w:val="000F2685"/>
    <w:rPr>
      <w:vertAlign w:val="superscript"/>
    </w:rPr>
  </w:style>
  <w:style w:type="paragraph" w:customStyle="1" w:styleId="Tabelops">
    <w:name w:val="Tabelops"/>
    <w:basedOn w:val="Tabelcel"/>
    <w:rsid w:val="000054E9"/>
    <w:pPr>
      <w:numPr>
        <w:numId w:val="6"/>
      </w:numPr>
      <w:tabs>
        <w:tab w:val="clear" w:pos="360"/>
      </w:tabs>
      <w:ind w:left="255" w:hanging="255"/>
    </w:pPr>
  </w:style>
  <w:style w:type="paragraph" w:customStyle="1" w:styleId="definitiesomschrijving">
    <w:name w:val="definities omschrijving"/>
    <w:basedOn w:val="Standaard"/>
    <w:rsid w:val="000054E9"/>
    <w:pPr>
      <w:spacing w:before="60" w:line="312" w:lineRule="auto"/>
      <w:ind w:left="57"/>
    </w:pPr>
    <w:rPr>
      <w:rFonts w:ascii="Arial" w:hAnsi="Arial"/>
      <w:sz w:val="19"/>
      <w:szCs w:val="24"/>
    </w:rPr>
  </w:style>
  <w:style w:type="paragraph" w:customStyle="1" w:styleId="tussenkop">
    <w:name w:val="tussenkop"/>
    <w:basedOn w:val="Kop5"/>
    <w:next w:val="Standaard"/>
    <w:rsid w:val="000054E9"/>
    <w:pPr>
      <w:keepNext/>
      <w:spacing w:after="0" w:line="312" w:lineRule="auto"/>
      <w:ind w:left="737" w:firstLine="0"/>
    </w:pPr>
    <w:rPr>
      <w:rFonts w:ascii="Arial" w:hAnsi="Arial" w:cs="Arial"/>
      <w:bCs w:val="0"/>
      <w:kern w:val="0"/>
      <w:sz w:val="20"/>
    </w:rPr>
  </w:style>
  <w:style w:type="paragraph" w:styleId="Standaardinspringing">
    <w:name w:val="Normal Indent"/>
    <w:basedOn w:val="Standaard"/>
    <w:rsid w:val="000054E9"/>
    <w:pPr>
      <w:spacing w:line="280" w:lineRule="atLeast"/>
      <w:ind w:left="708"/>
    </w:pPr>
    <w:rPr>
      <w:rFonts w:ascii="Arial" w:hAnsi="Arial"/>
      <w:snapToGrid w:val="0"/>
      <w:kern w:val="28"/>
      <w:sz w:val="18"/>
      <w:lang w:eastAsia="en-US"/>
    </w:rPr>
  </w:style>
  <w:style w:type="paragraph" w:customStyle="1" w:styleId="opsommingbullit">
    <w:name w:val="opsomming bullit"/>
    <w:basedOn w:val="Standaard"/>
    <w:rsid w:val="00FF4DDE"/>
    <w:pPr>
      <w:numPr>
        <w:numId w:val="7"/>
      </w:numPr>
      <w:spacing w:line="312" w:lineRule="auto"/>
      <w:ind w:left="1021" w:hanging="284"/>
    </w:pPr>
    <w:rPr>
      <w:rFonts w:ascii="Arial" w:hAnsi="Arial"/>
      <w:sz w:val="19"/>
      <w:szCs w:val="24"/>
    </w:rPr>
  </w:style>
  <w:style w:type="paragraph" w:customStyle="1" w:styleId="genummerdstandaard">
    <w:name w:val="genummerd standaard"/>
    <w:basedOn w:val="Standaard"/>
    <w:rsid w:val="00FF4DDE"/>
    <w:pPr>
      <w:numPr>
        <w:numId w:val="8"/>
      </w:numPr>
      <w:spacing w:line="360" w:lineRule="auto"/>
    </w:pPr>
    <w:rPr>
      <w:rFonts w:ascii="Arial" w:hAnsi="Arial" w:cs="Arial"/>
      <w:szCs w:val="24"/>
    </w:rPr>
  </w:style>
  <w:style w:type="paragraph" w:customStyle="1" w:styleId="formulierstandaard">
    <w:name w:val="formulier standaard"/>
    <w:basedOn w:val="Standaard"/>
    <w:rsid w:val="00FF4DDE"/>
    <w:pPr>
      <w:spacing w:after="120" w:line="312" w:lineRule="auto"/>
      <w:ind w:left="113"/>
    </w:pPr>
    <w:rPr>
      <w:rFonts w:ascii="Arial" w:hAnsi="Arial"/>
      <w:sz w:val="19"/>
      <w:szCs w:val="24"/>
    </w:rPr>
  </w:style>
  <w:style w:type="paragraph" w:customStyle="1" w:styleId="formulierbullit">
    <w:name w:val="formulier bullit"/>
    <w:basedOn w:val="opsommingbullit"/>
    <w:rsid w:val="00FF4DDE"/>
    <w:pPr>
      <w:ind w:left="907" w:hanging="170"/>
    </w:pPr>
  </w:style>
  <w:style w:type="paragraph" w:customStyle="1" w:styleId="definitie">
    <w:name w:val="definitie"/>
    <w:basedOn w:val="definitiesomschrijving"/>
    <w:rsid w:val="00FF4DDE"/>
    <w:rPr>
      <w:b/>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uropeana-tender@vka.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ooij\AppData\Roaming\Microsoft\Sjablonen\VKA\VKA%20-%20Projectvoorstel.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BA1EF-2462-4A14-A683-0C53DCE6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VKA - Projectvoorstel.dot</Template>
  <TotalTime>22</TotalTime>
  <Pages>19</Pages>
  <Words>6517</Words>
  <Characters>35848</Characters>
  <Application>Microsoft Office Word</Application>
  <DocSecurity>0</DocSecurity>
  <Lines>298</Lines>
  <Paragraphs>84</Paragraphs>
  <ScaleCrop>false</ScaleCrop>
  <HeadingPairs>
    <vt:vector size="2" baseType="variant">
      <vt:variant>
        <vt:lpstr>Titel</vt:lpstr>
      </vt:variant>
      <vt:variant>
        <vt:i4>1</vt:i4>
      </vt:variant>
    </vt:vector>
  </HeadingPairs>
  <TitlesOfParts>
    <vt:vector size="1" baseType="lpstr">
      <vt:lpstr>Appendix E</vt:lpstr>
    </vt:vector>
  </TitlesOfParts>
  <Company>VKA</Company>
  <LinksUpToDate>false</LinksUpToDate>
  <CharactersWithSpaces>42281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dc:title>
  <dc:creator>rick.derooij@vka.nl</dc:creator>
  <cp:lastModifiedBy>Rick de Rooij</cp:lastModifiedBy>
  <cp:revision>7</cp:revision>
  <cp:lastPrinted>2014-08-11T09:12:00Z</cp:lastPrinted>
  <dcterms:created xsi:type="dcterms:W3CDTF">2014-08-13T08:05:00Z</dcterms:created>
  <dcterms:modified xsi:type="dcterms:W3CDTF">2014-08-13T11:55:00Z</dcterms:modified>
</cp:coreProperties>
</file>