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B91C5" w14:textId="77777777" w:rsidR="00762ACA" w:rsidRDefault="00762ACA"/>
    <w:tbl>
      <w:tblPr>
        <w:tblStyle w:val="Tabelraster"/>
        <w:tblW w:w="903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10"/>
        <w:gridCol w:w="3010"/>
        <w:gridCol w:w="3010"/>
      </w:tblGrid>
      <w:tr w:rsidR="00973E98" w:rsidRPr="00A92EEB" w14:paraId="7AF77BFB" w14:textId="77777777" w:rsidTr="00762ACA">
        <w:trPr>
          <w:trHeight w:val="300"/>
        </w:trPr>
        <w:tc>
          <w:tcPr>
            <w:tcW w:w="9030" w:type="dxa"/>
            <w:gridSpan w:val="3"/>
            <w:shd w:val="clear" w:color="auto" w:fill="D9D9D9" w:themeFill="background1" w:themeFillShade="D9"/>
            <w:tcMar>
              <w:left w:w="105" w:type="dxa"/>
              <w:right w:w="105" w:type="dxa"/>
            </w:tcMar>
          </w:tcPr>
          <w:p w14:paraId="0BF81E58" w14:textId="77777777" w:rsidR="00762ACA" w:rsidRDefault="00762ACA" w:rsidP="29059FE2">
            <w:pPr>
              <w:rPr>
                <w:rFonts w:ascii="Trebuchet MS" w:eastAsia="Arial" w:hAnsi="Trebuchet MS" w:cs="Arial"/>
                <w:b/>
                <w:bCs/>
                <w:color w:val="000000" w:themeColor="text1"/>
                <w:sz w:val="36"/>
                <w:szCs w:val="36"/>
              </w:rPr>
            </w:pPr>
          </w:p>
          <w:p w14:paraId="32224857" w14:textId="0593A39B" w:rsidR="00973E98" w:rsidRPr="00A92EEB" w:rsidRDefault="00973E98" w:rsidP="29059FE2">
            <w:pPr>
              <w:rPr>
                <w:rFonts w:ascii="Trebuchet MS" w:eastAsia="Arial" w:hAnsi="Trebuchet MS" w:cs="Arial"/>
                <w:b/>
                <w:bCs/>
                <w:color w:val="000000" w:themeColor="text1"/>
                <w:sz w:val="36"/>
                <w:szCs w:val="36"/>
              </w:rPr>
            </w:pPr>
            <w:r w:rsidRPr="00A92EEB">
              <w:rPr>
                <w:rFonts w:ascii="Trebuchet MS" w:eastAsia="Arial" w:hAnsi="Trebuchet MS" w:cs="Arial"/>
                <w:b/>
                <w:bCs/>
                <w:color w:val="000000" w:themeColor="text1"/>
                <w:sz w:val="36"/>
                <w:szCs w:val="36"/>
              </w:rPr>
              <w:t>BIJLAGE 2 – KLIMAATADAPTATIE Doelen en eisen</w:t>
            </w:r>
          </w:p>
          <w:p w14:paraId="366FD2D1" w14:textId="22420D3B" w:rsidR="00973E98" w:rsidRPr="00A92EEB" w:rsidRDefault="00973E98" w:rsidP="29059FE2">
            <w:pPr>
              <w:rPr>
                <w:rFonts w:ascii="Trebuchet MS" w:eastAsia="Arial" w:hAnsi="Trebuchet MS" w:cs="Arial"/>
                <w:b/>
                <w:bCs/>
                <w:color w:val="000000" w:themeColor="text1"/>
                <w:sz w:val="36"/>
                <w:szCs w:val="36"/>
              </w:rPr>
            </w:pPr>
          </w:p>
        </w:tc>
      </w:tr>
      <w:tr w:rsidR="1631DFB1" w:rsidRPr="00A92EEB" w14:paraId="78C07558" w14:textId="77777777" w:rsidTr="00762ACA">
        <w:trPr>
          <w:trHeight w:val="300"/>
        </w:trPr>
        <w:tc>
          <w:tcPr>
            <w:tcW w:w="9030" w:type="dxa"/>
            <w:gridSpan w:val="3"/>
            <w:shd w:val="clear" w:color="auto" w:fill="4C94D8" w:themeFill="text2" w:themeFillTint="80"/>
            <w:tcMar>
              <w:left w:w="105" w:type="dxa"/>
              <w:right w:w="105" w:type="dxa"/>
            </w:tcMar>
          </w:tcPr>
          <w:p w14:paraId="132BA047" w14:textId="77777777" w:rsidR="1631DFB1" w:rsidRDefault="1631DFB1" w:rsidP="29059FE2">
            <w:pPr>
              <w:rPr>
                <w:rFonts w:ascii="Trebuchet MS" w:eastAsia="Arial" w:hAnsi="Trebuchet MS" w:cs="Arial"/>
                <w:b/>
                <w:bCs/>
                <w:color w:val="000000" w:themeColor="text1"/>
                <w:sz w:val="36"/>
                <w:szCs w:val="36"/>
              </w:rPr>
            </w:pPr>
            <w:r w:rsidRPr="00A92EEB">
              <w:rPr>
                <w:rFonts w:ascii="Trebuchet MS" w:eastAsia="Arial" w:hAnsi="Trebuchet MS" w:cs="Arial"/>
                <w:b/>
                <w:bCs/>
                <w:color w:val="000000" w:themeColor="text1"/>
                <w:sz w:val="36"/>
                <w:szCs w:val="36"/>
              </w:rPr>
              <w:t>Water</w:t>
            </w:r>
          </w:p>
          <w:p w14:paraId="0A8BEFE2" w14:textId="4BEB6779" w:rsidR="00A92EEB" w:rsidRPr="00A92EEB" w:rsidRDefault="00A92EEB" w:rsidP="29059FE2">
            <w:pPr>
              <w:rPr>
                <w:rFonts w:ascii="Trebuchet MS" w:eastAsia="Arial" w:hAnsi="Trebuchet MS" w:cs="Arial"/>
                <w:color w:val="000000" w:themeColor="text1"/>
                <w:sz w:val="36"/>
                <w:szCs w:val="36"/>
              </w:rPr>
            </w:pPr>
          </w:p>
        </w:tc>
      </w:tr>
      <w:tr w:rsidR="1631DFB1" w:rsidRPr="00A92EEB" w14:paraId="509ACBA7" w14:textId="77777777" w:rsidTr="00762ACA">
        <w:trPr>
          <w:trHeight w:val="300"/>
        </w:trPr>
        <w:tc>
          <w:tcPr>
            <w:tcW w:w="9030" w:type="dxa"/>
            <w:gridSpan w:val="3"/>
            <w:shd w:val="clear" w:color="auto" w:fill="A5C9EB" w:themeFill="text2" w:themeFillTint="40"/>
            <w:tcMar>
              <w:left w:w="105" w:type="dxa"/>
              <w:right w:w="105" w:type="dxa"/>
            </w:tcMar>
          </w:tcPr>
          <w:p w14:paraId="216F20A2" w14:textId="77777777" w:rsidR="00762ACA" w:rsidRDefault="1631DFB1" w:rsidP="29059FE2">
            <w:pPr>
              <w:rPr>
                <w:rFonts w:ascii="Trebuchet MS" w:hAnsi="Trebuchet MS"/>
              </w:rPr>
            </w:pPr>
            <w:r w:rsidRPr="00A92EEB">
              <w:rPr>
                <w:rFonts w:ascii="Trebuchet MS" w:eastAsia="Arial" w:hAnsi="Trebuchet MS" w:cs="Arial"/>
                <w:color w:val="000000" w:themeColor="text1"/>
                <w:sz w:val="22"/>
                <w:szCs w:val="22"/>
              </w:rPr>
              <w:t>Hevige neerslag leidt niet tot schade aan/in gebouwen, (vitale) infrastructuur &amp; (vitale) voorzieningen blijven bereikbaar.</w:t>
            </w:r>
            <w:r w:rsidRPr="00A92EEB">
              <w:rPr>
                <w:rFonts w:ascii="Trebuchet MS" w:hAnsi="Trebuchet MS"/>
              </w:rPr>
              <w:tab/>
            </w:r>
          </w:p>
          <w:p w14:paraId="6227176E" w14:textId="30900DD3" w:rsidR="1631DFB1" w:rsidRPr="00A92EEB" w:rsidRDefault="1631DFB1" w:rsidP="29059FE2">
            <w:pPr>
              <w:rPr>
                <w:rFonts w:ascii="Trebuchet MS" w:eastAsia="Arial" w:hAnsi="Trebuchet MS" w:cs="Arial"/>
                <w:color w:val="000000" w:themeColor="text1"/>
                <w:sz w:val="22"/>
                <w:szCs w:val="22"/>
              </w:rPr>
            </w:pPr>
            <w:r w:rsidRPr="00A92EEB">
              <w:rPr>
                <w:rFonts w:ascii="Trebuchet MS" w:hAnsi="Trebuchet MS"/>
              </w:rPr>
              <w:tab/>
            </w:r>
            <w:r w:rsidRPr="00A92EEB">
              <w:rPr>
                <w:rFonts w:ascii="Trebuchet MS" w:hAnsi="Trebuchet MS"/>
              </w:rPr>
              <w:tab/>
            </w:r>
            <w:r w:rsidRPr="00A92EEB">
              <w:rPr>
                <w:rFonts w:ascii="Trebuchet MS" w:hAnsi="Trebuchet MS"/>
              </w:rPr>
              <w:tab/>
            </w:r>
          </w:p>
        </w:tc>
      </w:tr>
      <w:tr w:rsidR="1631DFB1" w:rsidRPr="00A92EEB" w14:paraId="2580381C" w14:textId="77777777" w:rsidTr="00762ACA">
        <w:trPr>
          <w:trHeight w:val="300"/>
        </w:trPr>
        <w:tc>
          <w:tcPr>
            <w:tcW w:w="3010" w:type="dxa"/>
            <w:tcBorders>
              <w:bottom w:val="single" w:sz="6" w:space="0" w:color="auto"/>
            </w:tcBorders>
            <w:shd w:val="clear" w:color="auto" w:fill="DAE9F7" w:themeFill="text2" w:themeFillTint="1A"/>
            <w:tcMar>
              <w:left w:w="105" w:type="dxa"/>
              <w:right w:w="105" w:type="dxa"/>
            </w:tcMar>
          </w:tcPr>
          <w:p w14:paraId="50C8CEEC" w14:textId="3A4D4D95"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In het plangebied (werk, perceel, ontwikkelgebied, enz.) treedt geen waterschade op bij een bui die 1 keer per 100 jaar voor kan komen (bui type 8 / 70 mm in een uur). Vitale en kwetsbare functies (ziekenhuizen/</w:t>
            </w:r>
            <w:proofErr w:type="spellStart"/>
            <w:r w:rsidRPr="00A92EEB">
              <w:rPr>
                <w:rFonts w:ascii="Trebuchet MS" w:eastAsia="Arial" w:hAnsi="Trebuchet MS" w:cs="Arial"/>
                <w:color w:val="000000" w:themeColor="text1"/>
                <w:sz w:val="22"/>
                <w:szCs w:val="22"/>
              </w:rPr>
              <w:t>hoofd</w:t>
            </w:r>
            <w:r w:rsidR="7B14FFD8" w:rsidRPr="00A92EEB">
              <w:rPr>
                <w:rFonts w:ascii="Trebuchet MS" w:eastAsia="Arial" w:hAnsi="Trebuchet MS" w:cs="Arial"/>
                <w:color w:val="000000" w:themeColor="text1"/>
                <w:sz w:val="22"/>
                <w:szCs w:val="22"/>
              </w:rPr>
              <w:t>-</w:t>
            </w:r>
            <w:r w:rsidRPr="00A92EEB">
              <w:rPr>
                <w:rFonts w:ascii="Trebuchet MS" w:eastAsia="Arial" w:hAnsi="Trebuchet MS" w:cs="Arial"/>
                <w:color w:val="000000" w:themeColor="text1"/>
                <w:sz w:val="22"/>
                <w:szCs w:val="22"/>
              </w:rPr>
              <w:t>infrastructuur</w:t>
            </w:r>
            <w:proofErr w:type="spellEnd"/>
            <w:r w:rsidRPr="00A92EEB">
              <w:rPr>
                <w:rFonts w:ascii="Trebuchet MS" w:eastAsia="Arial" w:hAnsi="Trebuchet MS" w:cs="Arial"/>
                <w:color w:val="000000" w:themeColor="text1"/>
                <w:sz w:val="22"/>
                <w:szCs w:val="22"/>
              </w:rPr>
              <w:t>) blijven beschikbaar bij een bui die 1 keer per 250 jaar voor kan komen (bui type 10 / 90 mm in een uur).</w:t>
            </w:r>
          </w:p>
          <w:p w14:paraId="42F9E222" w14:textId="793BBF6B" w:rsidR="1631DFB1" w:rsidRPr="00A92EEB" w:rsidRDefault="1631DFB1" w:rsidP="29059FE2">
            <w:pPr>
              <w:rPr>
                <w:rFonts w:ascii="Trebuchet MS" w:eastAsia="Arial" w:hAnsi="Trebuchet MS" w:cs="Arial"/>
                <w:color w:val="000000" w:themeColor="text1"/>
                <w:sz w:val="22"/>
                <w:szCs w:val="22"/>
              </w:rPr>
            </w:pPr>
          </w:p>
          <w:p w14:paraId="7BF2E447" w14:textId="19B81705" w:rsidR="1631DFB1" w:rsidRPr="00A92EEB" w:rsidRDefault="1631DFB1" w:rsidP="29059FE2">
            <w:pPr>
              <w:rPr>
                <w:rFonts w:ascii="Trebuchet MS" w:eastAsia="Arial" w:hAnsi="Trebuchet MS" w:cs="Arial"/>
                <w:color w:val="000000" w:themeColor="text1"/>
                <w:sz w:val="18"/>
                <w:szCs w:val="18"/>
              </w:rPr>
            </w:pPr>
          </w:p>
        </w:tc>
        <w:tc>
          <w:tcPr>
            <w:tcW w:w="3010" w:type="dxa"/>
            <w:tcBorders>
              <w:bottom w:val="single" w:sz="6" w:space="0" w:color="auto"/>
            </w:tcBorders>
            <w:shd w:val="clear" w:color="auto" w:fill="DAE9F7" w:themeFill="text2" w:themeFillTint="1A"/>
            <w:tcMar>
              <w:left w:w="105" w:type="dxa"/>
              <w:right w:w="105" w:type="dxa"/>
            </w:tcMar>
          </w:tcPr>
          <w:p w14:paraId="24B757DF" w14:textId="0692A5C6"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Bij nieuwbouw/verbouw wordt hemelwater eerst geborgen, vastgehouden, geïnfiltreerd, hergebruikt en daarna afgevoerd. Bij het realiseren van extra verhard oppervlakte, waarbij door het bouwen van een gebouw of verharding groen wordt verwijderd, wordt ten opzichte van de oude situatie, er minimaal 50 mm per extra m² hemelwaterberging gerealiseerd.</w:t>
            </w:r>
          </w:p>
          <w:p w14:paraId="54726C58" w14:textId="68C2B8C6" w:rsidR="1631DFB1" w:rsidRPr="00A92EEB" w:rsidRDefault="1631DFB1" w:rsidP="29059FE2">
            <w:pPr>
              <w:rPr>
                <w:rFonts w:ascii="Trebuchet MS" w:eastAsia="Arial" w:hAnsi="Trebuchet MS" w:cs="Arial"/>
                <w:color w:val="000000" w:themeColor="text1"/>
                <w:sz w:val="22"/>
                <w:szCs w:val="22"/>
              </w:rPr>
            </w:pPr>
          </w:p>
          <w:p w14:paraId="6512D0EA" w14:textId="78F1D4D5" w:rsidR="1631DFB1" w:rsidRPr="00A92EEB" w:rsidRDefault="1631DFB1" w:rsidP="29059FE2">
            <w:pPr>
              <w:rPr>
                <w:rFonts w:ascii="Trebuchet MS" w:eastAsia="Arial" w:hAnsi="Trebuchet MS" w:cs="Arial"/>
                <w:color w:val="000000" w:themeColor="text1"/>
                <w:sz w:val="22"/>
                <w:szCs w:val="22"/>
              </w:rPr>
            </w:pPr>
          </w:p>
        </w:tc>
        <w:tc>
          <w:tcPr>
            <w:tcW w:w="3010" w:type="dxa"/>
            <w:tcBorders>
              <w:bottom w:val="single" w:sz="6" w:space="0" w:color="auto"/>
            </w:tcBorders>
            <w:shd w:val="clear" w:color="auto" w:fill="DAE9F7" w:themeFill="text2" w:themeFillTint="1A"/>
            <w:tcMar>
              <w:left w:w="105" w:type="dxa"/>
              <w:right w:w="105" w:type="dxa"/>
            </w:tcMar>
          </w:tcPr>
          <w:p w14:paraId="4C803862" w14:textId="13C28E3F"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 xml:space="preserve">Hemelwater wordt verwerkt op het perceel en wordt niet afgewenteld. Hemelwater wordt zoveel mogelijk vastgehouden, geïnfiltreerd en hergebruikt. </w:t>
            </w:r>
          </w:p>
          <w:p w14:paraId="122AF312" w14:textId="40C8753A"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Nieuwbouw wordt volledig afgekoppeld. Als afkoppelen naar groen onvoldoende mogelijk is, mag pas als laatste instantie afwatering naar oppervlaktewater plaatsvinden.</w:t>
            </w:r>
          </w:p>
        </w:tc>
      </w:tr>
      <w:tr w:rsidR="1631DFB1" w:rsidRPr="00A92EEB" w14:paraId="27D39F15" w14:textId="77777777" w:rsidTr="004B20A8">
        <w:trPr>
          <w:trHeight w:val="300"/>
        </w:trPr>
        <w:tc>
          <w:tcPr>
            <w:tcW w:w="9030" w:type="dxa"/>
            <w:gridSpan w:val="3"/>
            <w:tcBorders>
              <w:left w:val="nil"/>
            </w:tcBorders>
            <w:shd w:val="clear" w:color="auto" w:fill="FFFF00"/>
            <w:tcMar>
              <w:left w:w="105" w:type="dxa"/>
              <w:right w:w="105" w:type="dxa"/>
            </w:tcMar>
          </w:tcPr>
          <w:p w14:paraId="1086B177" w14:textId="77777777" w:rsidR="1631DFB1" w:rsidRDefault="1631DFB1" w:rsidP="29059FE2">
            <w:pPr>
              <w:rPr>
                <w:rFonts w:ascii="Trebuchet MS" w:eastAsia="Arial" w:hAnsi="Trebuchet MS" w:cs="Arial"/>
                <w:b/>
                <w:bCs/>
                <w:color w:val="000000" w:themeColor="text1"/>
                <w:sz w:val="36"/>
                <w:szCs w:val="36"/>
              </w:rPr>
            </w:pPr>
            <w:r w:rsidRPr="00A92EEB">
              <w:rPr>
                <w:rFonts w:ascii="Trebuchet MS" w:eastAsia="Arial" w:hAnsi="Trebuchet MS" w:cs="Arial"/>
                <w:b/>
                <w:bCs/>
                <w:color w:val="000000" w:themeColor="text1"/>
                <w:sz w:val="36"/>
                <w:szCs w:val="36"/>
              </w:rPr>
              <w:t>Droogte</w:t>
            </w:r>
          </w:p>
          <w:p w14:paraId="17441EC2" w14:textId="0095F6BC" w:rsidR="00A92EEB" w:rsidRPr="00A92EEB" w:rsidRDefault="00A92EEB" w:rsidP="29059FE2">
            <w:pPr>
              <w:rPr>
                <w:rFonts w:ascii="Trebuchet MS" w:eastAsia="Arial" w:hAnsi="Trebuchet MS" w:cs="Arial"/>
                <w:color w:val="000000" w:themeColor="text1"/>
                <w:sz w:val="36"/>
                <w:szCs w:val="36"/>
              </w:rPr>
            </w:pPr>
          </w:p>
        </w:tc>
      </w:tr>
      <w:tr w:rsidR="1631DFB1" w:rsidRPr="00A92EEB" w14:paraId="032BC253" w14:textId="77777777" w:rsidTr="004B20A8">
        <w:trPr>
          <w:trHeight w:val="300"/>
        </w:trPr>
        <w:tc>
          <w:tcPr>
            <w:tcW w:w="9030" w:type="dxa"/>
            <w:gridSpan w:val="3"/>
            <w:shd w:val="clear" w:color="auto" w:fill="FFFF00"/>
            <w:tcMar>
              <w:left w:w="105" w:type="dxa"/>
              <w:right w:w="105" w:type="dxa"/>
            </w:tcMar>
          </w:tcPr>
          <w:p w14:paraId="2E97F9AA" w14:textId="77777777" w:rsid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Droogte leidt niet tot structurele schade aan/in gebouwen,</w:t>
            </w:r>
            <w:r w:rsidR="20C5048D" w:rsidRPr="00A92EEB">
              <w:rPr>
                <w:rFonts w:ascii="Trebuchet MS" w:eastAsia="Arial" w:hAnsi="Trebuchet MS" w:cs="Arial"/>
                <w:color w:val="000000" w:themeColor="text1"/>
                <w:sz w:val="22"/>
                <w:szCs w:val="22"/>
              </w:rPr>
              <w:t xml:space="preserve"> </w:t>
            </w:r>
            <w:r w:rsidRPr="00A92EEB">
              <w:rPr>
                <w:rFonts w:ascii="Trebuchet MS" w:eastAsia="Arial" w:hAnsi="Trebuchet MS" w:cs="Arial"/>
                <w:color w:val="000000" w:themeColor="text1"/>
                <w:sz w:val="22"/>
                <w:szCs w:val="22"/>
              </w:rPr>
              <w:t xml:space="preserve">(vitale) infrastructuur, leefomgeving en (vitale) voorzieningen blijven bereikbaar. </w:t>
            </w:r>
          </w:p>
          <w:p w14:paraId="1774369D" w14:textId="4DE6E97B" w:rsidR="1631DFB1" w:rsidRPr="00A92EEB" w:rsidRDefault="1631DFB1" w:rsidP="29059FE2">
            <w:pPr>
              <w:rPr>
                <w:rFonts w:ascii="Trebuchet MS" w:eastAsia="Arial" w:hAnsi="Trebuchet MS" w:cs="Arial"/>
                <w:color w:val="000000" w:themeColor="text1"/>
                <w:sz w:val="22"/>
                <w:szCs w:val="22"/>
              </w:rPr>
            </w:pPr>
            <w:r w:rsidRPr="00A92EEB">
              <w:rPr>
                <w:rFonts w:ascii="Trebuchet MS" w:hAnsi="Trebuchet MS"/>
              </w:rPr>
              <w:tab/>
            </w:r>
            <w:r w:rsidRPr="00A92EEB">
              <w:rPr>
                <w:rFonts w:ascii="Trebuchet MS" w:hAnsi="Trebuchet MS"/>
              </w:rPr>
              <w:tab/>
            </w:r>
            <w:r w:rsidRPr="00A92EEB">
              <w:rPr>
                <w:rFonts w:ascii="Trebuchet MS" w:hAnsi="Trebuchet MS"/>
              </w:rPr>
              <w:tab/>
            </w:r>
          </w:p>
        </w:tc>
      </w:tr>
      <w:tr w:rsidR="1631DFB1" w:rsidRPr="00A92EEB" w14:paraId="3E150636" w14:textId="77777777" w:rsidTr="004B20A8">
        <w:trPr>
          <w:trHeight w:val="300"/>
        </w:trPr>
        <w:tc>
          <w:tcPr>
            <w:tcW w:w="9030" w:type="dxa"/>
            <w:gridSpan w:val="3"/>
            <w:shd w:val="clear" w:color="auto" w:fill="FFFF00"/>
            <w:tcMar>
              <w:left w:w="105" w:type="dxa"/>
              <w:right w:w="105" w:type="dxa"/>
            </w:tcMar>
          </w:tcPr>
          <w:p w14:paraId="16531AAA" w14:textId="77777777" w:rsidR="00A92EEB" w:rsidRDefault="1631DFB1" w:rsidP="29059FE2">
            <w:pPr>
              <w:rPr>
                <w:rFonts w:ascii="Trebuchet MS" w:hAnsi="Trebuchet MS"/>
              </w:rPr>
            </w:pPr>
            <w:r w:rsidRPr="00A92EEB">
              <w:rPr>
                <w:rFonts w:ascii="Trebuchet MS" w:eastAsia="Arial" w:hAnsi="Trebuchet MS" w:cs="Arial"/>
                <w:color w:val="000000" w:themeColor="text1"/>
                <w:sz w:val="22"/>
                <w:szCs w:val="22"/>
              </w:rPr>
              <w:t>Droogte leidt niet tot drinkwater tekort.</w:t>
            </w:r>
            <w:r w:rsidRPr="00A92EEB">
              <w:rPr>
                <w:rFonts w:ascii="Trebuchet MS" w:hAnsi="Trebuchet MS"/>
              </w:rPr>
              <w:tab/>
            </w:r>
          </w:p>
          <w:p w14:paraId="01DB33C4" w14:textId="4C0C7E38" w:rsidR="1631DFB1" w:rsidRPr="00A92EEB" w:rsidRDefault="1631DFB1" w:rsidP="29059FE2">
            <w:pPr>
              <w:rPr>
                <w:rFonts w:ascii="Trebuchet MS" w:eastAsia="Arial" w:hAnsi="Trebuchet MS" w:cs="Arial"/>
                <w:color w:val="000000" w:themeColor="text1"/>
                <w:sz w:val="22"/>
                <w:szCs w:val="22"/>
              </w:rPr>
            </w:pPr>
            <w:r w:rsidRPr="00A92EEB">
              <w:rPr>
                <w:rFonts w:ascii="Trebuchet MS" w:hAnsi="Trebuchet MS"/>
              </w:rPr>
              <w:tab/>
            </w:r>
            <w:r w:rsidRPr="00A92EEB">
              <w:rPr>
                <w:rFonts w:ascii="Trebuchet MS" w:hAnsi="Trebuchet MS"/>
              </w:rPr>
              <w:tab/>
            </w:r>
            <w:r w:rsidRPr="00A92EEB">
              <w:rPr>
                <w:rFonts w:ascii="Trebuchet MS" w:hAnsi="Trebuchet MS"/>
              </w:rPr>
              <w:tab/>
            </w:r>
          </w:p>
        </w:tc>
      </w:tr>
      <w:tr w:rsidR="1631DFB1" w:rsidRPr="00A92EEB" w14:paraId="6C60DBA2" w14:textId="77777777" w:rsidTr="004B20A8">
        <w:trPr>
          <w:trHeight w:val="300"/>
        </w:trPr>
        <w:tc>
          <w:tcPr>
            <w:tcW w:w="3010" w:type="dxa"/>
            <w:tcBorders>
              <w:bottom w:val="single" w:sz="6" w:space="0" w:color="auto"/>
            </w:tcBorders>
            <w:shd w:val="clear" w:color="auto" w:fill="FFFF00"/>
            <w:tcMar>
              <w:left w:w="105" w:type="dxa"/>
              <w:right w:w="105" w:type="dxa"/>
            </w:tcMar>
          </w:tcPr>
          <w:p w14:paraId="634887EB" w14:textId="77777777" w:rsidR="1631DFB1"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Bij ontwerp en inrichting wordt er rekening gehouden met de gemiddelde laagste grondwaterstand. Het uitzakken van het grondwaterpeil mag niet leiden tot extra</w:t>
            </w:r>
            <w:r w:rsidR="17D31AA1" w:rsidRPr="00A92EEB">
              <w:rPr>
                <w:rFonts w:ascii="Trebuchet MS" w:eastAsia="Arial" w:hAnsi="Trebuchet MS" w:cs="Arial"/>
                <w:color w:val="000000" w:themeColor="text1"/>
                <w:sz w:val="22"/>
                <w:szCs w:val="22"/>
              </w:rPr>
              <w:t xml:space="preserve"> </w:t>
            </w:r>
            <w:r w:rsidRPr="00A92EEB">
              <w:rPr>
                <w:rFonts w:ascii="Trebuchet MS" w:eastAsia="Arial" w:hAnsi="Trebuchet MS" w:cs="Arial"/>
                <w:color w:val="000000" w:themeColor="text1"/>
                <w:sz w:val="22"/>
                <w:szCs w:val="22"/>
              </w:rPr>
              <w:t>bodemdaling, sterfte van (openbare) groenvoorzieningen en bomen.</w:t>
            </w:r>
          </w:p>
          <w:p w14:paraId="6B28C836" w14:textId="2803FF90" w:rsidR="00A92EEB" w:rsidRPr="00A92EEB" w:rsidRDefault="00A92EEB" w:rsidP="29059FE2">
            <w:pPr>
              <w:rPr>
                <w:rFonts w:ascii="Trebuchet MS" w:eastAsia="Arial" w:hAnsi="Trebuchet MS" w:cs="Arial"/>
                <w:color w:val="000000" w:themeColor="text1"/>
                <w:sz w:val="22"/>
                <w:szCs w:val="22"/>
              </w:rPr>
            </w:pPr>
          </w:p>
        </w:tc>
        <w:tc>
          <w:tcPr>
            <w:tcW w:w="3010" w:type="dxa"/>
            <w:tcBorders>
              <w:bottom w:val="single" w:sz="6" w:space="0" w:color="auto"/>
            </w:tcBorders>
            <w:shd w:val="clear" w:color="auto" w:fill="FFFF00"/>
            <w:tcMar>
              <w:left w:w="105" w:type="dxa"/>
              <w:right w:w="105" w:type="dxa"/>
            </w:tcMar>
          </w:tcPr>
          <w:p w14:paraId="42F2CDDD" w14:textId="6A650DDD"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Bij nieuwbouw/verbouw wordt er zo ingericht dat het evenveel water infiltreert als dat er valt. En dat er bij herontwikkeling meer water wordt geïnfiltreerd t.o.v. oude situatie (50% van de jaarlijkse neerslag, afhankelijk van het type bodem).</w:t>
            </w:r>
          </w:p>
        </w:tc>
        <w:tc>
          <w:tcPr>
            <w:tcW w:w="3010" w:type="dxa"/>
            <w:tcBorders>
              <w:bottom w:val="single" w:sz="6" w:space="0" w:color="auto"/>
            </w:tcBorders>
            <w:shd w:val="clear" w:color="auto" w:fill="FFFF00"/>
            <w:tcMar>
              <w:left w:w="105" w:type="dxa"/>
              <w:right w:w="105" w:type="dxa"/>
            </w:tcMar>
          </w:tcPr>
          <w:p w14:paraId="682B5A87" w14:textId="7C7D53C3"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Bij het ontwerp en de inrichting wordt ingezet op drinkwaterbesparing, regenwaterbenutting.</w:t>
            </w:r>
          </w:p>
          <w:p w14:paraId="57A4540E" w14:textId="43D2C9AC" w:rsidR="1631DFB1" w:rsidRPr="00A92EEB" w:rsidRDefault="1631DFB1" w:rsidP="29059FE2">
            <w:pPr>
              <w:rPr>
                <w:rFonts w:ascii="Trebuchet MS" w:eastAsia="Arial" w:hAnsi="Trebuchet MS" w:cs="Arial"/>
                <w:color w:val="000000" w:themeColor="text1"/>
                <w:sz w:val="22"/>
                <w:szCs w:val="22"/>
              </w:rPr>
            </w:pPr>
          </w:p>
        </w:tc>
      </w:tr>
      <w:tr w:rsidR="1631DFB1" w:rsidRPr="00A92EEB" w14:paraId="592433F8" w14:textId="77777777" w:rsidTr="00762ACA">
        <w:trPr>
          <w:trHeight w:val="300"/>
        </w:trPr>
        <w:tc>
          <w:tcPr>
            <w:tcW w:w="9030" w:type="dxa"/>
            <w:gridSpan w:val="3"/>
            <w:tcBorders>
              <w:left w:val="nil"/>
            </w:tcBorders>
            <w:shd w:val="clear" w:color="auto" w:fill="F1A983" w:themeFill="accent2" w:themeFillTint="99"/>
            <w:tcMar>
              <w:left w:w="105" w:type="dxa"/>
              <w:right w:w="105" w:type="dxa"/>
            </w:tcMar>
          </w:tcPr>
          <w:p w14:paraId="64C67698" w14:textId="77777777" w:rsidR="1631DFB1" w:rsidRDefault="1631DFB1" w:rsidP="29059FE2">
            <w:pPr>
              <w:rPr>
                <w:rFonts w:ascii="Trebuchet MS" w:eastAsia="Arial" w:hAnsi="Trebuchet MS" w:cs="Arial"/>
                <w:b/>
                <w:bCs/>
                <w:color w:val="000000" w:themeColor="text1"/>
                <w:sz w:val="36"/>
                <w:szCs w:val="36"/>
              </w:rPr>
            </w:pPr>
            <w:r w:rsidRPr="00A92EEB">
              <w:rPr>
                <w:rFonts w:ascii="Trebuchet MS" w:eastAsia="Arial" w:hAnsi="Trebuchet MS" w:cs="Arial"/>
                <w:b/>
                <w:bCs/>
                <w:color w:val="000000" w:themeColor="text1"/>
                <w:sz w:val="36"/>
                <w:szCs w:val="36"/>
              </w:rPr>
              <w:lastRenderedPageBreak/>
              <w:t>Hittestress</w:t>
            </w:r>
          </w:p>
          <w:p w14:paraId="40692D6C" w14:textId="31D38D9E" w:rsidR="00A92EEB" w:rsidRPr="00A92EEB" w:rsidRDefault="00A92EEB" w:rsidP="29059FE2">
            <w:pPr>
              <w:rPr>
                <w:rFonts w:ascii="Trebuchet MS" w:eastAsia="Arial" w:hAnsi="Trebuchet MS" w:cs="Arial"/>
                <w:color w:val="000000" w:themeColor="text1"/>
                <w:sz w:val="36"/>
                <w:szCs w:val="36"/>
              </w:rPr>
            </w:pPr>
          </w:p>
        </w:tc>
      </w:tr>
      <w:tr w:rsidR="1631DFB1" w:rsidRPr="00A92EEB" w14:paraId="71BEBCCC" w14:textId="77777777" w:rsidTr="00762ACA">
        <w:trPr>
          <w:trHeight w:val="300"/>
        </w:trPr>
        <w:tc>
          <w:tcPr>
            <w:tcW w:w="9030" w:type="dxa"/>
            <w:gridSpan w:val="3"/>
            <w:shd w:val="clear" w:color="auto" w:fill="F6C5AC" w:themeFill="accent2" w:themeFillTint="66"/>
            <w:tcMar>
              <w:left w:w="105" w:type="dxa"/>
              <w:right w:w="105" w:type="dxa"/>
            </w:tcMar>
          </w:tcPr>
          <w:p w14:paraId="068982D7" w14:textId="2CBAFE68"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Hitte leidt niet tot negatieve gevolgen voor de leefomgeving</w:t>
            </w:r>
          </w:p>
        </w:tc>
      </w:tr>
      <w:tr w:rsidR="1631DFB1" w:rsidRPr="00A92EEB" w14:paraId="667B8B9D" w14:textId="77777777" w:rsidTr="00762ACA">
        <w:trPr>
          <w:trHeight w:val="300"/>
        </w:trPr>
        <w:tc>
          <w:tcPr>
            <w:tcW w:w="9030" w:type="dxa"/>
            <w:gridSpan w:val="3"/>
            <w:shd w:val="clear" w:color="auto" w:fill="F6C5AC" w:themeFill="accent2" w:themeFillTint="66"/>
            <w:tcMar>
              <w:left w:w="105" w:type="dxa"/>
              <w:right w:w="105" w:type="dxa"/>
            </w:tcMar>
          </w:tcPr>
          <w:p w14:paraId="300EDB62" w14:textId="77777777" w:rsidR="1631DFB1"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Verdere toename van de gevoelstemperatuur voorkomen, zowel overdag als ’s nachts.</w:t>
            </w:r>
          </w:p>
          <w:p w14:paraId="629BC118" w14:textId="1F26F9EF" w:rsidR="00A92EEB" w:rsidRPr="00A92EEB" w:rsidRDefault="00A92EEB" w:rsidP="29059FE2">
            <w:pPr>
              <w:rPr>
                <w:rFonts w:ascii="Trebuchet MS" w:eastAsia="Arial" w:hAnsi="Trebuchet MS" w:cs="Arial"/>
                <w:color w:val="000000" w:themeColor="text1"/>
                <w:sz w:val="22"/>
                <w:szCs w:val="22"/>
              </w:rPr>
            </w:pPr>
          </w:p>
        </w:tc>
      </w:tr>
      <w:tr w:rsidR="1631DFB1" w:rsidRPr="00A92EEB" w14:paraId="3D3E5956" w14:textId="77777777" w:rsidTr="00762ACA">
        <w:trPr>
          <w:trHeight w:val="300"/>
        </w:trPr>
        <w:tc>
          <w:tcPr>
            <w:tcW w:w="3010" w:type="dxa"/>
            <w:shd w:val="clear" w:color="auto" w:fill="FAE2D5" w:themeFill="accent2" w:themeFillTint="33"/>
            <w:tcMar>
              <w:left w:w="105" w:type="dxa"/>
              <w:right w:w="105" w:type="dxa"/>
            </w:tcMar>
          </w:tcPr>
          <w:p w14:paraId="281550A3" w14:textId="411C5E32"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Tenminste 30% bladerdek/schaduw per inwoner in de wijk op de hoogste zonnestand (21 juni) voor verblijfsplekken en gebieden waar langzaam verkeer zich verplaatst.</w:t>
            </w:r>
          </w:p>
          <w:p w14:paraId="26A257DA" w14:textId="77777777" w:rsidR="1631DFB1"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(Gebaseerd op de 3-30-300 regel).</w:t>
            </w:r>
          </w:p>
          <w:p w14:paraId="705AAF62" w14:textId="5A06BBCF" w:rsidR="00A92EEB" w:rsidRPr="00A92EEB" w:rsidRDefault="00A92EEB" w:rsidP="29059FE2">
            <w:pPr>
              <w:rPr>
                <w:rFonts w:ascii="Trebuchet MS" w:eastAsia="Arial" w:hAnsi="Trebuchet MS" w:cs="Arial"/>
                <w:color w:val="000000" w:themeColor="text1"/>
                <w:sz w:val="22"/>
                <w:szCs w:val="22"/>
              </w:rPr>
            </w:pPr>
          </w:p>
        </w:tc>
        <w:tc>
          <w:tcPr>
            <w:tcW w:w="3010" w:type="dxa"/>
            <w:shd w:val="clear" w:color="auto" w:fill="FAE2D5" w:themeFill="accent2" w:themeFillTint="33"/>
            <w:tcMar>
              <w:left w:w="105" w:type="dxa"/>
              <w:right w:w="105" w:type="dxa"/>
            </w:tcMar>
          </w:tcPr>
          <w:p w14:paraId="49850925" w14:textId="06C2BCC5"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Koele, schaduwrijke verblijfsplekken van minimaal 200 m2 zijn op loopafstand (300 meter) aanwezig en openbaar toegankelijk.</w:t>
            </w:r>
          </w:p>
        </w:tc>
        <w:tc>
          <w:tcPr>
            <w:tcW w:w="3010" w:type="dxa"/>
            <w:shd w:val="clear" w:color="auto" w:fill="FAE2D5" w:themeFill="accent2" w:themeFillTint="33"/>
            <w:tcMar>
              <w:left w:w="105" w:type="dxa"/>
              <w:right w:w="105" w:type="dxa"/>
            </w:tcMar>
          </w:tcPr>
          <w:p w14:paraId="029B5B84" w14:textId="6FA7AB2A"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 xml:space="preserve">40% van het totale oppervlak (dus de gehele schil, horizontaal en verticaal) wordt </w:t>
            </w:r>
            <w:proofErr w:type="spellStart"/>
            <w:r w:rsidRPr="00A92EEB">
              <w:rPr>
                <w:rFonts w:ascii="Trebuchet MS" w:eastAsia="Arial" w:hAnsi="Trebuchet MS" w:cs="Arial"/>
                <w:color w:val="000000" w:themeColor="text1"/>
                <w:sz w:val="22"/>
                <w:szCs w:val="22"/>
              </w:rPr>
              <w:t>warmtewerend</w:t>
            </w:r>
            <w:proofErr w:type="spellEnd"/>
            <w:r w:rsidRPr="00A92EEB">
              <w:rPr>
                <w:rFonts w:ascii="Trebuchet MS" w:eastAsia="Arial" w:hAnsi="Trebuchet MS" w:cs="Arial"/>
                <w:color w:val="000000" w:themeColor="text1"/>
                <w:sz w:val="22"/>
                <w:szCs w:val="22"/>
              </w:rPr>
              <w:t xml:space="preserve"> of verkoelend ingericht.</w:t>
            </w:r>
          </w:p>
        </w:tc>
      </w:tr>
      <w:tr w:rsidR="1631DFB1" w:rsidRPr="00A92EEB" w14:paraId="48525826" w14:textId="77777777" w:rsidTr="00762ACA">
        <w:trPr>
          <w:trHeight w:val="300"/>
        </w:trPr>
        <w:tc>
          <w:tcPr>
            <w:tcW w:w="3010" w:type="dxa"/>
            <w:shd w:val="clear" w:color="auto" w:fill="FAE2D5" w:themeFill="accent2" w:themeFillTint="33"/>
            <w:tcMar>
              <w:left w:w="105" w:type="dxa"/>
              <w:right w:w="105" w:type="dxa"/>
            </w:tcMar>
          </w:tcPr>
          <w:p w14:paraId="6F46E0BC" w14:textId="57086703"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De koeling van gebouwen leidt niet tot opwarming van de (</w:t>
            </w:r>
            <w:proofErr w:type="spellStart"/>
            <w:r w:rsidRPr="00A92EEB">
              <w:rPr>
                <w:rFonts w:ascii="Trebuchet MS" w:eastAsia="Arial" w:hAnsi="Trebuchet MS" w:cs="Arial"/>
                <w:color w:val="000000" w:themeColor="text1"/>
                <w:sz w:val="22"/>
                <w:szCs w:val="22"/>
              </w:rPr>
              <w:t>verblijfs</w:t>
            </w:r>
            <w:proofErr w:type="spellEnd"/>
            <w:r w:rsidRPr="00A92EEB">
              <w:rPr>
                <w:rFonts w:ascii="Trebuchet MS" w:eastAsia="Arial" w:hAnsi="Trebuchet MS" w:cs="Arial"/>
                <w:color w:val="000000" w:themeColor="text1"/>
                <w:sz w:val="22"/>
                <w:szCs w:val="22"/>
              </w:rPr>
              <w:t>)ruimte in de directe omgeving.</w:t>
            </w:r>
          </w:p>
        </w:tc>
        <w:tc>
          <w:tcPr>
            <w:tcW w:w="3010" w:type="dxa"/>
            <w:shd w:val="clear" w:color="auto" w:fill="FAE2D5" w:themeFill="accent2" w:themeFillTint="33"/>
            <w:tcMar>
              <w:left w:w="105" w:type="dxa"/>
              <w:right w:w="105" w:type="dxa"/>
            </w:tcMar>
          </w:tcPr>
          <w:p w14:paraId="56610B61" w14:textId="77777777" w:rsidR="1631DFB1"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Vitale en kwetsbare functies en groenvoorzieningen in de openbare ruimte moeten bestand zijn tegen de hitte. Hierbij gaat het o.a. om de opwarming van drinkwater.</w:t>
            </w:r>
          </w:p>
          <w:p w14:paraId="5317D25F" w14:textId="2483B2C2" w:rsidR="00A92EEB" w:rsidRPr="00A92EEB" w:rsidRDefault="00A92EEB" w:rsidP="29059FE2">
            <w:pPr>
              <w:rPr>
                <w:rFonts w:ascii="Trebuchet MS" w:eastAsia="Arial" w:hAnsi="Trebuchet MS" w:cs="Arial"/>
                <w:color w:val="000000" w:themeColor="text1"/>
                <w:sz w:val="22"/>
                <w:szCs w:val="22"/>
              </w:rPr>
            </w:pPr>
          </w:p>
        </w:tc>
        <w:tc>
          <w:tcPr>
            <w:tcW w:w="3010" w:type="dxa"/>
            <w:shd w:val="clear" w:color="auto" w:fill="FAE2D5" w:themeFill="accent2" w:themeFillTint="33"/>
            <w:tcMar>
              <w:left w:w="105" w:type="dxa"/>
              <w:right w:w="105" w:type="dxa"/>
            </w:tcMar>
          </w:tcPr>
          <w:p w14:paraId="3F05D968" w14:textId="13DDE48A" w:rsidR="1631DFB1" w:rsidRPr="00A92EEB" w:rsidRDefault="1631DFB1" w:rsidP="29059FE2">
            <w:pPr>
              <w:rPr>
                <w:rFonts w:ascii="Trebuchet MS" w:eastAsia="Arial" w:hAnsi="Trebuchet MS" w:cs="Arial"/>
                <w:color w:val="000000" w:themeColor="text1"/>
                <w:sz w:val="22"/>
                <w:szCs w:val="22"/>
              </w:rPr>
            </w:pPr>
            <w:r w:rsidRPr="00A92EEB">
              <w:rPr>
                <w:rFonts w:ascii="Trebuchet MS" w:eastAsia="Arial" w:hAnsi="Trebuchet MS" w:cs="Arial"/>
                <w:color w:val="000000" w:themeColor="text1"/>
                <w:sz w:val="22"/>
                <w:szCs w:val="22"/>
              </w:rPr>
              <w:t>Bij nieuwbouw/verbouw wordt (regen)water hergebruikt via beschikbare voorzieningen (zoals hydraloop etc.).</w:t>
            </w:r>
          </w:p>
          <w:p w14:paraId="17199394" w14:textId="74965647" w:rsidR="1631DFB1" w:rsidRPr="00A92EEB" w:rsidRDefault="1631DFB1" w:rsidP="29059FE2">
            <w:pPr>
              <w:rPr>
                <w:rFonts w:ascii="Trebuchet MS" w:eastAsia="Arial" w:hAnsi="Trebuchet MS" w:cs="Arial"/>
                <w:color w:val="000000" w:themeColor="text1"/>
                <w:sz w:val="22"/>
                <w:szCs w:val="22"/>
              </w:rPr>
            </w:pPr>
          </w:p>
        </w:tc>
      </w:tr>
    </w:tbl>
    <w:p w14:paraId="7B5CAEB5" w14:textId="3C7551C8" w:rsidR="00C31191" w:rsidRPr="00A92EEB" w:rsidRDefault="00C31191">
      <w:pPr>
        <w:rPr>
          <w:rFonts w:ascii="Trebuchet MS" w:hAnsi="Trebuchet MS"/>
        </w:rPr>
      </w:pPr>
    </w:p>
    <w:p w14:paraId="2F185CCA" w14:textId="06F51DF8" w:rsidR="74C624E7" w:rsidRPr="00A92EEB" w:rsidRDefault="09E4B060" w:rsidP="0065BE37">
      <w:pPr>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 xml:space="preserve">Uit </w:t>
      </w:r>
      <w:r w:rsidR="720A2172" w:rsidRPr="00A92EEB">
        <w:rPr>
          <w:rFonts w:ascii="Trebuchet MS" w:eastAsia="Arial" w:hAnsi="Trebuchet MS" w:cs="Arial"/>
          <w:color w:val="000000" w:themeColor="text1"/>
          <w:sz w:val="20"/>
          <w:szCs w:val="20"/>
        </w:rPr>
        <w:t xml:space="preserve">(concept) </w:t>
      </w:r>
      <w:r w:rsidRPr="00A92EEB">
        <w:rPr>
          <w:rFonts w:ascii="Trebuchet MS" w:eastAsia="Arial" w:hAnsi="Trebuchet MS" w:cs="Arial"/>
          <w:color w:val="000000" w:themeColor="text1"/>
          <w:sz w:val="20"/>
          <w:szCs w:val="20"/>
        </w:rPr>
        <w:t xml:space="preserve">ontwerpleidraad </w:t>
      </w:r>
      <w:proofErr w:type="spellStart"/>
      <w:r w:rsidRPr="00A92EEB">
        <w:rPr>
          <w:rFonts w:ascii="Trebuchet MS" w:eastAsia="Arial" w:hAnsi="Trebuchet MS" w:cs="Arial"/>
          <w:sz w:val="20"/>
          <w:szCs w:val="20"/>
        </w:rPr>
        <w:t>W</w:t>
      </w:r>
      <w:r w:rsidR="26ED93D2" w:rsidRPr="00A92EEB">
        <w:rPr>
          <w:rFonts w:ascii="Trebuchet MS" w:eastAsia="Arial" w:hAnsi="Trebuchet MS" w:cs="Arial"/>
          <w:sz w:val="20"/>
          <w:szCs w:val="20"/>
        </w:rPr>
        <w:t>etterskip</w:t>
      </w:r>
      <w:proofErr w:type="spellEnd"/>
      <w:r w:rsidR="26ED93D2" w:rsidRPr="00A92EEB">
        <w:rPr>
          <w:rFonts w:ascii="Trebuchet MS" w:eastAsia="Arial" w:hAnsi="Trebuchet MS" w:cs="Arial"/>
          <w:sz w:val="20"/>
          <w:szCs w:val="20"/>
        </w:rPr>
        <w:t xml:space="preserve"> </w:t>
      </w:r>
      <w:r w:rsidRPr="00A92EEB">
        <w:rPr>
          <w:rFonts w:ascii="Trebuchet MS" w:eastAsia="Arial" w:hAnsi="Trebuchet MS" w:cs="Arial"/>
          <w:sz w:val="20"/>
          <w:szCs w:val="20"/>
        </w:rPr>
        <w:t>F</w:t>
      </w:r>
      <w:r w:rsidR="7901A1A7" w:rsidRPr="00A92EEB">
        <w:rPr>
          <w:rFonts w:ascii="Trebuchet MS" w:eastAsia="Arial" w:hAnsi="Trebuchet MS" w:cs="Arial"/>
          <w:sz w:val="20"/>
          <w:szCs w:val="20"/>
        </w:rPr>
        <w:t>ryslân</w:t>
      </w:r>
      <w:r w:rsidRPr="00A92EEB">
        <w:rPr>
          <w:rFonts w:ascii="Trebuchet MS" w:eastAsia="Arial" w:hAnsi="Trebuchet MS" w:cs="Arial"/>
          <w:sz w:val="20"/>
          <w:szCs w:val="20"/>
        </w:rPr>
        <w:t>:</w:t>
      </w:r>
    </w:p>
    <w:p w14:paraId="46AFA244" w14:textId="44857281" w:rsidR="74C624E7" w:rsidRPr="00A92EEB" w:rsidRDefault="74C624E7"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 xml:space="preserve">De ontwikkeling wordt modelmatig getoetst aan een bui van 70 mm gedurende één uur. De ontwikkeling mag geen panden bevatten die schade ervaren (water tegen de gevel, waardoor schade in panden te verwachten is) bij deze bui. Vitale en kwetsbare functies voldoen hieraan bij 90 mm gedurende één uur. Als een ontwikkeling hier binnen het plangebied niet aan voldoet, moet extra waterberging buiten het plangebied worden aangewend. Daarbij mogen waterproblemen ook niet worden afgewenteld naar het ander gebieden. Waterschade accepteren we niet. </w:t>
      </w:r>
    </w:p>
    <w:p w14:paraId="1B00F507" w14:textId="5B11707A" w:rsidR="74C624E7" w:rsidRPr="00A92EEB" w:rsidRDefault="74C624E7"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Wateroverlast in de vorm van water op straat zal in de toekomst vaker voorkomen en meer geaccepteerd moeten worden.</w:t>
      </w:r>
    </w:p>
    <w:p w14:paraId="6CA7ADB2" w14:textId="561040A7" w:rsidR="10782DD0" w:rsidRPr="00A92EEB" w:rsidRDefault="10782DD0"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Regenwater:</w:t>
      </w:r>
    </w:p>
    <w:p w14:paraId="38E672B2" w14:textId="5900DB14" w:rsidR="74C624E7" w:rsidRPr="00A92EEB" w:rsidRDefault="74C624E7" w:rsidP="29059FE2">
      <w:pPr>
        <w:pStyle w:val="Lijstalinea"/>
        <w:numPr>
          <w:ilvl w:val="0"/>
          <w:numId w:val="2"/>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 xml:space="preserve">Opvangen, bewaren en benutten, bijvoorbeeld als bron voor zoetwater. </w:t>
      </w:r>
    </w:p>
    <w:p w14:paraId="4838118A" w14:textId="23C3E682" w:rsidR="74C624E7" w:rsidRPr="00A92EEB" w:rsidRDefault="74C624E7" w:rsidP="29059FE2">
      <w:pPr>
        <w:pStyle w:val="Lijstalinea"/>
        <w:numPr>
          <w:ilvl w:val="0"/>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Tijdelijk bergen en infiltreren.</w:t>
      </w:r>
    </w:p>
    <w:p w14:paraId="3CB2DF78" w14:textId="29F2EAC6" w:rsidR="74C624E7" w:rsidRPr="00A92EEB" w:rsidRDefault="74C624E7" w:rsidP="29059FE2">
      <w:pPr>
        <w:pStyle w:val="Lijstalinea"/>
        <w:numPr>
          <w:ilvl w:val="0"/>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Tijdelijk bergen en vertraagd afvoeren:</w:t>
      </w:r>
    </w:p>
    <w:p w14:paraId="335C3E92" w14:textId="2A2E83D7" w:rsidR="74C624E7" w:rsidRPr="00A92EEB" w:rsidRDefault="74C624E7" w:rsidP="29059FE2">
      <w:pPr>
        <w:pStyle w:val="Lijstalinea"/>
        <w:numPr>
          <w:ilvl w:val="1"/>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Bovengronds</w:t>
      </w:r>
    </w:p>
    <w:p w14:paraId="11E4C525" w14:textId="22CF11AF" w:rsidR="74C624E7" w:rsidRPr="00A92EEB" w:rsidRDefault="74C624E7" w:rsidP="29059FE2">
      <w:pPr>
        <w:pStyle w:val="Lijstalinea"/>
        <w:numPr>
          <w:ilvl w:val="1"/>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Direct naar oppervlaktewater</w:t>
      </w:r>
    </w:p>
    <w:p w14:paraId="5A8919B6" w14:textId="4511254F" w:rsidR="74C624E7" w:rsidRPr="00A92EEB" w:rsidRDefault="74C624E7" w:rsidP="29059FE2">
      <w:pPr>
        <w:pStyle w:val="Lijstalinea"/>
        <w:numPr>
          <w:ilvl w:val="1"/>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Regenwaterriool</w:t>
      </w:r>
    </w:p>
    <w:p w14:paraId="65638CE5" w14:textId="3AEDC350" w:rsidR="74C624E7" w:rsidRPr="00A92EEB" w:rsidRDefault="74C624E7" w:rsidP="29059FE2">
      <w:pPr>
        <w:pStyle w:val="Lijstalinea"/>
        <w:numPr>
          <w:ilvl w:val="1"/>
          <w:numId w:val="1"/>
        </w:numPr>
        <w:spacing w:after="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Gemengd riool</w:t>
      </w:r>
    </w:p>
    <w:p w14:paraId="13932EB6" w14:textId="7710A4B5" w:rsidR="74C624E7" w:rsidRPr="00A92EEB" w:rsidRDefault="74C624E7"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 xml:space="preserve"> </w:t>
      </w:r>
    </w:p>
    <w:p w14:paraId="22078EE0" w14:textId="7E66BB27" w:rsidR="74C624E7" w:rsidRPr="00A92EEB" w:rsidRDefault="74C624E7"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 xml:space="preserve">Nieuwbouw wordt volledig afgekoppeld (openbare verharding + dakoppervlak panden) en bij voorkeur geleid naar een infiltratievoorziening met bodempassage ( (zoals een wadi). Indien water lokaal wordt geïnfiltreerd, wordt rekening gehouden met vervuiling van het afstromend oppervlak. </w:t>
      </w:r>
    </w:p>
    <w:p w14:paraId="22A2C3A4" w14:textId="4C6F4B1F" w:rsidR="74C624E7" w:rsidRPr="00A92EEB" w:rsidRDefault="74C624E7" w:rsidP="29059FE2">
      <w:pPr>
        <w:spacing w:before="20" w:after="130"/>
        <w:ind w:right="58"/>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lastRenderedPageBreak/>
        <w:t>Verharding (zoals wegen) ligt zoveel mogelijk op-één-oor richting (verlaagd) groen of infiltratievoorziening met bodempassage (zoals een wadi). Eventueel kan een komvormig profiel worden toegepast voor extra waterberging op straat.</w:t>
      </w:r>
    </w:p>
    <w:p w14:paraId="7A2379D8" w14:textId="1834C9D8" w:rsidR="74C624E7" w:rsidRPr="00A92EEB" w:rsidRDefault="74C624E7" w:rsidP="29059FE2">
      <w:pPr>
        <w:rPr>
          <w:rFonts w:ascii="Trebuchet MS" w:eastAsia="Arial" w:hAnsi="Trebuchet MS" w:cs="Arial"/>
          <w:color w:val="000000" w:themeColor="text1"/>
          <w:sz w:val="20"/>
          <w:szCs w:val="20"/>
        </w:rPr>
      </w:pPr>
      <w:r w:rsidRPr="00A92EEB">
        <w:rPr>
          <w:rFonts w:ascii="Trebuchet MS" w:eastAsia="Arial" w:hAnsi="Trebuchet MS" w:cs="Arial"/>
          <w:color w:val="000000" w:themeColor="text1"/>
          <w:sz w:val="20"/>
          <w:szCs w:val="20"/>
        </w:rPr>
        <w:t>Als afkoppelen naar groen onvoldoende mogelijk is, mag pas als laatste instantie afwatering naar oppervlaktewater plaatsvinden. Hierbij moet dan bij voorkeur een constructie worden aangelegd die vertraagd afvoert (bijvoorbeeld: (infiltratie)riool met overstortdrempel). Dit voorkomt snelle afwatering en vermindert belasting op het watersysteem.</w:t>
      </w:r>
    </w:p>
    <w:p w14:paraId="4C8B851F" w14:textId="46106DD6" w:rsidR="29059FE2" w:rsidRDefault="29059FE2" w:rsidP="29059FE2">
      <w:pPr>
        <w:rPr>
          <w:sz w:val="36"/>
          <w:szCs w:val="36"/>
        </w:rPr>
      </w:pPr>
    </w:p>
    <w:sectPr w:rsidR="29059FE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94E91" w14:textId="77777777" w:rsidR="00973E98" w:rsidRDefault="00973E98" w:rsidP="00973E98">
      <w:pPr>
        <w:spacing w:after="0" w:line="240" w:lineRule="auto"/>
      </w:pPr>
      <w:r>
        <w:separator/>
      </w:r>
    </w:p>
  </w:endnote>
  <w:endnote w:type="continuationSeparator" w:id="0">
    <w:p w14:paraId="6AD51160" w14:textId="77777777" w:rsidR="00973E98" w:rsidRDefault="00973E98" w:rsidP="00973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58A1" w14:textId="77777777" w:rsidR="00973E98" w:rsidRDefault="00973E98" w:rsidP="00973E98">
      <w:pPr>
        <w:spacing w:after="0" w:line="240" w:lineRule="auto"/>
      </w:pPr>
      <w:r>
        <w:separator/>
      </w:r>
    </w:p>
  </w:footnote>
  <w:footnote w:type="continuationSeparator" w:id="0">
    <w:p w14:paraId="315CF141" w14:textId="77777777" w:rsidR="00973E98" w:rsidRDefault="00973E98" w:rsidP="00973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D3130" w:rsidRPr="00801C1E" w14:paraId="3CC648D6" w14:textId="77777777" w:rsidTr="00FC17AD">
      <w:trPr>
        <w:trHeight w:val="567"/>
      </w:trPr>
      <w:tc>
        <w:tcPr>
          <w:tcW w:w="4519" w:type="dxa"/>
          <w:tcBorders>
            <w:top w:val="single" w:sz="4" w:space="0" w:color="auto"/>
            <w:left w:val="nil"/>
            <w:bottom w:val="nil"/>
            <w:right w:val="nil"/>
          </w:tcBorders>
          <w:shd w:val="clear" w:color="auto" w:fill="auto"/>
        </w:tcPr>
        <w:p w14:paraId="20C1F23B" w14:textId="77777777" w:rsidR="003D3130" w:rsidRPr="0079262C" w:rsidRDefault="003D3130" w:rsidP="003D3130">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4B7694D4" w14:textId="77777777" w:rsidR="003D3130" w:rsidRDefault="003D3130" w:rsidP="003D3130">
          <w:pPr>
            <w:pStyle w:val="Voettekst"/>
            <w:tabs>
              <w:tab w:val="clear" w:pos="4536"/>
              <w:tab w:val="clear" w:pos="9072"/>
              <w:tab w:val="left" w:pos="8280"/>
              <w:tab w:val="right" w:pos="8823"/>
            </w:tabs>
            <w:rPr>
              <w:rFonts w:ascii="Trebuchet MS" w:hAnsi="Trebuchet MS"/>
              <w:sz w:val="16"/>
              <w:szCs w:val="16"/>
            </w:rPr>
          </w:pPr>
          <w:r w:rsidRPr="0079262C">
            <w:rPr>
              <w:rFonts w:ascii="Trebuchet MS" w:hAnsi="Trebuchet MS"/>
              <w:sz w:val="16"/>
              <w:szCs w:val="16"/>
            </w:rPr>
            <w:t xml:space="preserve">Marktconsultatie </w:t>
          </w:r>
          <w:r>
            <w:rPr>
              <w:rFonts w:ascii="Trebuchet MS" w:hAnsi="Trebuchet MS"/>
              <w:sz w:val="16"/>
              <w:szCs w:val="16"/>
            </w:rPr>
            <w:t xml:space="preserve">Verkoop voormalig schoolgebouw </w:t>
          </w:r>
        </w:p>
        <w:p w14:paraId="02F684CD" w14:textId="46460B92" w:rsidR="003D3130" w:rsidRPr="00801C1E" w:rsidRDefault="003D3130" w:rsidP="003D3130">
          <w:pPr>
            <w:pStyle w:val="Voettekst"/>
            <w:tabs>
              <w:tab w:val="clear" w:pos="4536"/>
              <w:tab w:val="clear" w:pos="9072"/>
              <w:tab w:val="left" w:pos="8280"/>
              <w:tab w:val="right" w:pos="8823"/>
            </w:tabs>
            <w:rPr>
              <w:rFonts w:ascii="Trebuchet MS" w:hAnsi="Trebuchet MS"/>
              <w:szCs w:val="16"/>
            </w:rPr>
          </w:pPr>
          <w:r>
            <w:rPr>
              <w:rFonts w:ascii="Trebuchet MS" w:hAnsi="Trebuchet MS"/>
              <w:sz w:val="16"/>
              <w:szCs w:val="16"/>
            </w:rPr>
            <w:t xml:space="preserve">It </w:t>
          </w:r>
          <w:proofErr w:type="spellStart"/>
          <w:r>
            <w:rPr>
              <w:rFonts w:ascii="Trebuchet MS" w:hAnsi="Trebuchet MS"/>
              <w:sz w:val="16"/>
              <w:szCs w:val="16"/>
            </w:rPr>
            <w:t>Finster</w:t>
          </w:r>
          <w:proofErr w:type="spellEnd"/>
          <w:r>
            <w:rPr>
              <w:rFonts w:ascii="Trebuchet MS" w:hAnsi="Trebuchet MS"/>
              <w:sz w:val="16"/>
              <w:szCs w:val="16"/>
            </w:rPr>
            <w:t xml:space="preserve"> te Workum</w:t>
          </w:r>
        </w:p>
      </w:tc>
      <w:tc>
        <w:tcPr>
          <w:tcW w:w="4520" w:type="dxa"/>
          <w:tcBorders>
            <w:top w:val="single" w:sz="4" w:space="0" w:color="auto"/>
            <w:left w:val="nil"/>
            <w:bottom w:val="nil"/>
            <w:right w:val="nil"/>
          </w:tcBorders>
          <w:shd w:val="clear" w:color="auto" w:fill="auto"/>
        </w:tcPr>
        <w:p w14:paraId="46516CC3" w14:textId="77777777" w:rsidR="003D3130" w:rsidRPr="00801C1E" w:rsidRDefault="003D3130" w:rsidP="003D3130">
          <w:pPr>
            <w:pStyle w:val="Voettekst"/>
            <w:jc w:val="right"/>
            <w:rPr>
              <w:rFonts w:ascii="Trebuchet MS" w:hAnsi="Trebuchet MS"/>
              <w:szCs w:val="16"/>
            </w:rPr>
          </w:pPr>
          <w:r>
            <w:rPr>
              <w:noProof/>
            </w:rPr>
            <w:drawing>
              <wp:inline distT="0" distB="0" distL="0" distR="0" wp14:anchorId="1DE51BFA" wp14:editId="796EFE50">
                <wp:extent cx="1781175" cy="266700"/>
                <wp:effectExtent l="0" t="0" r="9525" b="0"/>
                <wp:docPr id="1190714762" name="Afbeelding 119071476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6649AAA0" w14:textId="77777777" w:rsidR="00973E98" w:rsidRDefault="00973E98">
    <w:pPr>
      <w:pStyle w:val="Koptekst"/>
    </w:pPr>
  </w:p>
  <w:p w14:paraId="03A67EE3" w14:textId="77777777" w:rsidR="00973E98" w:rsidRDefault="00973E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E18B"/>
    <w:multiLevelType w:val="hybridMultilevel"/>
    <w:tmpl w:val="9704F338"/>
    <w:lvl w:ilvl="0" w:tplc="34BA46EA">
      <w:start w:val="1"/>
      <w:numFmt w:val="bullet"/>
      <w:lvlText w:val="·"/>
      <w:lvlJc w:val="left"/>
      <w:pPr>
        <w:ind w:left="720" w:hanging="360"/>
      </w:pPr>
      <w:rPr>
        <w:rFonts w:ascii="Symbol" w:hAnsi="Symbol" w:hint="default"/>
      </w:rPr>
    </w:lvl>
    <w:lvl w:ilvl="1" w:tplc="0C94D178">
      <w:start w:val="1"/>
      <w:numFmt w:val="bullet"/>
      <w:lvlText w:val="o"/>
      <w:lvlJc w:val="left"/>
      <w:pPr>
        <w:ind w:left="1440" w:hanging="360"/>
      </w:pPr>
      <w:rPr>
        <w:rFonts w:ascii="Symbol" w:hAnsi="Symbol" w:hint="default"/>
      </w:rPr>
    </w:lvl>
    <w:lvl w:ilvl="2" w:tplc="72F247C0">
      <w:start w:val="1"/>
      <w:numFmt w:val="bullet"/>
      <w:lvlText w:val=""/>
      <w:lvlJc w:val="left"/>
      <w:pPr>
        <w:ind w:left="2160" w:hanging="360"/>
      </w:pPr>
      <w:rPr>
        <w:rFonts w:ascii="Wingdings" w:hAnsi="Wingdings" w:hint="default"/>
      </w:rPr>
    </w:lvl>
    <w:lvl w:ilvl="3" w:tplc="1C10F8FC">
      <w:start w:val="1"/>
      <w:numFmt w:val="bullet"/>
      <w:lvlText w:val=""/>
      <w:lvlJc w:val="left"/>
      <w:pPr>
        <w:ind w:left="2880" w:hanging="360"/>
      </w:pPr>
      <w:rPr>
        <w:rFonts w:ascii="Symbol" w:hAnsi="Symbol" w:hint="default"/>
      </w:rPr>
    </w:lvl>
    <w:lvl w:ilvl="4" w:tplc="944A8004">
      <w:start w:val="1"/>
      <w:numFmt w:val="bullet"/>
      <w:lvlText w:val="o"/>
      <w:lvlJc w:val="left"/>
      <w:pPr>
        <w:ind w:left="3600" w:hanging="360"/>
      </w:pPr>
      <w:rPr>
        <w:rFonts w:ascii="Courier New" w:hAnsi="Courier New" w:hint="default"/>
      </w:rPr>
    </w:lvl>
    <w:lvl w:ilvl="5" w:tplc="BAAE1D1A">
      <w:start w:val="1"/>
      <w:numFmt w:val="bullet"/>
      <w:lvlText w:val=""/>
      <w:lvlJc w:val="left"/>
      <w:pPr>
        <w:ind w:left="4320" w:hanging="360"/>
      </w:pPr>
      <w:rPr>
        <w:rFonts w:ascii="Wingdings" w:hAnsi="Wingdings" w:hint="default"/>
      </w:rPr>
    </w:lvl>
    <w:lvl w:ilvl="6" w:tplc="C400E0E8">
      <w:start w:val="1"/>
      <w:numFmt w:val="bullet"/>
      <w:lvlText w:val=""/>
      <w:lvlJc w:val="left"/>
      <w:pPr>
        <w:ind w:left="5040" w:hanging="360"/>
      </w:pPr>
      <w:rPr>
        <w:rFonts w:ascii="Symbol" w:hAnsi="Symbol" w:hint="default"/>
      </w:rPr>
    </w:lvl>
    <w:lvl w:ilvl="7" w:tplc="A3E284A2">
      <w:start w:val="1"/>
      <w:numFmt w:val="bullet"/>
      <w:lvlText w:val="o"/>
      <w:lvlJc w:val="left"/>
      <w:pPr>
        <w:ind w:left="5760" w:hanging="360"/>
      </w:pPr>
      <w:rPr>
        <w:rFonts w:ascii="Courier New" w:hAnsi="Courier New" w:hint="default"/>
      </w:rPr>
    </w:lvl>
    <w:lvl w:ilvl="8" w:tplc="ACFCC01E">
      <w:start w:val="1"/>
      <w:numFmt w:val="bullet"/>
      <w:lvlText w:val=""/>
      <w:lvlJc w:val="left"/>
      <w:pPr>
        <w:ind w:left="6480" w:hanging="360"/>
      </w:pPr>
      <w:rPr>
        <w:rFonts w:ascii="Wingdings" w:hAnsi="Wingdings" w:hint="default"/>
      </w:rPr>
    </w:lvl>
  </w:abstractNum>
  <w:abstractNum w:abstractNumId="1" w15:restartNumberingAfterBreak="0">
    <w:nsid w:val="63CB776E"/>
    <w:multiLevelType w:val="hybridMultilevel"/>
    <w:tmpl w:val="417C7BFE"/>
    <w:lvl w:ilvl="0" w:tplc="4C40A34C">
      <w:start w:val="1"/>
      <w:numFmt w:val="bullet"/>
      <w:lvlText w:val="·"/>
      <w:lvlJc w:val="left"/>
      <w:pPr>
        <w:ind w:left="720" w:hanging="360"/>
      </w:pPr>
      <w:rPr>
        <w:rFonts w:ascii="Symbol" w:hAnsi="Symbol" w:hint="default"/>
      </w:rPr>
    </w:lvl>
    <w:lvl w:ilvl="1" w:tplc="431E6896">
      <w:start w:val="1"/>
      <w:numFmt w:val="bullet"/>
      <w:lvlText w:val="o"/>
      <w:lvlJc w:val="left"/>
      <w:pPr>
        <w:ind w:left="1440" w:hanging="360"/>
      </w:pPr>
      <w:rPr>
        <w:rFonts w:ascii="Courier New" w:hAnsi="Courier New" w:hint="default"/>
      </w:rPr>
    </w:lvl>
    <w:lvl w:ilvl="2" w:tplc="C97E9B42">
      <w:start w:val="1"/>
      <w:numFmt w:val="bullet"/>
      <w:lvlText w:val=""/>
      <w:lvlJc w:val="left"/>
      <w:pPr>
        <w:ind w:left="2160" w:hanging="360"/>
      </w:pPr>
      <w:rPr>
        <w:rFonts w:ascii="Wingdings" w:hAnsi="Wingdings" w:hint="default"/>
      </w:rPr>
    </w:lvl>
    <w:lvl w:ilvl="3" w:tplc="A962A03C">
      <w:start w:val="1"/>
      <w:numFmt w:val="bullet"/>
      <w:lvlText w:val=""/>
      <w:lvlJc w:val="left"/>
      <w:pPr>
        <w:ind w:left="2880" w:hanging="360"/>
      </w:pPr>
      <w:rPr>
        <w:rFonts w:ascii="Symbol" w:hAnsi="Symbol" w:hint="default"/>
      </w:rPr>
    </w:lvl>
    <w:lvl w:ilvl="4" w:tplc="C89A384E">
      <w:start w:val="1"/>
      <w:numFmt w:val="bullet"/>
      <w:lvlText w:val="o"/>
      <w:lvlJc w:val="left"/>
      <w:pPr>
        <w:ind w:left="3600" w:hanging="360"/>
      </w:pPr>
      <w:rPr>
        <w:rFonts w:ascii="Courier New" w:hAnsi="Courier New" w:hint="default"/>
      </w:rPr>
    </w:lvl>
    <w:lvl w:ilvl="5" w:tplc="5A62E322">
      <w:start w:val="1"/>
      <w:numFmt w:val="bullet"/>
      <w:lvlText w:val=""/>
      <w:lvlJc w:val="left"/>
      <w:pPr>
        <w:ind w:left="4320" w:hanging="360"/>
      </w:pPr>
      <w:rPr>
        <w:rFonts w:ascii="Wingdings" w:hAnsi="Wingdings" w:hint="default"/>
      </w:rPr>
    </w:lvl>
    <w:lvl w:ilvl="6" w:tplc="1486D986">
      <w:start w:val="1"/>
      <w:numFmt w:val="bullet"/>
      <w:lvlText w:val=""/>
      <w:lvlJc w:val="left"/>
      <w:pPr>
        <w:ind w:left="5040" w:hanging="360"/>
      </w:pPr>
      <w:rPr>
        <w:rFonts w:ascii="Symbol" w:hAnsi="Symbol" w:hint="default"/>
      </w:rPr>
    </w:lvl>
    <w:lvl w:ilvl="7" w:tplc="6388C764">
      <w:start w:val="1"/>
      <w:numFmt w:val="bullet"/>
      <w:lvlText w:val="o"/>
      <w:lvlJc w:val="left"/>
      <w:pPr>
        <w:ind w:left="5760" w:hanging="360"/>
      </w:pPr>
      <w:rPr>
        <w:rFonts w:ascii="Courier New" w:hAnsi="Courier New" w:hint="default"/>
      </w:rPr>
    </w:lvl>
    <w:lvl w:ilvl="8" w:tplc="E70C4E82">
      <w:start w:val="1"/>
      <w:numFmt w:val="bullet"/>
      <w:lvlText w:val=""/>
      <w:lvlJc w:val="left"/>
      <w:pPr>
        <w:ind w:left="6480" w:hanging="360"/>
      </w:pPr>
      <w:rPr>
        <w:rFonts w:ascii="Wingdings" w:hAnsi="Wingdings" w:hint="default"/>
      </w:rPr>
    </w:lvl>
  </w:abstractNum>
  <w:num w:numId="1" w16cid:durableId="1983848800">
    <w:abstractNumId w:val="0"/>
  </w:num>
  <w:num w:numId="2" w16cid:durableId="1446654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FDC6E5"/>
    <w:rsid w:val="003D3130"/>
    <w:rsid w:val="00416287"/>
    <w:rsid w:val="004663CB"/>
    <w:rsid w:val="004B20A8"/>
    <w:rsid w:val="0065BE37"/>
    <w:rsid w:val="007010BA"/>
    <w:rsid w:val="00762ACA"/>
    <w:rsid w:val="00973E98"/>
    <w:rsid w:val="00A92EEB"/>
    <w:rsid w:val="00BB224F"/>
    <w:rsid w:val="00C31191"/>
    <w:rsid w:val="00D17EEE"/>
    <w:rsid w:val="09E4B060"/>
    <w:rsid w:val="10782DD0"/>
    <w:rsid w:val="11E45F9D"/>
    <w:rsid w:val="1631DFB1"/>
    <w:rsid w:val="17D31AA1"/>
    <w:rsid w:val="2069B4F8"/>
    <w:rsid w:val="20C5048D"/>
    <w:rsid w:val="26ED93D2"/>
    <w:rsid w:val="28E835B3"/>
    <w:rsid w:val="29059FE2"/>
    <w:rsid w:val="2B2D1838"/>
    <w:rsid w:val="3296D0C0"/>
    <w:rsid w:val="3565760B"/>
    <w:rsid w:val="3897F200"/>
    <w:rsid w:val="6514AF11"/>
    <w:rsid w:val="67FDC6E5"/>
    <w:rsid w:val="720A2172"/>
    <w:rsid w:val="74C624E7"/>
    <w:rsid w:val="7901A1A7"/>
    <w:rsid w:val="7B14F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FDC6E5"/>
  <w15:chartTrackingRefBased/>
  <w15:docId w15:val="{2C88D42F-10E1-45C5-AE32-45FE794C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1631DFB1"/>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BB224F"/>
    <w:pPr>
      <w:spacing w:after="0" w:line="240" w:lineRule="auto"/>
    </w:pPr>
  </w:style>
  <w:style w:type="paragraph" w:styleId="Koptekst">
    <w:name w:val="header"/>
    <w:basedOn w:val="Standaard"/>
    <w:link w:val="KoptekstChar"/>
    <w:uiPriority w:val="99"/>
    <w:unhideWhenUsed/>
    <w:rsid w:val="00973E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3E98"/>
  </w:style>
  <w:style w:type="paragraph" w:styleId="Voettekst">
    <w:name w:val="footer"/>
    <w:basedOn w:val="Standaard"/>
    <w:link w:val="VoettekstChar"/>
    <w:unhideWhenUsed/>
    <w:rsid w:val="00973E98"/>
    <w:pPr>
      <w:tabs>
        <w:tab w:val="center" w:pos="4536"/>
        <w:tab w:val="right" w:pos="9072"/>
      </w:tabs>
      <w:spacing w:after="0" w:line="240" w:lineRule="auto"/>
    </w:pPr>
  </w:style>
  <w:style w:type="character" w:customStyle="1" w:styleId="VoettekstChar">
    <w:name w:val="Voettekst Char"/>
    <w:basedOn w:val="Standaardalinea-lettertype"/>
    <w:link w:val="Voettekst"/>
    <w:rsid w:val="00973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E839C6257F143AD72EABFBF25AB93" ma:contentTypeVersion="3" ma:contentTypeDescription="Een nieuw document maken." ma:contentTypeScope="" ma:versionID="107c0056dc104bc3e3676db892f8efe5">
  <xsd:schema xmlns:xsd="http://www.w3.org/2001/XMLSchema" xmlns:xs="http://www.w3.org/2001/XMLSchema" xmlns:p="http://schemas.microsoft.com/office/2006/metadata/properties" xmlns:ns2="d53a4b78-3167-4e26-a7f6-68ec7b8a0e09" targetNamespace="http://schemas.microsoft.com/office/2006/metadata/properties" ma:root="true" ma:fieldsID="0125a8afe2521baa770e63af03fdfd38" ns2:_="">
    <xsd:import namespace="d53a4b78-3167-4e26-a7f6-68ec7b8a0e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a4b78-3167-4e26-a7f6-68ec7b8a0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0697A-0ECF-4DB7-84DA-60B2ED2603B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53a4b78-3167-4e26-a7f6-68ec7b8a0e09"/>
    <ds:schemaRef ds:uri="http://www.w3.org/XML/1998/namespace"/>
    <ds:schemaRef ds:uri="http://purl.org/dc/dcmitype/"/>
  </ds:schemaRefs>
</ds:datastoreItem>
</file>

<file path=customXml/itemProps2.xml><?xml version="1.0" encoding="utf-8"?>
<ds:datastoreItem xmlns:ds="http://schemas.openxmlformats.org/officeDocument/2006/customXml" ds:itemID="{1391279C-7117-47AD-A211-83B67CA3D0EE}">
  <ds:schemaRefs>
    <ds:schemaRef ds:uri="http://schemas.microsoft.com/sharepoint/v3/contenttype/forms"/>
  </ds:schemaRefs>
</ds:datastoreItem>
</file>

<file path=customXml/itemProps3.xml><?xml version="1.0" encoding="utf-8"?>
<ds:datastoreItem xmlns:ds="http://schemas.openxmlformats.org/officeDocument/2006/customXml" ds:itemID="{4BDBE68A-39BE-41F5-BF24-69F37B66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a4b78-3167-4e26-a7f6-68ec7b8a0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728</Words>
  <Characters>4008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Wybrich Kalsbeek</dc:creator>
  <cp:keywords/>
  <dc:description/>
  <cp:lastModifiedBy>Douwe Sibma</cp:lastModifiedBy>
  <cp:revision>4</cp:revision>
  <dcterms:created xsi:type="dcterms:W3CDTF">2025-06-24T11:55:00Z</dcterms:created>
  <dcterms:modified xsi:type="dcterms:W3CDTF">2025-06-24T13:07:00Z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0x0101006B8E839C6257F143AD72EABFBF25AB93</vt:lpwstr>
  </property>
</Properties>
</file>